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D1AC" w14:textId="6F29FC55" w:rsidR="00C73E32" w:rsidRPr="005B322E" w:rsidRDefault="00A464FF" w:rsidP="005B322E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B322E">
        <w:rPr>
          <w:rFonts w:ascii="Arial" w:hAnsi="Arial" w:cs="Arial"/>
          <w:b/>
          <w:bCs/>
          <w:sz w:val="24"/>
          <w:szCs w:val="24"/>
        </w:rPr>
        <w:t xml:space="preserve">Essay analysing the effect of increased oil prices on </w:t>
      </w:r>
      <w:r w:rsidR="005B322E" w:rsidRPr="005B322E">
        <w:rPr>
          <w:rFonts w:ascii="Arial" w:hAnsi="Arial" w:cs="Arial"/>
          <w:b/>
          <w:bCs/>
          <w:sz w:val="24"/>
          <w:szCs w:val="24"/>
        </w:rPr>
        <w:t>the aggregate level of supply in the United Kingdom’s economy.</w:t>
      </w:r>
    </w:p>
    <w:p w14:paraId="5FFFFDC2" w14:textId="77777777" w:rsidR="00CD7061" w:rsidRPr="003F75C9" w:rsidRDefault="00CD7061" w:rsidP="00911D45">
      <w:pPr>
        <w:spacing w:line="480" w:lineRule="auto"/>
        <w:rPr>
          <w:rFonts w:ascii="Arial" w:hAnsi="Arial" w:cs="Arial"/>
          <w:sz w:val="24"/>
          <w:szCs w:val="24"/>
        </w:rPr>
      </w:pPr>
    </w:p>
    <w:p w14:paraId="26E5AB65" w14:textId="09007D7C" w:rsidR="00C73E32" w:rsidRPr="003F75C9" w:rsidRDefault="00C73E32" w:rsidP="00911D45">
      <w:pPr>
        <w:spacing w:line="480" w:lineRule="auto"/>
        <w:rPr>
          <w:rFonts w:ascii="Arial" w:hAnsi="Arial" w:cs="Arial"/>
          <w:sz w:val="24"/>
          <w:szCs w:val="24"/>
        </w:rPr>
      </w:pPr>
      <w:r w:rsidRPr="003F75C9">
        <w:rPr>
          <w:rFonts w:ascii="Arial" w:hAnsi="Arial" w:cs="Arial"/>
          <w:sz w:val="24"/>
          <w:szCs w:val="24"/>
        </w:rPr>
        <w:t>Following Russia’s invasion of Ukraine, President Joe Biden of the US implemented sanctions on the import of Russian oil</w:t>
      </w:r>
      <w:sdt>
        <w:sdtPr>
          <w:rPr>
            <w:rFonts w:ascii="Arial" w:hAnsi="Arial" w:cs="Arial"/>
            <w:sz w:val="24"/>
            <w:szCs w:val="24"/>
          </w:rPr>
          <w:id w:val="1408102025"/>
          <w:citation/>
        </w:sdtPr>
        <w:sdtEndPr/>
        <w:sdtContent>
          <w:r w:rsidR="00A83FA9" w:rsidRPr="003F75C9">
            <w:rPr>
              <w:rFonts w:ascii="Arial" w:hAnsi="Arial" w:cs="Arial"/>
              <w:sz w:val="24"/>
              <w:szCs w:val="24"/>
            </w:rPr>
            <w:fldChar w:fldCharType="begin"/>
          </w:r>
          <w:r w:rsidR="00A83FA9" w:rsidRPr="003F75C9">
            <w:rPr>
              <w:rFonts w:ascii="Arial" w:hAnsi="Arial" w:cs="Arial"/>
              <w:sz w:val="24"/>
              <w:szCs w:val="24"/>
            </w:rPr>
            <w:instrText xml:space="preserve"> CITATION USW22 \l 2057 </w:instrText>
          </w:r>
          <w:r w:rsidR="00A83FA9" w:rsidRPr="003F75C9">
            <w:rPr>
              <w:rFonts w:ascii="Arial" w:hAnsi="Arial" w:cs="Arial"/>
              <w:sz w:val="24"/>
              <w:szCs w:val="24"/>
            </w:rPr>
            <w:fldChar w:fldCharType="separate"/>
          </w:r>
          <w:r w:rsidR="00FA7844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FA7844" w:rsidRPr="00FA7844">
            <w:rPr>
              <w:rFonts w:ascii="Arial" w:hAnsi="Arial" w:cs="Arial"/>
              <w:noProof/>
              <w:sz w:val="24"/>
              <w:szCs w:val="24"/>
            </w:rPr>
            <w:t>(U.S. White House Briefing Room, 2022)</w:t>
          </w:r>
          <w:r w:rsidR="00A83FA9" w:rsidRPr="003F75C9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Pr="003F75C9">
        <w:rPr>
          <w:rFonts w:ascii="Arial" w:hAnsi="Arial" w:cs="Arial"/>
          <w:sz w:val="24"/>
          <w:szCs w:val="24"/>
        </w:rPr>
        <w:t xml:space="preserve">. Several countries are following </w:t>
      </w:r>
      <w:r w:rsidR="005750C8" w:rsidRPr="003F75C9">
        <w:rPr>
          <w:rFonts w:ascii="Arial" w:hAnsi="Arial" w:cs="Arial"/>
          <w:sz w:val="24"/>
          <w:szCs w:val="24"/>
        </w:rPr>
        <w:t>this sanction</w:t>
      </w:r>
      <w:sdt>
        <w:sdtPr>
          <w:rPr>
            <w:rFonts w:ascii="Arial" w:hAnsi="Arial" w:cs="Arial"/>
            <w:sz w:val="24"/>
            <w:szCs w:val="24"/>
          </w:rPr>
          <w:id w:val="1054817266"/>
          <w:citation/>
        </w:sdtPr>
        <w:sdtEndPr/>
        <w:sdtContent>
          <w:r w:rsidR="00A83FA9" w:rsidRPr="003F75C9">
            <w:rPr>
              <w:rFonts w:ascii="Arial" w:hAnsi="Arial" w:cs="Arial"/>
              <w:sz w:val="24"/>
              <w:szCs w:val="24"/>
            </w:rPr>
            <w:fldChar w:fldCharType="begin"/>
          </w:r>
          <w:r w:rsidR="00A83FA9" w:rsidRPr="003F75C9">
            <w:rPr>
              <w:rFonts w:ascii="Arial" w:hAnsi="Arial" w:cs="Arial"/>
              <w:sz w:val="24"/>
              <w:szCs w:val="24"/>
            </w:rPr>
            <w:instrText xml:space="preserve"> CITATION Eur22 \l 2057 </w:instrText>
          </w:r>
          <w:r w:rsidR="00A83FA9" w:rsidRPr="003F75C9">
            <w:rPr>
              <w:rFonts w:ascii="Arial" w:hAnsi="Arial" w:cs="Arial"/>
              <w:sz w:val="24"/>
              <w:szCs w:val="24"/>
            </w:rPr>
            <w:fldChar w:fldCharType="separate"/>
          </w:r>
          <w:r w:rsidR="00FA7844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FA7844" w:rsidRPr="00FA7844">
            <w:rPr>
              <w:rFonts w:ascii="Arial" w:hAnsi="Arial" w:cs="Arial"/>
              <w:noProof/>
              <w:sz w:val="24"/>
              <w:szCs w:val="24"/>
            </w:rPr>
            <w:t>(European Comission, 2022)</w:t>
          </w:r>
          <w:r w:rsidR="00A83FA9" w:rsidRPr="003F75C9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5750C8" w:rsidRPr="003F75C9">
        <w:rPr>
          <w:rFonts w:ascii="Arial" w:hAnsi="Arial" w:cs="Arial"/>
          <w:sz w:val="24"/>
          <w:szCs w:val="24"/>
        </w:rPr>
        <w:t xml:space="preserve">, effectively removing Russia from the international oil market. </w:t>
      </w:r>
      <w:r w:rsidR="004568DC" w:rsidRPr="003F75C9">
        <w:rPr>
          <w:rFonts w:ascii="Arial" w:hAnsi="Arial" w:cs="Arial"/>
          <w:sz w:val="24"/>
          <w:szCs w:val="24"/>
        </w:rPr>
        <w:t xml:space="preserve">As Russia is </w:t>
      </w:r>
      <w:r w:rsidR="000213CA" w:rsidRPr="003F75C9">
        <w:rPr>
          <w:rFonts w:ascii="Arial" w:hAnsi="Arial" w:cs="Arial"/>
          <w:sz w:val="24"/>
          <w:szCs w:val="24"/>
        </w:rPr>
        <w:t>one of the</w:t>
      </w:r>
      <w:r w:rsidR="004568DC" w:rsidRPr="003F75C9">
        <w:rPr>
          <w:rFonts w:ascii="Arial" w:hAnsi="Arial" w:cs="Arial"/>
          <w:sz w:val="24"/>
          <w:szCs w:val="24"/>
        </w:rPr>
        <w:t xml:space="preserve"> largest </w:t>
      </w:r>
      <w:r w:rsidR="00852999" w:rsidRPr="003F75C9">
        <w:rPr>
          <w:rFonts w:ascii="Arial" w:hAnsi="Arial" w:cs="Arial"/>
          <w:sz w:val="24"/>
          <w:szCs w:val="24"/>
        </w:rPr>
        <w:t>exporters</w:t>
      </w:r>
      <w:r w:rsidR="004568DC" w:rsidRPr="003F75C9">
        <w:rPr>
          <w:rFonts w:ascii="Arial" w:hAnsi="Arial" w:cs="Arial"/>
          <w:sz w:val="24"/>
          <w:szCs w:val="24"/>
        </w:rPr>
        <w:t xml:space="preserve"> of crude oil in the world</w:t>
      </w:r>
      <w:sdt>
        <w:sdtPr>
          <w:rPr>
            <w:rFonts w:ascii="Arial" w:hAnsi="Arial" w:cs="Arial"/>
            <w:sz w:val="24"/>
            <w:szCs w:val="24"/>
          </w:rPr>
          <w:id w:val="-550682856"/>
          <w:citation/>
        </w:sdtPr>
        <w:sdtEndPr/>
        <w:sdtContent>
          <w:r w:rsidR="00A83FA9" w:rsidRPr="003F75C9">
            <w:rPr>
              <w:rFonts w:ascii="Arial" w:hAnsi="Arial" w:cs="Arial"/>
              <w:sz w:val="24"/>
              <w:szCs w:val="24"/>
            </w:rPr>
            <w:fldChar w:fldCharType="begin"/>
          </w:r>
          <w:r w:rsidR="00A83FA9" w:rsidRPr="003F75C9">
            <w:rPr>
              <w:rFonts w:ascii="Arial" w:hAnsi="Arial" w:cs="Arial"/>
              <w:sz w:val="24"/>
              <w:szCs w:val="24"/>
            </w:rPr>
            <w:instrText xml:space="preserve"> CITATION OPE22 \l 2057 </w:instrText>
          </w:r>
          <w:r w:rsidR="00A83FA9" w:rsidRPr="003F75C9">
            <w:rPr>
              <w:rFonts w:ascii="Arial" w:hAnsi="Arial" w:cs="Arial"/>
              <w:sz w:val="24"/>
              <w:szCs w:val="24"/>
            </w:rPr>
            <w:fldChar w:fldCharType="separate"/>
          </w:r>
          <w:r w:rsidR="00FA7844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FA7844" w:rsidRPr="00FA7844">
            <w:rPr>
              <w:rFonts w:ascii="Arial" w:hAnsi="Arial" w:cs="Arial"/>
              <w:noProof/>
              <w:sz w:val="24"/>
              <w:szCs w:val="24"/>
            </w:rPr>
            <w:t>(OPEC, 2022)</w:t>
          </w:r>
          <w:r w:rsidR="00A83FA9" w:rsidRPr="003F75C9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4568DC" w:rsidRPr="003F75C9">
        <w:rPr>
          <w:rFonts w:ascii="Arial" w:hAnsi="Arial" w:cs="Arial"/>
          <w:sz w:val="24"/>
          <w:szCs w:val="24"/>
        </w:rPr>
        <w:t>, the supply of oil has decreased drastically, resulting in increased oil</w:t>
      </w:r>
      <w:r w:rsidR="00CA5537" w:rsidRPr="003F75C9">
        <w:rPr>
          <w:rFonts w:ascii="Arial" w:hAnsi="Arial" w:cs="Arial"/>
          <w:sz w:val="24"/>
          <w:szCs w:val="24"/>
        </w:rPr>
        <w:t xml:space="preserve"> prices</w:t>
      </w:r>
      <w:r w:rsidR="004568DC" w:rsidRPr="003F75C9">
        <w:rPr>
          <w:rFonts w:ascii="Arial" w:hAnsi="Arial" w:cs="Arial"/>
          <w:sz w:val="24"/>
          <w:szCs w:val="24"/>
        </w:rPr>
        <w:t xml:space="preserve">. </w:t>
      </w:r>
      <w:r w:rsidR="00825ECD" w:rsidRPr="003F75C9">
        <w:rPr>
          <w:rFonts w:ascii="Arial" w:hAnsi="Arial" w:cs="Arial"/>
          <w:sz w:val="24"/>
          <w:szCs w:val="24"/>
        </w:rPr>
        <w:t xml:space="preserve">This will affect UK producers as the UK is </w:t>
      </w:r>
      <w:r w:rsidR="00B80612" w:rsidRPr="003F75C9">
        <w:rPr>
          <w:rFonts w:ascii="Arial" w:hAnsi="Arial" w:cs="Arial"/>
          <w:sz w:val="24"/>
          <w:szCs w:val="24"/>
        </w:rPr>
        <w:t xml:space="preserve">highly dependent on oil, being </w:t>
      </w:r>
      <w:r w:rsidR="00825ECD" w:rsidRPr="003F75C9">
        <w:rPr>
          <w:rFonts w:ascii="Arial" w:hAnsi="Arial" w:cs="Arial"/>
          <w:sz w:val="24"/>
          <w:szCs w:val="24"/>
        </w:rPr>
        <w:t>a net importer of oil</w:t>
      </w:r>
      <w:sdt>
        <w:sdtPr>
          <w:rPr>
            <w:rFonts w:ascii="Arial" w:hAnsi="Arial" w:cs="Arial"/>
            <w:sz w:val="24"/>
            <w:szCs w:val="24"/>
          </w:rPr>
          <w:id w:val="1792482729"/>
          <w:citation/>
        </w:sdtPr>
        <w:sdtEndPr/>
        <w:sdtContent>
          <w:r w:rsidR="000539D4" w:rsidRPr="003F75C9">
            <w:rPr>
              <w:rFonts w:ascii="Arial" w:hAnsi="Arial" w:cs="Arial"/>
              <w:sz w:val="24"/>
              <w:szCs w:val="24"/>
            </w:rPr>
            <w:fldChar w:fldCharType="begin"/>
          </w:r>
          <w:r w:rsidR="000539D4" w:rsidRPr="003F75C9">
            <w:rPr>
              <w:rFonts w:ascii="Arial" w:hAnsi="Arial" w:cs="Arial"/>
              <w:sz w:val="24"/>
              <w:szCs w:val="24"/>
            </w:rPr>
            <w:instrText xml:space="preserve"> CITATION Har21 \l 2057 </w:instrText>
          </w:r>
          <w:r w:rsidR="000539D4" w:rsidRPr="003F75C9">
            <w:rPr>
              <w:rFonts w:ascii="Arial" w:hAnsi="Arial" w:cs="Arial"/>
              <w:sz w:val="24"/>
              <w:szCs w:val="24"/>
            </w:rPr>
            <w:fldChar w:fldCharType="separate"/>
          </w:r>
          <w:r w:rsidR="00FA7844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FA7844" w:rsidRPr="00FA7844">
            <w:rPr>
              <w:rFonts w:ascii="Arial" w:hAnsi="Arial" w:cs="Arial"/>
              <w:noProof/>
              <w:sz w:val="24"/>
              <w:szCs w:val="24"/>
            </w:rPr>
            <w:t>(Harris, 2021)</w:t>
          </w:r>
          <w:r w:rsidR="000539D4" w:rsidRPr="003F75C9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825ECD" w:rsidRPr="003F75C9">
        <w:rPr>
          <w:rFonts w:ascii="Arial" w:hAnsi="Arial" w:cs="Arial"/>
          <w:sz w:val="24"/>
          <w:szCs w:val="24"/>
        </w:rPr>
        <w:t xml:space="preserve">. </w:t>
      </w:r>
      <w:r w:rsidR="00B80612" w:rsidRPr="003F75C9">
        <w:rPr>
          <w:rFonts w:ascii="Arial" w:hAnsi="Arial" w:cs="Arial"/>
          <w:sz w:val="24"/>
          <w:szCs w:val="24"/>
        </w:rPr>
        <w:t xml:space="preserve">This essay will </w:t>
      </w:r>
      <w:r w:rsidR="00660555" w:rsidRPr="003F75C9">
        <w:rPr>
          <w:rFonts w:ascii="Arial" w:hAnsi="Arial" w:cs="Arial"/>
          <w:sz w:val="24"/>
          <w:szCs w:val="24"/>
        </w:rPr>
        <w:t>analyse</w:t>
      </w:r>
      <w:r w:rsidR="00B80612" w:rsidRPr="003F75C9">
        <w:rPr>
          <w:rFonts w:ascii="Arial" w:hAnsi="Arial" w:cs="Arial"/>
          <w:sz w:val="24"/>
          <w:szCs w:val="24"/>
        </w:rPr>
        <w:t xml:space="preserve"> whether the increase in oil prices slows down the United Kingdom’s economy through </w:t>
      </w:r>
      <w:r w:rsidR="00660555" w:rsidRPr="003F75C9">
        <w:rPr>
          <w:rFonts w:ascii="Arial" w:hAnsi="Arial" w:cs="Arial"/>
          <w:sz w:val="24"/>
          <w:szCs w:val="24"/>
        </w:rPr>
        <w:t>analysing the aggregate levels of supply</w:t>
      </w:r>
      <w:r w:rsidR="004029A4">
        <w:rPr>
          <w:rFonts w:ascii="Arial" w:hAnsi="Arial" w:cs="Arial"/>
          <w:sz w:val="24"/>
          <w:szCs w:val="24"/>
        </w:rPr>
        <w:t xml:space="preserve"> and its output</w:t>
      </w:r>
      <w:r w:rsidR="00660555" w:rsidRPr="003F75C9">
        <w:rPr>
          <w:rFonts w:ascii="Arial" w:hAnsi="Arial" w:cs="Arial"/>
          <w:sz w:val="24"/>
          <w:szCs w:val="24"/>
        </w:rPr>
        <w:t>.</w:t>
      </w:r>
    </w:p>
    <w:p w14:paraId="3808F3A0" w14:textId="4A771BCA" w:rsidR="001F0E6B" w:rsidRPr="003F75C9" w:rsidRDefault="001F0E6B" w:rsidP="00911D45">
      <w:pPr>
        <w:spacing w:line="480" w:lineRule="auto"/>
        <w:rPr>
          <w:rFonts w:ascii="Arial" w:hAnsi="Arial" w:cs="Arial"/>
          <w:sz w:val="24"/>
          <w:szCs w:val="24"/>
        </w:rPr>
      </w:pPr>
    </w:p>
    <w:p w14:paraId="0A2D2363" w14:textId="62A75597" w:rsidR="00D565F8" w:rsidRPr="003F75C9" w:rsidRDefault="008C0038" w:rsidP="00911D45">
      <w:pPr>
        <w:spacing w:line="480" w:lineRule="auto"/>
        <w:rPr>
          <w:rFonts w:ascii="Arial" w:hAnsi="Arial" w:cs="Arial"/>
          <w:sz w:val="24"/>
          <w:szCs w:val="24"/>
        </w:rPr>
      </w:pPr>
      <w:r w:rsidRPr="003F75C9">
        <w:rPr>
          <w:rFonts w:ascii="Arial" w:hAnsi="Arial" w:cs="Arial"/>
          <w:sz w:val="24"/>
          <w:szCs w:val="24"/>
        </w:rPr>
        <w:t>The removal of Russian oil from the international market will decrease the supply of oil</w:t>
      </w:r>
      <w:r w:rsidR="00CC7632" w:rsidRPr="003F75C9">
        <w:rPr>
          <w:rFonts w:ascii="Arial" w:hAnsi="Arial" w:cs="Arial"/>
          <w:sz w:val="24"/>
          <w:szCs w:val="24"/>
        </w:rPr>
        <w:t xml:space="preserve">. </w:t>
      </w:r>
      <w:r w:rsidR="007D1E86">
        <w:rPr>
          <w:rFonts w:ascii="Arial" w:hAnsi="Arial" w:cs="Arial"/>
          <w:sz w:val="24"/>
          <w:szCs w:val="24"/>
        </w:rPr>
        <w:t xml:space="preserve">For the sake of analysis, one is to assume all other factors remain constant – ceteris paribus. </w:t>
      </w:r>
      <w:r w:rsidR="00CC7632" w:rsidRPr="003F75C9">
        <w:rPr>
          <w:rFonts w:ascii="Arial" w:hAnsi="Arial" w:cs="Arial"/>
          <w:sz w:val="24"/>
          <w:szCs w:val="24"/>
        </w:rPr>
        <w:t>With a decreased supply of oil, the prices will rise as the already scarce product becomes scarcer, making it more profitable</w:t>
      </w:r>
      <w:r w:rsidR="002444AC" w:rsidRPr="003F75C9">
        <w:rPr>
          <w:rFonts w:ascii="Arial" w:hAnsi="Arial" w:cs="Arial"/>
          <w:sz w:val="24"/>
          <w:szCs w:val="24"/>
        </w:rPr>
        <w:t xml:space="preserve"> to sell</w:t>
      </w:r>
      <w:r w:rsidR="00CC7632" w:rsidRPr="003F75C9">
        <w:rPr>
          <w:rFonts w:ascii="Arial" w:hAnsi="Arial" w:cs="Arial"/>
          <w:sz w:val="24"/>
          <w:szCs w:val="24"/>
        </w:rPr>
        <w:t xml:space="preserve">. </w:t>
      </w:r>
      <w:r w:rsidR="00843B41" w:rsidRPr="003F75C9">
        <w:rPr>
          <w:rFonts w:ascii="Arial" w:hAnsi="Arial" w:cs="Arial"/>
          <w:sz w:val="24"/>
          <w:szCs w:val="24"/>
        </w:rPr>
        <w:t>By increasing the price of oil, the cost of production increases. This increased cost is passed on to consumers in the form of increased price</w:t>
      </w:r>
      <w:sdt>
        <w:sdtPr>
          <w:rPr>
            <w:rFonts w:ascii="Arial" w:hAnsi="Arial" w:cs="Arial"/>
            <w:sz w:val="24"/>
            <w:szCs w:val="24"/>
          </w:rPr>
          <w:id w:val="1518425122"/>
          <w:citation/>
        </w:sdtPr>
        <w:sdtEndPr/>
        <w:sdtContent>
          <w:r w:rsidR="007A5BDC" w:rsidRPr="003F75C9">
            <w:rPr>
              <w:rFonts w:ascii="Arial" w:hAnsi="Arial" w:cs="Arial"/>
              <w:sz w:val="24"/>
              <w:szCs w:val="24"/>
            </w:rPr>
            <w:fldChar w:fldCharType="begin"/>
          </w:r>
          <w:r w:rsidR="007A5BDC" w:rsidRPr="003F75C9">
            <w:rPr>
              <w:rFonts w:ascii="Arial" w:hAnsi="Arial" w:cs="Arial"/>
              <w:sz w:val="24"/>
              <w:szCs w:val="24"/>
            </w:rPr>
            <w:instrText xml:space="preserve"> CITATION Wil14 \l 2057 </w:instrText>
          </w:r>
          <w:r w:rsidR="007A5BDC" w:rsidRPr="003F75C9">
            <w:rPr>
              <w:rFonts w:ascii="Arial" w:hAnsi="Arial" w:cs="Arial"/>
              <w:sz w:val="24"/>
              <w:szCs w:val="24"/>
            </w:rPr>
            <w:fldChar w:fldCharType="separate"/>
          </w:r>
          <w:r w:rsidR="00FA7844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FA7844" w:rsidRPr="00FA7844">
            <w:rPr>
              <w:rFonts w:ascii="Arial" w:hAnsi="Arial" w:cs="Arial"/>
              <w:noProof/>
              <w:sz w:val="24"/>
              <w:szCs w:val="24"/>
            </w:rPr>
            <w:t>(Williams, et al., 2014)</w:t>
          </w:r>
          <w:r w:rsidR="007A5BDC" w:rsidRPr="003F75C9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843B41" w:rsidRPr="003F75C9">
        <w:rPr>
          <w:rFonts w:ascii="Arial" w:hAnsi="Arial" w:cs="Arial"/>
          <w:sz w:val="24"/>
          <w:szCs w:val="24"/>
        </w:rPr>
        <w:t>.</w:t>
      </w:r>
      <w:r w:rsidR="00D565F8" w:rsidRPr="003F75C9">
        <w:rPr>
          <w:rFonts w:ascii="Arial" w:hAnsi="Arial" w:cs="Arial"/>
          <w:sz w:val="24"/>
          <w:szCs w:val="24"/>
        </w:rPr>
        <w:t xml:space="preserve"> </w:t>
      </w:r>
      <w:r w:rsidR="00726093" w:rsidRPr="003F75C9">
        <w:rPr>
          <w:rFonts w:ascii="Arial" w:hAnsi="Arial" w:cs="Arial"/>
          <w:sz w:val="24"/>
          <w:szCs w:val="24"/>
        </w:rPr>
        <w:t>As oil is</w:t>
      </w:r>
      <w:r w:rsidR="00CC72BA" w:rsidRPr="003F75C9">
        <w:rPr>
          <w:rFonts w:ascii="Arial" w:hAnsi="Arial" w:cs="Arial"/>
          <w:sz w:val="24"/>
          <w:szCs w:val="24"/>
        </w:rPr>
        <w:t xml:space="preserve"> utilized in most if not all production as a factor of production</w:t>
      </w:r>
      <w:r w:rsidR="00726093" w:rsidRPr="003F75C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2139488664"/>
          <w:citation/>
        </w:sdtPr>
        <w:sdtEndPr/>
        <w:sdtContent>
          <w:r w:rsidR="007A5BDC" w:rsidRPr="003F75C9">
            <w:rPr>
              <w:rFonts w:ascii="Arial" w:hAnsi="Arial" w:cs="Arial"/>
              <w:sz w:val="24"/>
              <w:szCs w:val="24"/>
            </w:rPr>
            <w:fldChar w:fldCharType="begin"/>
          </w:r>
          <w:r w:rsidR="007A5BDC" w:rsidRPr="003F75C9">
            <w:rPr>
              <w:rFonts w:ascii="Arial" w:hAnsi="Arial" w:cs="Arial"/>
              <w:sz w:val="24"/>
              <w:szCs w:val="24"/>
            </w:rPr>
            <w:instrText xml:space="preserve"> CITATION Dep21 \l 2057 </w:instrText>
          </w:r>
          <w:r w:rsidR="007A5BDC" w:rsidRPr="003F75C9">
            <w:rPr>
              <w:rFonts w:ascii="Arial" w:hAnsi="Arial" w:cs="Arial"/>
              <w:sz w:val="24"/>
              <w:szCs w:val="24"/>
            </w:rPr>
            <w:fldChar w:fldCharType="separate"/>
          </w:r>
          <w:r w:rsidR="00FA7844" w:rsidRPr="00FA7844">
            <w:rPr>
              <w:rFonts w:ascii="Arial" w:hAnsi="Arial" w:cs="Arial"/>
              <w:noProof/>
              <w:sz w:val="24"/>
              <w:szCs w:val="24"/>
            </w:rPr>
            <w:t>(Department for Business, Energy &amp; Industrial Strategy, 2021)</w:t>
          </w:r>
          <w:r w:rsidR="007A5BDC" w:rsidRPr="003F75C9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7A5BDC" w:rsidRPr="003F75C9">
        <w:rPr>
          <w:rFonts w:ascii="Arial" w:hAnsi="Arial" w:cs="Arial"/>
          <w:sz w:val="24"/>
          <w:szCs w:val="24"/>
        </w:rPr>
        <w:t xml:space="preserve"> </w:t>
      </w:r>
      <w:r w:rsidR="00CC72BA" w:rsidRPr="003F75C9">
        <w:rPr>
          <w:rFonts w:ascii="Arial" w:hAnsi="Arial" w:cs="Arial"/>
          <w:sz w:val="24"/>
          <w:szCs w:val="24"/>
        </w:rPr>
        <w:t xml:space="preserve">there </w:t>
      </w:r>
      <w:r w:rsidR="00D565F8" w:rsidRPr="003F75C9">
        <w:rPr>
          <w:rFonts w:ascii="Arial" w:hAnsi="Arial" w:cs="Arial"/>
          <w:sz w:val="24"/>
          <w:szCs w:val="24"/>
        </w:rPr>
        <w:t>is a decrease in the overall level of supply in the economy known as a negative shock in aggregate supply</w:t>
      </w:r>
      <w:r w:rsidR="00E96600">
        <w:rPr>
          <w:rFonts w:ascii="Arial" w:hAnsi="Arial" w:cs="Arial"/>
          <w:sz w:val="24"/>
          <w:szCs w:val="24"/>
        </w:rPr>
        <w:t>.</w:t>
      </w:r>
      <w:r w:rsidR="002444AC" w:rsidRPr="003F75C9">
        <w:rPr>
          <w:rFonts w:ascii="Arial" w:hAnsi="Arial" w:cs="Arial"/>
          <w:sz w:val="24"/>
          <w:szCs w:val="24"/>
        </w:rPr>
        <w:t xml:space="preserve"> </w:t>
      </w:r>
    </w:p>
    <w:p w14:paraId="48377614" w14:textId="0074DA3F" w:rsidR="0052667A" w:rsidRPr="003F75C9" w:rsidRDefault="002529E1" w:rsidP="00911D45">
      <w:pPr>
        <w:spacing w:line="480" w:lineRule="auto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E54FC5" wp14:editId="585DBCF2">
                <wp:simplePos x="0" y="0"/>
                <wp:positionH relativeFrom="column">
                  <wp:posOffset>337185</wp:posOffset>
                </wp:positionH>
                <wp:positionV relativeFrom="paragraph">
                  <wp:posOffset>4628515</wp:posOffset>
                </wp:positionV>
                <wp:extent cx="5057140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B13F60" w14:textId="39BBD583" w:rsidR="002529E1" w:rsidRPr="00FF00F3" w:rsidRDefault="002529E1" w:rsidP="002529E1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t xml:space="preserve">Figure </w:t>
                            </w:r>
                            <w:r w:rsidR="00667747">
                              <w:fldChar w:fldCharType="begin"/>
                            </w:r>
                            <w:r w:rsidR="00667747">
                              <w:instrText xml:space="preserve"> SEQ Figure \* ARABIC </w:instrText>
                            </w:r>
                            <w:r w:rsidR="0066774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66774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Aggregate Demand and aggregate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E54FC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6.55pt;margin-top:364.45pt;width:398.2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" stroked="f">
                <v:textbox style="mso-fit-shape-to-text:t" inset="0,0,0,0">
                  <w:txbxContent>
                    <w:p w14:paraId="3CB13F60" w14:textId="39BBD583" w:rsidR="002529E1" w:rsidRPr="00FF00F3" w:rsidRDefault="002529E1" w:rsidP="002529E1">
                      <w:pPr>
                        <w:pStyle w:val="Caption"/>
                        <w:jc w:val="center"/>
                        <w:rPr>
                          <w:rFonts w:ascii="Arial" w:hAnsi="Arial" w:cs="Arial"/>
                          <w:noProof/>
                          <w:sz w:val="24"/>
                          <w:szCs w:val="24"/>
                          <w:u w:val="single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Aggregate Demand and aggregate supply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2441E" w:rsidRPr="003F75C9">
        <w:rPr>
          <w:rFonts w:ascii="Arial" w:hAnsi="Arial" w:cs="Arial"/>
          <w:noProof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 wp14:anchorId="6270654F" wp14:editId="5725E81B">
            <wp:simplePos x="0" y="0"/>
            <wp:positionH relativeFrom="margin">
              <wp:align>center</wp:align>
            </wp:positionH>
            <wp:positionV relativeFrom="paragraph">
              <wp:posOffset>453225</wp:posOffset>
            </wp:positionV>
            <wp:extent cx="5057140" cy="411861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340AD2" w14:textId="3C8049E5" w:rsidR="001F0E6B" w:rsidRPr="003F75C9" w:rsidRDefault="001F0E6B" w:rsidP="00911D45">
      <w:pPr>
        <w:spacing w:line="480" w:lineRule="auto"/>
        <w:rPr>
          <w:rFonts w:ascii="Arial" w:hAnsi="Arial" w:cs="Arial"/>
          <w:sz w:val="24"/>
          <w:szCs w:val="24"/>
        </w:rPr>
      </w:pPr>
    </w:p>
    <w:p w14:paraId="326C003F" w14:textId="5628136F" w:rsidR="0052667A" w:rsidRPr="003F75C9" w:rsidRDefault="0052667A" w:rsidP="00911D45">
      <w:pPr>
        <w:spacing w:line="480" w:lineRule="auto"/>
        <w:rPr>
          <w:rFonts w:ascii="Arial" w:hAnsi="Arial" w:cs="Arial"/>
          <w:sz w:val="24"/>
          <w:szCs w:val="24"/>
        </w:rPr>
      </w:pPr>
      <w:r w:rsidRPr="003F75C9">
        <w:rPr>
          <w:rFonts w:ascii="Arial" w:hAnsi="Arial" w:cs="Arial"/>
          <w:sz w:val="24"/>
          <w:szCs w:val="24"/>
        </w:rPr>
        <w:t>Figure 1 showcases th</w:t>
      </w:r>
      <w:r w:rsidR="00E96600">
        <w:rPr>
          <w:rFonts w:ascii="Arial" w:hAnsi="Arial" w:cs="Arial"/>
          <w:sz w:val="24"/>
          <w:szCs w:val="24"/>
        </w:rPr>
        <w:t>is</w:t>
      </w:r>
      <w:r w:rsidRPr="003F75C9">
        <w:rPr>
          <w:rFonts w:ascii="Arial" w:hAnsi="Arial" w:cs="Arial"/>
          <w:sz w:val="24"/>
          <w:szCs w:val="24"/>
        </w:rPr>
        <w:t xml:space="preserve"> negative sho</w:t>
      </w:r>
      <w:r w:rsidR="003B6E5F">
        <w:rPr>
          <w:rFonts w:ascii="Arial" w:hAnsi="Arial" w:cs="Arial"/>
          <w:sz w:val="24"/>
          <w:szCs w:val="24"/>
        </w:rPr>
        <w:t>ck</w:t>
      </w:r>
      <w:r w:rsidRPr="003F75C9">
        <w:rPr>
          <w:rFonts w:ascii="Arial" w:hAnsi="Arial" w:cs="Arial"/>
          <w:sz w:val="24"/>
          <w:szCs w:val="24"/>
        </w:rPr>
        <w:t xml:space="preserve"> in aggregate supply </w:t>
      </w:r>
      <w:r w:rsidR="00333D88" w:rsidRPr="003F75C9">
        <w:rPr>
          <w:rFonts w:ascii="Arial" w:hAnsi="Arial" w:cs="Arial"/>
          <w:sz w:val="24"/>
          <w:szCs w:val="24"/>
        </w:rPr>
        <w:t>through a leftwards shift in the short run aggregate supply curve from SRAS</w:t>
      </w:r>
      <w:r w:rsidR="00333D88" w:rsidRPr="003F75C9">
        <w:rPr>
          <w:rFonts w:ascii="Arial" w:hAnsi="Arial" w:cs="Arial"/>
          <w:sz w:val="24"/>
          <w:szCs w:val="24"/>
          <w:vertAlign w:val="subscript"/>
        </w:rPr>
        <w:t>0</w:t>
      </w:r>
      <w:r w:rsidR="00333D88" w:rsidRPr="003F75C9">
        <w:rPr>
          <w:rFonts w:ascii="Arial" w:hAnsi="Arial" w:cs="Arial"/>
          <w:sz w:val="24"/>
          <w:szCs w:val="24"/>
        </w:rPr>
        <w:t xml:space="preserve"> to SRAS</w:t>
      </w:r>
      <w:r w:rsidR="00333D88" w:rsidRPr="003F75C9">
        <w:rPr>
          <w:rFonts w:ascii="Arial" w:hAnsi="Arial" w:cs="Arial"/>
          <w:sz w:val="24"/>
          <w:szCs w:val="24"/>
          <w:vertAlign w:val="subscript"/>
        </w:rPr>
        <w:t>1</w:t>
      </w:r>
      <w:r w:rsidR="00333D88" w:rsidRPr="003F75C9">
        <w:rPr>
          <w:rFonts w:ascii="Arial" w:hAnsi="Arial" w:cs="Arial"/>
          <w:sz w:val="24"/>
          <w:szCs w:val="24"/>
        </w:rPr>
        <w:t>.</w:t>
      </w:r>
      <w:r w:rsidR="009D37B9">
        <w:rPr>
          <w:rFonts w:ascii="Arial" w:hAnsi="Arial" w:cs="Arial"/>
          <w:sz w:val="24"/>
          <w:szCs w:val="24"/>
        </w:rPr>
        <w:t xml:space="preserve"> </w:t>
      </w:r>
      <w:r w:rsidR="00377343">
        <w:rPr>
          <w:rFonts w:ascii="Arial" w:hAnsi="Arial" w:cs="Arial"/>
          <w:sz w:val="24"/>
          <w:szCs w:val="24"/>
        </w:rPr>
        <w:t xml:space="preserve">Initially, the economy exists in equilibrium, </w:t>
      </w:r>
      <w:r w:rsidR="009D37B9">
        <w:rPr>
          <w:rFonts w:ascii="Arial" w:hAnsi="Arial" w:cs="Arial"/>
          <w:sz w:val="24"/>
          <w:szCs w:val="24"/>
        </w:rPr>
        <w:t xml:space="preserve">where the </w:t>
      </w:r>
      <w:r w:rsidR="00C35937">
        <w:rPr>
          <w:rFonts w:ascii="Arial" w:hAnsi="Arial" w:cs="Arial"/>
          <w:sz w:val="24"/>
          <w:szCs w:val="24"/>
        </w:rPr>
        <w:t>aggregate</w:t>
      </w:r>
      <w:r w:rsidR="009D37B9">
        <w:rPr>
          <w:rFonts w:ascii="Arial" w:hAnsi="Arial" w:cs="Arial"/>
          <w:sz w:val="24"/>
          <w:szCs w:val="24"/>
        </w:rPr>
        <w:t xml:space="preserve"> demand in the economy is equal to the</w:t>
      </w:r>
      <w:r w:rsidR="00C35937">
        <w:rPr>
          <w:rFonts w:ascii="Arial" w:hAnsi="Arial" w:cs="Arial"/>
          <w:sz w:val="24"/>
          <w:szCs w:val="24"/>
        </w:rPr>
        <w:t xml:space="preserve"> aggregate supply</w:t>
      </w:r>
      <w:r w:rsidR="008A211C">
        <w:rPr>
          <w:rFonts w:ascii="Arial" w:hAnsi="Arial" w:cs="Arial"/>
          <w:sz w:val="24"/>
          <w:szCs w:val="24"/>
        </w:rPr>
        <w:t xml:space="preserve"> in the short run</w:t>
      </w:r>
      <w:r w:rsidR="008E4E29">
        <w:rPr>
          <w:rFonts w:ascii="Arial" w:hAnsi="Arial" w:cs="Arial"/>
          <w:sz w:val="24"/>
          <w:szCs w:val="24"/>
        </w:rPr>
        <w:t xml:space="preserve">. </w:t>
      </w:r>
      <w:r w:rsidR="00333D88" w:rsidRPr="003F75C9">
        <w:rPr>
          <w:rFonts w:ascii="Arial" w:hAnsi="Arial" w:cs="Arial"/>
          <w:sz w:val="24"/>
          <w:szCs w:val="24"/>
        </w:rPr>
        <w:t xml:space="preserve">At the </w:t>
      </w:r>
      <w:r w:rsidR="00D42D4E">
        <w:rPr>
          <w:rFonts w:ascii="Arial" w:hAnsi="Arial" w:cs="Arial"/>
          <w:sz w:val="24"/>
          <w:szCs w:val="24"/>
        </w:rPr>
        <w:t>initial</w:t>
      </w:r>
      <w:r w:rsidR="00333D88" w:rsidRPr="003F75C9">
        <w:rPr>
          <w:rFonts w:ascii="Arial" w:hAnsi="Arial" w:cs="Arial"/>
          <w:sz w:val="24"/>
          <w:szCs w:val="24"/>
        </w:rPr>
        <w:t xml:space="preserve"> equilibrium output</w:t>
      </w:r>
      <w:r w:rsidR="005B0B18">
        <w:rPr>
          <w:rFonts w:ascii="Arial" w:hAnsi="Arial" w:cs="Arial"/>
          <w:sz w:val="24"/>
          <w:szCs w:val="24"/>
        </w:rPr>
        <w:t xml:space="preserve"> level of</w:t>
      </w:r>
      <w:r w:rsidR="00333D88" w:rsidRPr="003F75C9">
        <w:rPr>
          <w:rFonts w:ascii="Arial" w:hAnsi="Arial" w:cs="Arial"/>
          <w:sz w:val="24"/>
          <w:szCs w:val="24"/>
        </w:rPr>
        <w:t xml:space="preserve"> Y</w:t>
      </w:r>
      <w:r w:rsidR="00333D88" w:rsidRPr="0065358E">
        <w:rPr>
          <w:rFonts w:ascii="Arial" w:hAnsi="Arial" w:cs="Arial"/>
          <w:sz w:val="24"/>
          <w:szCs w:val="24"/>
          <w:vertAlign w:val="superscript"/>
        </w:rPr>
        <w:t>*</w:t>
      </w:r>
      <w:r w:rsidR="005B0B18">
        <w:rPr>
          <w:rFonts w:ascii="Arial" w:hAnsi="Arial" w:cs="Arial"/>
          <w:sz w:val="24"/>
          <w:szCs w:val="24"/>
        </w:rPr>
        <w:t>,</w:t>
      </w:r>
      <w:r w:rsidR="00D42D4E">
        <w:rPr>
          <w:rFonts w:ascii="Arial" w:hAnsi="Arial" w:cs="Arial"/>
          <w:sz w:val="24"/>
          <w:szCs w:val="24"/>
        </w:rPr>
        <w:t xml:space="preserve"> with</w:t>
      </w:r>
      <w:r w:rsidR="005B0B18">
        <w:rPr>
          <w:rFonts w:ascii="Arial" w:hAnsi="Arial" w:cs="Arial"/>
          <w:sz w:val="24"/>
          <w:szCs w:val="24"/>
        </w:rPr>
        <w:t xml:space="preserve"> </w:t>
      </w:r>
      <w:r w:rsidR="00206D04" w:rsidRPr="003F75C9">
        <w:rPr>
          <w:rFonts w:ascii="Arial" w:hAnsi="Arial" w:cs="Arial"/>
          <w:sz w:val="24"/>
          <w:szCs w:val="24"/>
        </w:rPr>
        <w:t xml:space="preserve">the </w:t>
      </w:r>
      <w:r w:rsidR="00D42D4E">
        <w:rPr>
          <w:rFonts w:ascii="Arial" w:hAnsi="Arial" w:cs="Arial"/>
          <w:sz w:val="24"/>
          <w:szCs w:val="24"/>
        </w:rPr>
        <w:t xml:space="preserve">decreased </w:t>
      </w:r>
      <w:r w:rsidR="00206D04" w:rsidRPr="003F75C9">
        <w:rPr>
          <w:rFonts w:ascii="Arial" w:hAnsi="Arial" w:cs="Arial"/>
          <w:sz w:val="24"/>
          <w:szCs w:val="24"/>
        </w:rPr>
        <w:t>SRAS curve</w:t>
      </w:r>
      <w:r w:rsidR="00D42D4E">
        <w:rPr>
          <w:rFonts w:ascii="Arial" w:hAnsi="Arial" w:cs="Arial"/>
          <w:sz w:val="24"/>
          <w:szCs w:val="24"/>
        </w:rPr>
        <w:t xml:space="preserve"> SRAS</w:t>
      </w:r>
      <w:r w:rsidR="00D42D4E" w:rsidRPr="00D42D4E">
        <w:rPr>
          <w:rFonts w:ascii="Arial" w:hAnsi="Arial" w:cs="Arial"/>
          <w:sz w:val="24"/>
          <w:szCs w:val="24"/>
          <w:vertAlign w:val="subscript"/>
        </w:rPr>
        <w:t>1</w:t>
      </w:r>
      <w:r w:rsidR="00206D04" w:rsidRPr="003F75C9">
        <w:rPr>
          <w:rFonts w:ascii="Arial" w:hAnsi="Arial" w:cs="Arial"/>
          <w:sz w:val="24"/>
          <w:szCs w:val="24"/>
        </w:rPr>
        <w:t>, there is an increase</w:t>
      </w:r>
      <w:r w:rsidR="00D42D4E">
        <w:rPr>
          <w:rFonts w:ascii="Arial" w:hAnsi="Arial" w:cs="Arial"/>
          <w:sz w:val="24"/>
          <w:szCs w:val="24"/>
        </w:rPr>
        <w:t xml:space="preserve"> in price levels, also known as inflation</w:t>
      </w:r>
      <w:r w:rsidR="00206D04" w:rsidRPr="003F75C9">
        <w:rPr>
          <w:rFonts w:ascii="Arial" w:hAnsi="Arial" w:cs="Arial"/>
          <w:sz w:val="24"/>
          <w:szCs w:val="24"/>
        </w:rPr>
        <w:t xml:space="preserve">. At </w:t>
      </w:r>
      <w:r w:rsidR="007325E9" w:rsidRPr="003F75C9">
        <w:rPr>
          <w:rFonts w:ascii="Arial" w:hAnsi="Arial" w:cs="Arial"/>
          <w:sz w:val="24"/>
          <w:szCs w:val="24"/>
        </w:rPr>
        <w:t xml:space="preserve">the new </w:t>
      </w:r>
      <w:r w:rsidR="00206D04" w:rsidRPr="003F75C9">
        <w:rPr>
          <w:rFonts w:ascii="Arial" w:hAnsi="Arial" w:cs="Arial"/>
          <w:sz w:val="24"/>
          <w:szCs w:val="24"/>
        </w:rPr>
        <w:t>level of inflation</w:t>
      </w:r>
      <w:r w:rsidR="007325E9" w:rsidRPr="003F75C9">
        <w:rPr>
          <w:rFonts w:ascii="Arial" w:hAnsi="Arial" w:cs="Arial"/>
          <w:sz w:val="24"/>
          <w:szCs w:val="24"/>
        </w:rPr>
        <w:t xml:space="preserve"> at point B</w:t>
      </w:r>
      <w:r w:rsidR="00206D04" w:rsidRPr="003F75C9">
        <w:rPr>
          <w:rFonts w:ascii="Arial" w:hAnsi="Arial" w:cs="Arial"/>
          <w:sz w:val="24"/>
          <w:szCs w:val="24"/>
        </w:rPr>
        <w:t>, less will be demanded</w:t>
      </w:r>
      <w:r w:rsidR="00A64A78">
        <w:rPr>
          <w:rFonts w:ascii="Arial" w:hAnsi="Arial" w:cs="Arial"/>
          <w:sz w:val="24"/>
          <w:szCs w:val="24"/>
        </w:rPr>
        <w:t xml:space="preserve"> than is supplied for the given price levels,</w:t>
      </w:r>
      <w:r w:rsidR="00206D04" w:rsidRPr="003F75C9">
        <w:rPr>
          <w:rFonts w:ascii="Arial" w:hAnsi="Arial" w:cs="Arial"/>
          <w:sz w:val="24"/>
          <w:szCs w:val="24"/>
        </w:rPr>
        <w:t xml:space="preserve"> causing a new </w:t>
      </w:r>
      <w:r w:rsidR="00CF5BD7" w:rsidRPr="003F75C9">
        <w:rPr>
          <w:rFonts w:ascii="Arial" w:hAnsi="Arial" w:cs="Arial"/>
          <w:sz w:val="24"/>
          <w:szCs w:val="24"/>
        </w:rPr>
        <w:t>e</w:t>
      </w:r>
      <w:r w:rsidR="00206D04" w:rsidRPr="003F75C9">
        <w:rPr>
          <w:rFonts w:ascii="Arial" w:hAnsi="Arial" w:cs="Arial"/>
          <w:sz w:val="24"/>
          <w:szCs w:val="24"/>
        </w:rPr>
        <w:t xml:space="preserve">quilibrium </w:t>
      </w:r>
      <w:r w:rsidR="00CF5BD7" w:rsidRPr="003F75C9">
        <w:rPr>
          <w:rFonts w:ascii="Arial" w:hAnsi="Arial" w:cs="Arial"/>
          <w:sz w:val="24"/>
          <w:szCs w:val="24"/>
        </w:rPr>
        <w:t xml:space="preserve">to be established at </w:t>
      </w:r>
      <w:r w:rsidR="009A4186" w:rsidRPr="003F75C9">
        <w:rPr>
          <w:rFonts w:ascii="Arial" w:hAnsi="Arial" w:cs="Arial"/>
          <w:sz w:val="24"/>
          <w:szCs w:val="24"/>
        </w:rPr>
        <w:t xml:space="preserve">point C, with </w:t>
      </w:r>
      <w:r w:rsidR="00A64A78">
        <w:rPr>
          <w:rFonts w:ascii="Arial" w:hAnsi="Arial" w:cs="Arial"/>
          <w:sz w:val="24"/>
          <w:szCs w:val="24"/>
        </w:rPr>
        <w:t xml:space="preserve">decreased </w:t>
      </w:r>
      <w:r w:rsidR="009A4186" w:rsidRPr="003F75C9">
        <w:rPr>
          <w:rFonts w:ascii="Arial" w:hAnsi="Arial" w:cs="Arial"/>
          <w:sz w:val="24"/>
          <w:szCs w:val="24"/>
        </w:rPr>
        <w:t xml:space="preserve">output </w:t>
      </w:r>
      <w:r w:rsidR="00A64A78">
        <w:rPr>
          <w:rFonts w:ascii="Arial" w:hAnsi="Arial" w:cs="Arial"/>
          <w:sz w:val="24"/>
          <w:szCs w:val="24"/>
        </w:rPr>
        <w:t xml:space="preserve">of </w:t>
      </w:r>
      <w:r w:rsidR="009A4186" w:rsidRPr="003F75C9">
        <w:rPr>
          <w:rFonts w:ascii="Arial" w:hAnsi="Arial" w:cs="Arial"/>
          <w:sz w:val="24"/>
          <w:szCs w:val="24"/>
        </w:rPr>
        <w:t>Y</w:t>
      </w:r>
      <w:r w:rsidR="009A4186" w:rsidRPr="003F75C9">
        <w:rPr>
          <w:rFonts w:ascii="Arial" w:hAnsi="Arial" w:cs="Arial"/>
          <w:sz w:val="24"/>
          <w:szCs w:val="24"/>
          <w:vertAlign w:val="subscript"/>
        </w:rPr>
        <w:t>1</w:t>
      </w:r>
      <w:r w:rsidR="009A4186" w:rsidRPr="003F75C9">
        <w:rPr>
          <w:rFonts w:ascii="Arial" w:hAnsi="Arial" w:cs="Arial"/>
          <w:sz w:val="24"/>
          <w:szCs w:val="24"/>
        </w:rPr>
        <w:t xml:space="preserve"> and </w:t>
      </w:r>
      <w:r w:rsidR="007325E9" w:rsidRPr="003F75C9">
        <w:rPr>
          <w:rFonts w:ascii="Arial" w:hAnsi="Arial" w:cs="Arial"/>
          <w:sz w:val="24"/>
          <w:szCs w:val="24"/>
        </w:rPr>
        <w:t xml:space="preserve">inflation </w:t>
      </w:r>
      <w:r w:rsidR="00A64A78">
        <w:rPr>
          <w:rFonts w:ascii="Arial" w:hAnsi="Arial" w:cs="Arial"/>
          <w:sz w:val="24"/>
          <w:szCs w:val="24"/>
        </w:rPr>
        <w:t xml:space="preserve">at </w:t>
      </w:r>
      <w:r w:rsidR="00C255F6" w:rsidRPr="003F75C9">
        <w:rPr>
          <w:rFonts w:ascii="Arial" w:hAnsi="Arial" w:cs="Arial"/>
          <w:sz w:val="24"/>
          <w:szCs w:val="24"/>
        </w:rPr>
        <w:t>π</w:t>
      </w:r>
      <w:r w:rsidR="007325E9" w:rsidRPr="003F75C9">
        <w:rPr>
          <w:rFonts w:ascii="Arial" w:hAnsi="Arial" w:cs="Arial"/>
          <w:sz w:val="24"/>
          <w:szCs w:val="24"/>
          <w:vertAlign w:val="subscript"/>
        </w:rPr>
        <w:t>1</w:t>
      </w:r>
      <w:r w:rsidR="00CF5BD7" w:rsidRPr="003F75C9">
        <w:rPr>
          <w:rFonts w:ascii="Arial" w:hAnsi="Arial" w:cs="Arial"/>
          <w:sz w:val="24"/>
          <w:szCs w:val="24"/>
        </w:rPr>
        <w:t xml:space="preserve">. The new equilibrium is at a production level below the potential output </w:t>
      </w:r>
      <w:r w:rsidR="00BE0930" w:rsidRPr="003F75C9">
        <w:rPr>
          <w:rFonts w:ascii="Arial" w:hAnsi="Arial" w:cs="Arial"/>
          <w:sz w:val="24"/>
          <w:szCs w:val="24"/>
        </w:rPr>
        <w:t>Y</w:t>
      </w:r>
      <w:r w:rsidR="00BE0930" w:rsidRPr="003F75C9">
        <w:rPr>
          <w:rFonts w:ascii="Arial" w:hAnsi="Arial" w:cs="Arial"/>
          <w:sz w:val="24"/>
          <w:szCs w:val="24"/>
          <w:vertAlign w:val="superscript"/>
        </w:rPr>
        <w:t>*</w:t>
      </w:r>
      <w:r w:rsidR="009B2B89" w:rsidRPr="003F75C9">
        <w:rPr>
          <w:rFonts w:ascii="Arial" w:hAnsi="Arial" w:cs="Arial"/>
          <w:sz w:val="24"/>
          <w:szCs w:val="24"/>
        </w:rPr>
        <w:t xml:space="preserve"> </w:t>
      </w:r>
      <w:r w:rsidR="00CF5BD7" w:rsidRPr="003F75C9">
        <w:rPr>
          <w:rFonts w:ascii="Arial" w:hAnsi="Arial" w:cs="Arial"/>
          <w:sz w:val="24"/>
          <w:szCs w:val="24"/>
        </w:rPr>
        <w:t>shown by the long run aggregate supply curve LRAS. This negative output gap</w:t>
      </w:r>
      <w:r w:rsidR="000C1E10">
        <w:rPr>
          <w:rFonts w:ascii="Arial" w:hAnsi="Arial" w:cs="Arial"/>
          <w:sz w:val="24"/>
          <w:szCs w:val="24"/>
        </w:rPr>
        <w:t xml:space="preserve"> between Y</w:t>
      </w:r>
      <w:r w:rsidR="000C1E10" w:rsidRPr="0065358E">
        <w:rPr>
          <w:rFonts w:ascii="Arial" w:hAnsi="Arial" w:cs="Arial"/>
          <w:sz w:val="24"/>
          <w:szCs w:val="24"/>
          <w:vertAlign w:val="superscript"/>
        </w:rPr>
        <w:t>*</w:t>
      </w:r>
      <w:r w:rsidR="000C1E10">
        <w:rPr>
          <w:rFonts w:ascii="Arial" w:hAnsi="Arial" w:cs="Arial"/>
          <w:sz w:val="24"/>
          <w:szCs w:val="24"/>
        </w:rPr>
        <w:t xml:space="preserve"> and Y</w:t>
      </w:r>
      <w:r w:rsidR="000C1E10" w:rsidRPr="000C1E10">
        <w:rPr>
          <w:rFonts w:ascii="Arial" w:hAnsi="Arial" w:cs="Arial"/>
          <w:sz w:val="24"/>
          <w:szCs w:val="24"/>
          <w:vertAlign w:val="subscript"/>
        </w:rPr>
        <w:t>1</w:t>
      </w:r>
      <w:r w:rsidR="00CF5BD7" w:rsidRPr="003F75C9">
        <w:rPr>
          <w:rFonts w:ascii="Arial" w:hAnsi="Arial" w:cs="Arial"/>
          <w:sz w:val="24"/>
          <w:szCs w:val="24"/>
        </w:rPr>
        <w:t xml:space="preserve"> causes inflation to </w:t>
      </w:r>
      <w:r w:rsidR="00CF5BD7" w:rsidRPr="003F75C9">
        <w:rPr>
          <w:rFonts w:ascii="Arial" w:hAnsi="Arial" w:cs="Arial"/>
          <w:sz w:val="24"/>
          <w:szCs w:val="24"/>
        </w:rPr>
        <w:lastRenderedPageBreak/>
        <w:t xml:space="preserve">decrease from the positive relationship between </w:t>
      </w:r>
      <w:r w:rsidR="00EE08BF" w:rsidRPr="003F75C9">
        <w:rPr>
          <w:rFonts w:ascii="Arial" w:hAnsi="Arial" w:cs="Arial"/>
          <w:sz w:val="24"/>
          <w:szCs w:val="24"/>
        </w:rPr>
        <w:t xml:space="preserve">the </w:t>
      </w:r>
      <w:r w:rsidR="005D12BC" w:rsidRPr="003F75C9">
        <w:rPr>
          <w:rFonts w:ascii="Arial" w:hAnsi="Arial" w:cs="Arial"/>
          <w:sz w:val="24"/>
          <w:szCs w:val="24"/>
        </w:rPr>
        <w:t>output gap and inflation</w:t>
      </w:r>
      <w:sdt>
        <w:sdtPr>
          <w:rPr>
            <w:rFonts w:ascii="Arial" w:hAnsi="Arial" w:cs="Arial"/>
            <w:sz w:val="24"/>
            <w:szCs w:val="24"/>
          </w:rPr>
          <w:id w:val="2106148277"/>
          <w:citation/>
        </w:sdtPr>
        <w:sdtEndPr/>
        <w:sdtContent>
          <w:r w:rsidR="007A5BDC" w:rsidRPr="003F75C9">
            <w:rPr>
              <w:rFonts w:ascii="Arial" w:hAnsi="Arial" w:cs="Arial"/>
              <w:sz w:val="24"/>
              <w:szCs w:val="24"/>
            </w:rPr>
            <w:fldChar w:fldCharType="begin"/>
          </w:r>
          <w:r w:rsidR="00FA7844">
            <w:rPr>
              <w:rFonts w:ascii="Arial" w:hAnsi="Arial" w:cs="Arial"/>
              <w:sz w:val="24"/>
              <w:szCs w:val="24"/>
            </w:rPr>
            <w:instrText xml:space="preserve">CITATION Cla00 \l 2057 </w:instrText>
          </w:r>
          <w:r w:rsidR="007A5BDC" w:rsidRPr="003F75C9">
            <w:rPr>
              <w:rFonts w:ascii="Arial" w:hAnsi="Arial" w:cs="Arial"/>
              <w:sz w:val="24"/>
              <w:szCs w:val="24"/>
            </w:rPr>
            <w:fldChar w:fldCharType="separate"/>
          </w:r>
          <w:r w:rsidR="00FA7844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FA7844" w:rsidRPr="00FA7844">
            <w:rPr>
              <w:rFonts w:ascii="Arial" w:hAnsi="Arial" w:cs="Arial"/>
              <w:noProof/>
              <w:sz w:val="24"/>
              <w:szCs w:val="24"/>
            </w:rPr>
            <w:t>(Claus, 2000)</w:t>
          </w:r>
          <w:r w:rsidR="007A5BDC" w:rsidRPr="003F75C9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667747">
        <w:rPr>
          <w:rFonts w:ascii="Arial" w:hAnsi="Arial" w:cs="Arial"/>
          <w:sz w:val="24"/>
          <w:szCs w:val="24"/>
        </w:rPr>
        <w:t>, however, this only occurs towards the long run. Meaning, u</w:t>
      </w:r>
      <w:r w:rsidR="00EE08BF" w:rsidRPr="003F75C9">
        <w:rPr>
          <w:rFonts w:ascii="Arial" w:hAnsi="Arial" w:cs="Arial"/>
          <w:sz w:val="24"/>
          <w:szCs w:val="24"/>
        </w:rPr>
        <w:t xml:space="preserve">ltimately, the original equilibrium </w:t>
      </w:r>
      <w:r w:rsidR="007325E9" w:rsidRPr="003F75C9">
        <w:rPr>
          <w:rFonts w:ascii="Arial" w:hAnsi="Arial" w:cs="Arial"/>
          <w:sz w:val="24"/>
          <w:szCs w:val="24"/>
        </w:rPr>
        <w:t xml:space="preserve">at A </w:t>
      </w:r>
      <w:r w:rsidR="00EE08BF" w:rsidRPr="003F75C9">
        <w:rPr>
          <w:rFonts w:ascii="Arial" w:hAnsi="Arial" w:cs="Arial"/>
          <w:sz w:val="24"/>
          <w:szCs w:val="24"/>
        </w:rPr>
        <w:t>is re-established</w:t>
      </w:r>
      <w:r w:rsidR="00667747">
        <w:rPr>
          <w:rFonts w:ascii="Arial" w:hAnsi="Arial" w:cs="Arial"/>
          <w:sz w:val="24"/>
          <w:szCs w:val="24"/>
        </w:rPr>
        <w:t>, but in the short run, the economy operates at point C</w:t>
      </w:r>
      <w:r w:rsidR="00EE08BF" w:rsidRPr="003F75C9">
        <w:rPr>
          <w:rFonts w:ascii="Arial" w:hAnsi="Arial" w:cs="Arial"/>
          <w:sz w:val="24"/>
          <w:szCs w:val="24"/>
        </w:rPr>
        <w:t>.</w:t>
      </w:r>
    </w:p>
    <w:p w14:paraId="60DD991C" w14:textId="5CA7EB3D" w:rsidR="00EE08BF" w:rsidRPr="003F75C9" w:rsidRDefault="00EE08BF" w:rsidP="00911D45">
      <w:pPr>
        <w:spacing w:line="480" w:lineRule="auto"/>
        <w:rPr>
          <w:rFonts w:ascii="Arial" w:hAnsi="Arial" w:cs="Arial"/>
          <w:sz w:val="24"/>
          <w:szCs w:val="24"/>
        </w:rPr>
      </w:pPr>
    </w:p>
    <w:p w14:paraId="2BD2B053" w14:textId="17900B8B" w:rsidR="001F0E6B" w:rsidRPr="003F75C9" w:rsidRDefault="00FD1737" w:rsidP="00911D45">
      <w:pPr>
        <w:spacing w:line="480" w:lineRule="auto"/>
        <w:rPr>
          <w:rFonts w:ascii="Arial" w:hAnsi="Arial" w:cs="Arial"/>
          <w:sz w:val="24"/>
          <w:szCs w:val="24"/>
        </w:rPr>
      </w:pPr>
      <w:r w:rsidRPr="003F75C9">
        <w:rPr>
          <w:rFonts w:ascii="Arial" w:hAnsi="Arial" w:cs="Arial"/>
          <w:sz w:val="24"/>
          <w:szCs w:val="24"/>
        </w:rPr>
        <w:t xml:space="preserve">The United Kingdom’s economy will slow down </w:t>
      </w:r>
      <w:r w:rsidR="009A4186" w:rsidRPr="003F75C9">
        <w:rPr>
          <w:rFonts w:ascii="Arial" w:hAnsi="Arial" w:cs="Arial"/>
          <w:sz w:val="24"/>
          <w:szCs w:val="24"/>
        </w:rPr>
        <w:t xml:space="preserve">in the short run </w:t>
      </w:r>
      <w:r w:rsidR="00A56192">
        <w:rPr>
          <w:rFonts w:ascii="Arial" w:hAnsi="Arial" w:cs="Arial"/>
          <w:sz w:val="24"/>
          <w:szCs w:val="24"/>
        </w:rPr>
        <w:t>since</w:t>
      </w:r>
      <w:r w:rsidR="009A4186" w:rsidRPr="003F75C9">
        <w:rPr>
          <w:rFonts w:ascii="Arial" w:hAnsi="Arial" w:cs="Arial"/>
          <w:sz w:val="24"/>
          <w:szCs w:val="24"/>
        </w:rPr>
        <w:t xml:space="preserve"> output </w:t>
      </w:r>
      <w:r w:rsidR="00A56192">
        <w:rPr>
          <w:rFonts w:ascii="Arial" w:hAnsi="Arial" w:cs="Arial"/>
          <w:sz w:val="24"/>
          <w:szCs w:val="24"/>
        </w:rPr>
        <w:t>moves to</w:t>
      </w:r>
      <w:r w:rsidR="009A4186" w:rsidRPr="003F75C9">
        <w:rPr>
          <w:rFonts w:ascii="Arial" w:hAnsi="Arial" w:cs="Arial"/>
          <w:sz w:val="24"/>
          <w:szCs w:val="24"/>
        </w:rPr>
        <w:t xml:space="preserve"> Y</w:t>
      </w:r>
      <w:r w:rsidR="009A4186" w:rsidRPr="003F75C9">
        <w:rPr>
          <w:rFonts w:ascii="Arial" w:hAnsi="Arial" w:cs="Arial"/>
          <w:sz w:val="24"/>
          <w:szCs w:val="24"/>
          <w:vertAlign w:val="subscript"/>
        </w:rPr>
        <w:t>1</w:t>
      </w:r>
      <w:r w:rsidR="00A56192">
        <w:rPr>
          <w:rFonts w:ascii="Arial" w:hAnsi="Arial" w:cs="Arial"/>
          <w:sz w:val="24"/>
          <w:szCs w:val="24"/>
        </w:rPr>
        <w:t xml:space="preserve"> from its </w:t>
      </w:r>
      <w:r w:rsidR="009A4186" w:rsidRPr="003F75C9">
        <w:rPr>
          <w:rFonts w:ascii="Arial" w:hAnsi="Arial" w:cs="Arial"/>
          <w:sz w:val="24"/>
          <w:szCs w:val="24"/>
        </w:rPr>
        <w:t>potential output</w:t>
      </w:r>
      <w:r w:rsidR="00A56192">
        <w:rPr>
          <w:rFonts w:ascii="Arial" w:hAnsi="Arial" w:cs="Arial"/>
          <w:sz w:val="24"/>
          <w:szCs w:val="24"/>
        </w:rPr>
        <w:t xml:space="preserve"> at Y</w:t>
      </w:r>
      <w:r w:rsidR="00A56192" w:rsidRPr="00A56192">
        <w:rPr>
          <w:rFonts w:ascii="Arial" w:hAnsi="Arial" w:cs="Arial"/>
          <w:sz w:val="24"/>
          <w:szCs w:val="24"/>
          <w:vertAlign w:val="superscript"/>
        </w:rPr>
        <w:t>*</w:t>
      </w:r>
      <w:r w:rsidR="009A4186" w:rsidRPr="003F75C9">
        <w:rPr>
          <w:rFonts w:ascii="Arial" w:hAnsi="Arial" w:cs="Arial"/>
          <w:sz w:val="24"/>
          <w:szCs w:val="24"/>
        </w:rPr>
        <w:t xml:space="preserve">. </w:t>
      </w:r>
      <w:r w:rsidR="00635826" w:rsidRPr="003F75C9">
        <w:rPr>
          <w:rFonts w:ascii="Arial" w:hAnsi="Arial" w:cs="Arial"/>
          <w:sz w:val="24"/>
          <w:szCs w:val="24"/>
        </w:rPr>
        <w:t>The slowdown in economic growth comes from the negative relationship between inflation and economic growth</w:t>
      </w:r>
      <w:sdt>
        <w:sdtPr>
          <w:rPr>
            <w:rFonts w:ascii="Arial" w:hAnsi="Arial" w:cs="Arial"/>
            <w:sz w:val="24"/>
            <w:szCs w:val="24"/>
          </w:rPr>
          <w:id w:val="-1554764137"/>
          <w:citation/>
        </w:sdtPr>
        <w:sdtEndPr/>
        <w:sdtContent>
          <w:r w:rsidR="007A5BDC" w:rsidRPr="003F75C9">
            <w:rPr>
              <w:rFonts w:ascii="Arial" w:hAnsi="Arial" w:cs="Arial"/>
              <w:sz w:val="24"/>
              <w:szCs w:val="24"/>
            </w:rPr>
            <w:fldChar w:fldCharType="begin"/>
          </w:r>
          <w:r w:rsidR="007A5BDC" w:rsidRPr="003F75C9">
            <w:rPr>
              <w:rFonts w:ascii="Arial" w:hAnsi="Arial" w:cs="Arial"/>
              <w:sz w:val="24"/>
              <w:szCs w:val="24"/>
            </w:rPr>
            <w:instrText xml:space="preserve"> CITATION Bar95 \l 2057 </w:instrText>
          </w:r>
          <w:r w:rsidR="007A5BDC" w:rsidRPr="003F75C9">
            <w:rPr>
              <w:rFonts w:ascii="Arial" w:hAnsi="Arial" w:cs="Arial"/>
              <w:sz w:val="24"/>
              <w:szCs w:val="24"/>
            </w:rPr>
            <w:fldChar w:fldCharType="separate"/>
          </w:r>
          <w:r w:rsidR="00FA7844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FA7844" w:rsidRPr="00FA7844">
            <w:rPr>
              <w:rFonts w:ascii="Arial" w:hAnsi="Arial" w:cs="Arial"/>
              <w:noProof/>
              <w:sz w:val="24"/>
              <w:szCs w:val="24"/>
            </w:rPr>
            <w:t>(Barro, 1995)</w:t>
          </w:r>
          <w:r w:rsidR="007A5BDC" w:rsidRPr="003F75C9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296C9B">
        <w:rPr>
          <w:rFonts w:ascii="Arial" w:hAnsi="Arial" w:cs="Arial"/>
          <w:sz w:val="24"/>
          <w:szCs w:val="24"/>
        </w:rPr>
        <w:t>.</w:t>
      </w:r>
      <w:r w:rsidR="00A978ED">
        <w:rPr>
          <w:rFonts w:ascii="Arial" w:hAnsi="Arial" w:cs="Arial"/>
          <w:sz w:val="24"/>
          <w:szCs w:val="24"/>
        </w:rPr>
        <w:t xml:space="preserve"> Also, as output is a measure of GDP and economic growth discusses the growth of GDP, </w:t>
      </w:r>
      <w:r w:rsidR="00272C9A">
        <w:rPr>
          <w:rFonts w:ascii="Arial" w:hAnsi="Arial" w:cs="Arial"/>
          <w:sz w:val="24"/>
          <w:szCs w:val="24"/>
        </w:rPr>
        <w:t>at</w:t>
      </w:r>
      <w:r w:rsidR="00A978ED">
        <w:rPr>
          <w:rFonts w:ascii="Arial" w:hAnsi="Arial" w:cs="Arial"/>
          <w:sz w:val="24"/>
          <w:szCs w:val="24"/>
        </w:rPr>
        <w:t xml:space="preserve"> a lower output level</w:t>
      </w:r>
      <w:r w:rsidR="002F71B2">
        <w:rPr>
          <w:rFonts w:ascii="Arial" w:hAnsi="Arial" w:cs="Arial"/>
          <w:sz w:val="24"/>
          <w:szCs w:val="24"/>
        </w:rPr>
        <w:t>, Y</w:t>
      </w:r>
      <w:r w:rsidR="002F71B2" w:rsidRPr="002F71B2">
        <w:rPr>
          <w:rFonts w:ascii="Arial" w:hAnsi="Arial" w:cs="Arial"/>
          <w:sz w:val="24"/>
          <w:szCs w:val="24"/>
          <w:vertAlign w:val="subscript"/>
        </w:rPr>
        <w:t>1</w:t>
      </w:r>
      <w:r w:rsidR="00A978ED">
        <w:rPr>
          <w:rFonts w:ascii="Arial" w:hAnsi="Arial" w:cs="Arial"/>
          <w:sz w:val="24"/>
          <w:szCs w:val="24"/>
        </w:rPr>
        <w:t>, economic growth declines.</w:t>
      </w:r>
      <w:r w:rsidR="00A56192">
        <w:rPr>
          <w:rFonts w:ascii="Arial" w:hAnsi="Arial" w:cs="Arial"/>
          <w:sz w:val="24"/>
          <w:szCs w:val="24"/>
        </w:rPr>
        <w:t xml:space="preserve"> </w:t>
      </w:r>
      <w:r w:rsidR="00C45493" w:rsidRPr="003F75C9">
        <w:rPr>
          <w:rFonts w:ascii="Arial" w:hAnsi="Arial" w:cs="Arial"/>
          <w:sz w:val="24"/>
          <w:szCs w:val="24"/>
        </w:rPr>
        <w:t xml:space="preserve">If the </w:t>
      </w:r>
      <w:r w:rsidR="002F7722" w:rsidRPr="003F75C9">
        <w:rPr>
          <w:rFonts w:ascii="Arial" w:hAnsi="Arial" w:cs="Arial"/>
          <w:sz w:val="24"/>
          <w:szCs w:val="24"/>
        </w:rPr>
        <w:t xml:space="preserve">exclusion of </w:t>
      </w:r>
      <w:r w:rsidR="005C198B" w:rsidRPr="003F75C9">
        <w:rPr>
          <w:rFonts w:ascii="Arial" w:hAnsi="Arial" w:cs="Arial"/>
          <w:sz w:val="24"/>
          <w:szCs w:val="24"/>
        </w:rPr>
        <w:t xml:space="preserve">Russian oil </w:t>
      </w:r>
      <w:r w:rsidR="002F7722" w:rsidRPr="003F75C9">
        <w:rPr>
          <w:rFonts w:ascii="Arial" w:hAnsi="Arial" w:cs="Arial"/>
          <w:sz w:val="24"/>
          <w:szCs w:val="24"/>
        </w:rPr>
        <w:t xml:space="preserve">in the international market </w:t>
      </w:r>
      <w:r w:rsidR="005C198B" w:rsidRPr="003F75C9">
        <w:rPr>
          <w:rFonts w:ascii="Arial" w:hAnsi="Arial" w:cs="Arial"/>
          <w:sz w:val="24"/>
          <w:szCs w:val="24"/>
        </w:rPr>
        <w:t xml:space="preserve">becomes </w:t>
      </w:r>
      <w:r w:rsidR="002F7722" w:rsidRPr="003F75C9">
        <w:rPr>
          <w:rFonts w:ascii="Arial" w:hAnsi="Arial" w:cs="Arial"/>
          <w:sz w:val="24"/>
          <w:szCs w:val="24"/>
        </w:rPr>
        <w:t xml:space="preserve">permanent, the LRAS curve will shift </w:t>
      </w:r>
      <w:r w:rsidR="00442174" w:rsidRPr="003F75C9">
        <w:rPr>
          <w:rFonts w:ascii="Arial" w:hAnsi="Arial" w:cs="Arial"/>
          <w:sz w:val="24"/>
          <w:szCs w:val="24"/>
        </w:rPr>
        <w:t>leftwards,</w:t>
      </w:r>
      <w:r w:rsidR="002F7722" w:rsidRPr="003F75C9">
        <w:rPr>
          <w:rFonts w:ascii="Arial" w:hAnsi="Arial" w:cs="Arial"/>
          <w:sz w:val="24"/>
          <w:szCs w:val="24"/>
        </w:rPr>
        <w:t xml:space="preserve"> and </w:t>
      </w:r>
      <w:r w:rsidR="00442174" w:rsidRPr="003F75C9">
        <w:rPr>
          <w:rFonts w:ascii="Arial" w:hAnsi="Arial" w:cs="Arial"/>
          <w:sz w:val="24"/>
          <w:szCs w:val="24"/>
        </w:rPr>
        <w:t xml:space="preserve">the UK’s economy will be in equilibrium at a higher level of inflation and lower output. </w:t>
      </w:r>
      <w:r w:rsidR="00057D66" w:rsidRPr="003F75C9">
        <w:rPr>
          <w:rFonts w:ascii="Arial" w:hAnsi="Arial" w:cs="Arial"/>
          <w:sz w:val="24"/>
          <w:szCs w:val="24"/>
        </w:rPr>
        <w:t xml:space="preserve">To avoid </w:t>
      </w:r>
      <w:r w:rsidR="00431E85" w:rsidRPr="003F75C9">
        <w:rPr>
          <w:rFonts w:ascii="Arial" w:hAnsi="Arial" w:cs="Arial"/>
          <w:sz w:val="24"/>
          <w:szCs w:val="24"/>
        </w:rPr>
        <w:t>the</w:t>
      </w:r>
      <w:r w:rsidR="00EE2018" w:rsidRPr="003F75C9">
        <w:rPr>
          <w:rFonts w:ascii="Arial" w:hAnsi="Arial" w:cs="Arial"/>
          <w:sz w:val="24"/>
          <w:szCs w:val="24"/>
        </w:rPr>
        <w:t xml:space="preserve"> worse equilibriu</w:t>
      </w:r>
      <w:r w:rsidR="00431E85" w:rsidRPr="003F75C9">
        <w:rPr>
          <w:rFonts w:ascii="Arial" w:hAnsi="Arial" w:cs="Arial"/>
          <w:sz w:val="24"/>
          <w:szCs w:val="24"/>
        </w:rPr>
        <w:t>m at point C</w:t>
      </w:r>
      <w:r w:rsidR="00EE2018" w:rsidRPr="003F75C9">
        <w:rPr>
          <w:rFonts w:ascii="Arial" w:hAnsi="Arial" w:cs="Arial"/>
          <w:sz w:val="24"/>
          <w:szCs w:val="24"/>
        </w:rPr>
        <w:t>, while excluding Russia,</w:t>
      </w:r>
      <w:r w:rsidR="00203C96" w:rsidRPr="003F75C9">
        <w:rPr>
          <w:rFonts w:ascii="Arial" w:hAnsi="Arial" w:cs="Arial"/>
          <w:sz w:val="24"/>
          <w:szCs w:val="24"/>
        </w:rPr>
        <w:t xml:space="preserve"> </w:t>
      </w:r>
      <w:r w:rsidR="00E41BC3" w:rsidRPr="003F75C9">
        <w:rPr>
          <w:rFonts w:ascii="Arial" w:hAnsi="Arial" w:cs="Arial"/>
          <w:sz w:val="24"/>
          <w:szCs w:val="24"/>
        </w:rPr>
        <w:t xml:space="preserve">the quantity </w:t>
      </w:r>
      <w:r w:rsidR="00431E85" w:rsidRPr="003F75C9">
        <w:rPr>
          <w:rFonts w:ascii="Arial" w:hAnsi="Arial" w:cs="Arial"/>
          <w:sz w:val="24"/>
          <w:szCs w:val="24"/>
        </w:rPr>
        <w:t xml:space="preserve">of oil </w:t>
      </w:r>
      <w:r w:rsidR="00E41BC3" w:rsidRPr="003F75C9">
        <w:rPr>
          <w:rFonts w:ascii="Arial" w:hAnsi="Arial" w:cs="Arial"/>
          <w:sz w:val="24"/>
          <w:szCs w:val="24"/>
        </w:rPr>
        <w:t xml:space="preserve">otherwise supplied by Russia must be provided by another country to </w:t>
      </w:r>
      <w:r w:rsidR="00057D66" w:rsidRPr="003F75C9">
        <w:rPr>
          <w:rFonts w:ascii="Arial" w:hAnsi="Arial" w:cs="Arial"/>
          <w:sz w:val="24"/>
          <w:szCs w:val="24"/>
        </w:rPr>
        <w:t xml:space="preserve">maintain the UK’s initial equilibrium at point A. </w:t>
      </w:r>
      <w:r w:rsidR="00A17682" w:rsidRPr="003F75C9">
        <w:rPr>
          <w:rFonts w:ascii="Arial" w:hAnsi="Arial" w:cs="Arial"/>
          <w:sz w:val="24"/>
          <w:szCs w:val="24"/>
        </w:rPr>
        <w:t xml:space="preserve">However, Russia exports such a large amount of crude oil that it is unlikely that </w:t>
      </w:r>
      <w:r w:rsidR="00463738" w:rsidRPr="003F75C9">
        <w:rPr>
          <w:rFonts w:ascii="Arial" w:hAnsi="Arial" w:cs="Arial"/>
          <w:sz w:val="24"/>
          <w:szCs w:val="24"/>
        </w:rPr>
        <w:t xml:space="preserve">other countries can replace their supply. Thus, maintaining Russian supply of oil is crucial to prevent a slowdown in the UK economy. </w:t>
      </w:r>
      <w:r w:rsidR="00857C05" w:rsidRPr="003F75C9">
        <w:rPr>
          <w:rFonts w:ascii="Arial" w:hAnsi="Arial" w:cs="Arial"/>
          <w:sz w:val="24"/>
          <w:szCs w:val="24"/>
        </w:rPr>
        <w:t xml:space="preserve">To reintroduce Russia to the oil market, achieving peace in Ukraine is crucial. If peace cannot be achieved and Russia is </w:t>
      </w:r>
      <w:r w:rsidR="003D66B3" w:rsidRPr="003F75C9">
        <w:rPr>
          <w:rFonts w:ascii="Arial" w:hAnsi="Arial" w:cs="Arial"/>
          <w:sz w:val="24"/>
          <w:szCs w:val="24"/>
        </w:rPr>
        <w:t>permanently excluded from the oil market</w:t>
      </w:r>
      <w:r w:rsidR="008079B3" w:rsidRPr="003F75C9">
        <w:rPr>
          <w:rFonts w:ascii="Arial" w:hAnsi="Arial" w:cs="Arial"/>
          <w:sz w:val="24"/>
          <w:szCs w:val="24"/>
        </w:rPr>
        <w:t xml:space="preserve">, the UK will see a permanent decrease in economic growth as their potential output </w:t>
      </w:r>
      <w:r w:rsidR="006D64FF" w:rsidRPr="003F75C9">
        <w:rPr>
          <w:rFonts w:ascii="Arial" w:hAnsi="Arial" w:cs="Arial"/>
          <w:sz w:val="24"/>
          <w:szCs w:val="24"/>
        </w:rPr>
        <w:t>will be</w:t>
      </w:r>
      <w:r w:rsidR="008079B3" w:rsidRPr="003F75C9">
        <w:rPr>
          <w:rFonts w:ascii="Arial" w:hAnsi="Arial" w:cs="Arial"/>
          <w:sz w:val="24"/>
          <w:szCs w:val="24"/>
        </w:rPr>
        <w:t xml:space="preserve"> moved from Y* to Y</w:t>
      </w:r>
      <w:r w:rsidR="008079B3" w:rsidRPr="003F75C9">
        <w:rPr>
          <w:rFonts w:ascii="Arial" w:hAnsi="Arial" w:cs="Arial"/>
          <w:sz w:val="24"/>
          <w:szCs w:val="24"/>
          <w:vertAlign w:val="subscript"/>
        </w:rPr>
        <w:t>1</w:t>
      </w:r>
      <w:r w:rsidR="008079B3" w:rsidRPr="003F75C9">
        <w:rPr>
          <w:rFonts w:ascii="Arial" w:hAnsi="Arial" w:cs="Arial"/>
          <w:sz w:val="24"/>
          <w:szCs w:val="24"/>
        </w:rPr>
        <w:t>.</w:t>
      </w:r>
      <w:r w:rsidR="00B864BA" w:rsidRPr="003F75C9">
        <w:rPr>
          <w:rFonts w:ascii="Arial" w:hAnsi="Arial" w:cs="Arial"/>
          <w:sz w:val="24"/>
          <w:szCs w:val="24"/>
        </w:rPr>
        <w:t xml:space="preserve"> </w:t>
      </w:r>
    </w:p>
    <w:p w14:paraId="286B5D97" w14:textId="77777777" w:rsidR="003D1E2A" w:rsidRPr="003F75C9" w:rsidRDefault="003D1E2A" w:rsidP="00911D45">
      <w:pPr>
        <w:spacing w:line="480" w:lineRule="auto"/>
        <w:rPr>
          <w:rFonts w:ascii="Arial" w:hAnsi="Arial" w:cs="Arial"/>
          <w:sz w:val="24"/>
          <w:szCs w:val="24"/>
        </w:rPr>
      </w:pPr>
    </w:p>
    <w:p w14:paraId="3BA5583C" w14:textId="66771F59" w:rsidR="00227EF6" w:rsidRDefault="000F6141" w:rsidP="00227EF6">
      <w:pPr>
        <w:spacing w:line="480" w:lineRule="auto"/>
        <w:rPr>
          <w:rFonts w:ascii="Arial" w:hAnsi="Arial" w:cs="Arial"/>
          <w:sz w:val="24"/>
          <w:szCs w:val="24"/>
        </w:rPr>
      </w:pPr>
      <w:r w:rsidRPr="003F75C9">
        <w:rPr>
          <w:rFonts w:ascii="Arial" w:hAnsi="Arial" w:cs="Arial"/>
          <w:sz w:val="24"/>
          <w:szCs w:val="24"/>
        </w:rPr>
        <w:t>Th</w:t>
      </w:r>
      <w:r w:rsidR="002B3240" w:rsidRPr="003F75C9">
        <w:rPr>
          <w:rFonts w:ascii="Arial" w:hAnsi="Arial" w:cs="Arial"/>
          <w:sz w:val="24"/>
          <w:szCs w:val="24"/>
        </w:rPr>
        <w:t xml:space="preserve">e AD/AS model has shown that </w:t>
      </w:r>
      <w:r w:rsidR="00AF46AD" w:rsidRPr="003F75C9">
        <w:rPr>
          <w:rFonts w:ascii="Arial" w:hAnsi="Arial" w:cs="Arial"/>
          <w:sz w:val="24"/>
          <w:szCs w:val="24"/>
        </w:rPr>
        <w:t xml:space="preserve">the increase in oil prices increase the level of inflation and decreases output in the short run. </w:t>
      </w:r>
      <w:r w:rsidR="00593C78" w:rsidRPr="003F75C9">
        <w:rPr>
          <w:rFonts w:ascii="Arial" w:hAnsi="Arial" w:cs="Arial"/>
          <w:sz w:val="24"/>
          <w:szCs w:val="24"/>
        </w:rPr>
        <w:t xml:space="preserve">Thus, there is an economic slowdown </w:t>
      </w:r>
      <w:r w:rsidR="00593C78" w:rsidRPr="003F75C9">
        <w:rPr>
          <w:rFonts w:ascii="Arial" w:hAnsi="Arial" w:cs="Arial"/>
          <w:sz w:val="24"/>
          <w:szCs w:val="24"/>
        </w:rPr>
        <w:lastRenderedPageBreak/>
        <w:t>in the short run</w:t>
      </w:r>
      <w:r w:rsidR="005536F1" w:rsidRPr="003F75C9">
        <w:rPr>
          <w:rFonts w:ascii="Arial" w:hAnsi="Arial" w:cs="Arial"/>
          <w:sz w:val="24"/>
          <w:szCs w:val="24"/>
        </w:rPr>
        <w:t xml:space="preserve">. </w:t>
      </w:r>
      <w:r w:rsidR="00E8587A" w:rsidRPr="003F75C9">
        <w:rPr>
          <w:rFonts w:ascii="Arial" w:hAnsi="Arial" w:cs="Arial"/>
          <w:sz w:val="24"/>
          <w:szCs w:val="24"/>
        </w:rPr>
        <w:t>If Russian oil is permanently excluded</w:t>
      </w:r>
      <w:r w:rsidR="0024145D" w:rsidRPr="003F75C9">
        <w:rPr>
          <w:rFonts w:ascii="Arial" w:hAnsi="Arial" w:cs="Arial"/>
          <w:sz w:val="24"/>
          <w:szCs w:val="24"/>
        </w:rPr>
        <w:t xml:space="preserve"> from the international market</w:t>
      </w:r>
      <w:r w:rsidR="00E8587A" w:rsidRPr="003F75C9">
        <w:rPr>
          <w:rFonts w:ascii="Arial" w:hAnsi="Arial" w:cs="Arial"/>
          <w:sz w:val="24"/>
          <w:szCs w:val="24"/>
        </w:rPr>
        <w:t xml:space="preserve">, the </w:t>
      </w:r>
      <w:r w:rsidR="00CC52D4" w:rsidRPr="003F75C9">
        <w:rPr>
          <w:rFonts w:ascii="Arial" w:hAnsi="Arial" w:cs="Arial"/>
          <w:sz w:val="24"/>
          <w:szCs w:val="24"/>
        </w:rPr>
        <w:t>economy will</w:t>
      </w:r>
      <w:r w:rsidR="00501E29" w:rsidRPr="003F75C9">
        <w:rPr>
          <w:rFonts w:ascii="Arial" w:hAnsi="Arial" w:cs="Arial"/>
          <w:sz w:val="24"/>
          <w:szCs w:val="24"/>
        </w:rPr>
        <w:t xml:space="preserve"> permanently slow down</w:t>
      </w:r>
      <w:r w:rsidR="00C30498" w:rsidRPr="003F75C9">
        <w:rPr>
          <w:rFonts w:ascii="Arial" w:hAnsi="Arial" w:cs="Arial"/>
          <w:sz w:val="24"/>
          <w:szCs w:val="24"/>
        </w:rPr>
        <w:t xml:space="preserve">, </w:t>
      </w:r>
      <w:r w:rsidR="00501E29" w:rsidRPr="003F75C9">
        <w:rPr>
          <w:rFonts w:ascii="Arial" w:hAnsi="Arial" w:cs="Arial"/>
          <w:sz w:val="24"/>
          <w:szCs w:val="24"/>
        </w:rPr>
        <w:t xml:space="preserve">as </w:t>
      </w:r>
      <w:r w:rsidR="00C30498" w:rsidRPr="003F75C9">
        <w:rPr>
          <w:rFonts w:ascii="Arial" w:hAnsi="Arial" w:cs="Arial"/>
          <w:sz w:val="24"/>
          <w:szCs w:val="24"/>
        </w:rPr>
        <w:t>potential output</w:t>
      </w:r>
      <w:r w:rsidR="00501E29" w:rsidRPr="003F75C9">
        <w:rPr>
          <w:rFonts w:ascii="Arial" w:hAnsi="Arial" w:cs="Arial"/>
          <w:sz w:val="24"/>
          <w:szCs w:val="24"/>
        </w:rPr>
        <w:t xml:space="preserve"> is decreased</w:t>
      </w:r>
      <w:r w:rsidR="00C30498" w:rsidRPr="003F75C9">
        <w:rPr>
          <w:rFonts w:ascii="Arial" w:hAnsi="Arial" w:cs="Arial"/>
          <w:sz w:val="24"/>
          <w:szCs w:val="24"/>
        </w:rPr>
        <w:t>.</w:t>
      </w:r>
      <w:r w:rsidR="00CC52D4" w:rsidRPr="003F75C9">
        <w:rPr>
          <w:rFonts w:ascii="Arial" w:hAnsi="Arial" w:cs="Arial"/>
          <w:sz w:val="24"/>
          <w:szCs w:val="24"/>
        </w:rPr>
        <w:t xml:space="preserve"> Bringing output back to initial equilibrium can only be achieved by reintroducing the </w:t>
      </w:r>
      <w:r w:rsidR="0064098B" w:rsidRPr="003F75C9">
        <w:rPr>
          <w:rFonts w:ascii="Arial" w:hAnsi="Arial" w:cs="Arial"/>
          <w:sz w:val="24"/>
          <w:szCs w:val="24"/>
        </w:rPr>
        <w:t xml:space="preserve">quantity </w:t>
      </w:r>
      <w:r w:rsidR="00CC52D4" w:rsidRPr="003F75C9">
        <w:rPr>
          <w:rFonts w:ascii="Arial" w:hAnsi="Arial" w:cs="Arial"/>
          <w:sz w:val="24"/>
          <w:szCs w:val="24"/>
        </w:rPr>
        <w:t>suppl</w:t>
      </w:r>
      <w:r w:rsidR="0064098B" w:rsidRPr="003F75C9">
        <w:rPr>
          <w:rFonts w:ascii="Arial" w:hAnsi="Arial" w:cs="Arial"/>
          <w:sz w:val="24"/>
          <w:szCs w:val="24"/>
        </w:rPr>
        <w:t>ied o</w:t>
      </w:r>
      <w:r w:rsidR="0054552B" w:rsidRPr="003F75C9">
        <w:rPr>
          <w:rFonts w:ascii="Arial" w:hAnsi="Arial" w:cs="Arial"/>
          <w:sz w:val="24"/>
          <w:szCs w:val="24"/>
        </w:rPr>
        <w:t>f</w:t>
      </w:r>
      <w:r w:rsidR="0083701E" w:rsidRPr="003F75C9">
        <w:rPr>
          <w:rFonts w:ascii="Arial" w:hAnsi="Arial" w:cs="Arial"/>
          <w:sz w:val="24"/>
          <w:szCs w:val="24"/>
        </w:rPr>
        <w:t xml:space="preserve"> Russian oil</w:t>
      </w:r>
      <w:r w:rsidR="0064098B" w:rsidRPr="003F75C9">
        <w:rPr>
          <w:rFonts w:ascii="Arial" w:hAnsi="Arial" w:cs="Arial"/>
          <w:sz w:val="24"/>
          <w:szCs w:val="24"/>
        </w:rPr>
        <w:t xml:space="preserve">. </w:t>
      </w:r>
      <w:r w:rsidR="002C476C" w:rsidRPr="003F75C9">
        <w:rPr>
          <w:rFonts w:ascii="Arial" w:hAnsi="Arial" w:cs="Arial"/>
          <w:sz w:val="24"/>
          <w:szCs w:val="24"/>
        </w:rPr>
        <w:t xml:space="preserve">Thus, </w:t>
      </w:r>
      <w:r w:rsidR="00C30498" w:rsidRPr="003F75C9">
        <w:rPr>
          <w:rFonts w:ascii="Arial" w:hAnsi="Arial" w:cs="Arial"/>
          <w:sz w:val="24"/>
          <w:szCs w:val="24"/>
        </w:rPr>
        <w:t>peace in Ukraine is crucial to avoid a permanent slowdown in the UK’s economy.</w:t>
      </w:r>
    </w:p>
    <w:p w14:paraId="61C17B5F" w14:textId="77777777" w:rsidR="00227EF6" w:rsidRDefault="00227EF6" w:rsidP="00227EF6">
      <w:pPr>
        <w:spacing w:line="480" w:lineRule="auto"/>
        <w:rPr>
          <w:rFonts w:ascii="Arial" w:hAnsi="Arial" w:cs="Arial"/>
          <w:sz w:val="24"/>
          <w:szCs w:val="24"/>
        </w:rPr>
      </w:pPr>
    </w:p>
    <w:p w14:paraId="3DA33F14" w14:textId="77777777" w:rsidR="00227EF6" w:rsidRDefault="00227EF6" w:rsidP="00227EF6"/>
    <w:sdt>
      <w:sdtPr>
        <w:rPr>
          <w:rFonts w:ascii="Arial" w:eastAsiaTheme="minorHAnsi" w:hAnsi="Arial" w:cs="Arial"/>
          <w:color w:val="auto"/>
          <w:sz w:val="24"/>
          <w:szCs w:val="24"/>
          <w:lang w:val="en-GB"/>
        </w:rPr>
        <w:id w:val="111145805"/>
        <w:bibliography/>
      </w:sdtPr>
      <w:sdtEndPr/>
      <w:sdtContent>
        <w:sdt>
          <w:sdtPr>
            <w:rPr>
              <w:rFonts w:ascii="Arial" w:eastAsiaTheme="minorHAnsi" w:hAnsi="Arial" w:cs="Arial"/>
              <w:color w:val="auto"/>
              <w:sz w:val="24"/>
              <w:szCs w:val="24"/>
              <w:lang w:val="en-GB"/>
            </w:rPr>
            <w:id w:val="561995671"/>
            <w:docPartObj>
              <w:docPartGallery w:val="Bibliographies"/>
              <w:docPartUnique/>
            </w:docPartObj>
          </w:sdtPr>
          <w:sdtEndPr/>
          <w:sdtContent>
            <w:p w14:paraId="6A192E99" w14:textId="5136C7FE" w:rsidR="000E2EE7" w:rsidRPr="00505D1E" w:rsidRDefault="000E2EE7" w:rsidP="00FA7844">
              <w:pPr>
                <w:pStyle w:val="Heading1"/>
                <w:spacing w:line="480" w:lineRule="auto"/>
                <w:rPr>
                  <w:rFonts w:ascii="Arial" w:hAnsi="Arial" w:cs="Arial"/>
                  <w:sz w:val="28"/>
                  <w:szCs w:val="28"/>
                </w:rPr>
              </w:pPr>
              <w:r w:rsidRPr="00505D1E">
                <w:rPr>
                  <w:rFonts w:ascii="Arial" w:hAnsi="Arial" w:cs="Arial"/>
                  <w:sz w:val="28"/>
                  <w:szCs w:val="28"/>
                </w:rPr>
                <w:t>Bibliography</w:t>
              </w:r>
            </w:p>
            <w:sdt>
              <w:sdtPr>
                <w:rPr>
                  <w:rFonts w:ascii="Arial" w:hAnsi="Arial" w:cs="Arial"/>
                  <w:sz w:val="24"/>
                  <w:szCs w:val="24"/>
                </w:rPr>
                <w:id w:val="-1385869556"/>
                <w:bibliography/>
              </w:sdtPr>
              <w:sdtEndPr/>
              <w:sdtContent>
                <w:p w14:paraId="6155B2EA" w14:textId="77777777" w:rsidR="00FA7844" w:rsidRPr="00FA7844" w:rsidRDefault="000E2EE7" w:rsidP="00505D1E">
                  <w:pPr>
                    <w:pStyle w:val="Bibliography"/>
                    <w:spacing w:line="480" w:lineRule="auto"/>
                    <w:rPr>
                      <w:rFonts w:ascii="Arial" w:hAnsi="Arial" w:cs="Arial"/>
                      <w:noProof/>
                      <w:sz w:val="24"/>
                      <w:szCs w:val="24"/>
                      <w:lang w:val="en-US"/>
                    </w:rPr>
                  </w:pPr>
                  <w:r w:rsidRPr="003F75C9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3F75C9">
                    <w:rPr>
                      <w:rFonts w:ascii="Arial" w:hAnsi="Arial" w:cs="Arial"/>
                      <w:sz w:val="24"/>
                      <w:szCs w:val="24"/>
                    </w:rPr>
                    <w:instrText xml:space="preserve"> BIBLIOGRAPHY </w:instrText>
                  </w:r>
                  <w:r w:rsidRPr="003F75C9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="00FA7844" w:rsidRPr="00FA7844">
                    <w:rPr>
                      <w:rFonts w:ascii="Arial" w:hAnsi="Arial" w:cs="Arial"/>
                      <w:noProof/>
                      <w:sz w:val="24"/>
                      <w:szCs w:val="24"/>
                      <w:lang w:val="en-US"/>
                    </w:rPr>
                    <w:t xml:space="preserve">Barro, R. J., 1995. Inflation and Economic Growth. </w:t>
                  </w:r>
                  <w:r w:rsidR="00FA7844" w:rsidRPr="00FA7844">
                    <w:rPr>
                      <w:rFonts w:ascii="Arial" w:hAnsi="Arial" w:cs="Arial"/>
                      <w:i/>
                      <w:iCs/>
                      <w:noProof/>
                      <w:sz w:val="24"/>
                      <w:szCs w:val="24"/>
                      <w:lang w:val="en-US"/>
                    </w:rPr>
                    <w:t>NBER Working Paper Series.</w:t>
                  </w:r>
                </w:p>
                <w:p w14:paraId="2FBDA136" w14:textId="77777777" w:rsidR="00FA7844" w:rsidRPr="00FA7844" w:rsidRDefault="00FA7844" w:rsidP="00505D1E">
                  <w:pPr>
                    <w:pStyle w:val="Bibliography"/>
                    <w:spacing w:line="480" w:lineRule="auto"/>
                    <w:rPr>
                      <w:rFonts w:ascii="Arial" w:hAnsi="Arial" w:cs="Arial"/>
                      <w:noProof/>
                      <w:sz w:val="24"/>
                      <w:szCs w:val="24"/>
                      <w:lang w:val="en-US"/>
                    </w:rPr>
                  </w:pPr>
                  <w:r w:rsidRPr="00FA7844">
                    <w:rPr>
                      <w:rFonts w:ascii="Arial" w:hAnsi="Arial" w:cs="Arial"/>
                      <w:noProof/>
                      <w:sz w:val="24"/>
                      <w:szCs w:val="24"/>
                      <w:lang w:val="en-US"/>
                    </w:rPr>
                    <w:t>Claus, I., 2000. Is the Output Gap a Useful Indicator of Inflation. 05 April.</w:t>
                  </w:r>
                </w:p>
                <w:p w14:paraId="18DE652B" w14:textId="77777777" w:rsidR="00FA7844" w:rsidRPr="00FA7844" w:rsidRDefault="00FA7844" w:rsidP="00505D1E">
                  <w:pPr>
                    <w:pStyle w:val="Bibliography"/>
                    <w:spacing w:line="480" w:lineRule="auto"/>
                    <w:rPr>
                      <w:rFonts w:ascii="Arial" w:hAnsi="Arial" w:cs="Arial"/>
                      <w:noProof/>
                      <w:sz w:val="24"/>
                      <w:szCs w:val="24"/>
                      <w:lang w:val="en-US"/>
                    </w:rPr>
                  </w:pPr>
                  <w:r w:rsidRPr="00FA7844">
                    <w:rPr>
                      <w:rFonts w:ascii="Arial" w:hAnsi="Arial" w:cs="Arial"/>
                      <w:noProof/>
                      <w:sz w:val="24"/>
                      <w:szCs w:val="24"/>
                      <w:lang w:val="en-US"/>
                    </w:rPr>
                    <w:t xml:space="preserve">Department for Business, Energy &amp; Industrial Strategy, 2021. </w:t>
                  </w:r>
                  <w:r w:rsidRPr="00FA7844">
                    <w:rPr>
                      <w:rFonts w:ascii="Arial" w:hAnsi="Arial" w:cs="Arial"/>
                      <w:i/>
                      <w:iCs/>
                      <w:noProof/>
                      <w:sz w:val="24"/>
                      <w:szCs w:val="24"/>
                      <w:lang w:val="en-US"/>
                    </w:rPr>
                    <w:t xml:space="preserve">UK ENERGY BRIEF 2021, </w:t>
                  </w:r>
                  <w:r w:rsidRPr="00FA7844">
                    <w:rPr>
                      <w:rFonts w:ascii="Arial" w:hAnsi="Arial" w:cs="Arial"/>
                      <w:noProof/>
                      <w:sz w:val="24"/>
                      <w:szCs w:val="24"/>
                      <w:lang w:val="en-US"/>
                    </w:rPr>
                    <w:t>s.l.: Department for Business, Energy &amp; Industrial Strategy.</w:t>
                  </w:r>
                </w:p>
                <w:p w14:paraId="26DBE037" w14:textId="77777777" w:rsidR="00FA7844" w:rsidRPr="00FA7844" w:rsidRDefault="00FA7844" w:rsidP="00505D1E">
                  <w:pPr>
                    <w:pStyle w:val="Bibliography"/>
                    <w:spacing w:line="480" w:lineRule="auto"/>
                    <w:rPr>
                      <w:rFonts w:ascii="Arial" w:hAnsi="Arial" w:cs="Arial"/>
                      <w:noProof/>
                      <w:sz w:val="24"/>
                      <w:szCs w:val="24"/>
                      <w:lang w:val="en-US"/>
                    </w:rPr>
                  </w:pPr>
                  <w:r w:rsidRPr="00FA7844">
                    <w:rPr>
                      <w:rFonts w:ascii="Arial" w:hAnsi="Arial" w:cs="Arial"/>
                      <w:noProof/>
                      <w:sz w:val="24"/>
                      <w:szCs w:val="24"/>
                      <w:lang w:val="en-US"/>
                    </w:rPr>
                    <w:t xml:space="preserve">European Comission, 2022. </w:t>
                  </w:r>
                  <w:r w:rsidRPr="00FA7844">
                    <w:rPr>
                      <w:rFonts w:ascii="Arial" w:hAnsi="Arial" w:cs="Arial"/>
                      <w:i/>
                      <w:iCs/>
                      <w:noProof/>
                      <w:sz w:val="24"/>
                      <w:szCs w:val="24"/>
                      <w:lang w:val="en-US"/>
                    </w:rPr>
                    <w:t xml:space="preserve">Eruopean Comission. </w:t>
                  </w:r>
                  <w:r w:rsidRPr="00FA7844">
                    <w:rPr>
                      <w:rFonts w:ascii="Arial" w:hAnsi="Arial" w:cs="Arial"/>
                      <w:noProof/>
                      <w:sz w:val="24"/>
                      <w:szCs w:val="24"/>
                      <w:lang w:val="en-US"/>
                    </w:rPr>
                    <w:t xml:space="preserve">[Online] </w:t>
                  </w:r>
                  <w:r w:rsidRPr="00FA7844">
                    <w:rPr>
                      <w:rFonts w:ascii="Arial" w:hAnsi="Arial" w:cs="Arial"/>
                      <w:noProof/>
                      <w:sz w:val="24"/>
                      <w:szCs w:val="24"/>
                      <w:lang w:val="en-US"/>
                    </w:rPr>
                    <w:br/>
                    <w:t xml:space="preserve">Available at: </w:t>
                  </w:r>
                  <w:r w:rsidRPr="00FA7844">
                    <w:rPr>
                      <w:rFonts w:ascii="Arial" w:hAnsi="Arial" w:cs="Arial"/>
                      <w:noProof/>
                      <w:sz w:val="24"/>
                      <w:szCs w:val="24"/>
                      <w:u w:val="single"/>
                      <w:lang w:val="en-US"/>
                    </w:rPr>
                    <w:t>https://ec.europa.eu/commission/presscorner/detail/en/statement_22_2281</w:t>
                  </w:r>
                  <w:r w:rsidRPr="00FA7844">
                    <w:rPr>
                      <w:rFonts w:ascii="Arial" w:hAnsi="Arial" w:cs="Arial"/>
                      <w:noProof/>
                      <w:sz w:val="24"/>
                      <w:szCs w:val="24"/>
                      <w:lang w:val="en-US"/>
                    </w:rPr>
                    <w:br/>
                    <w:t>[Accessed 05 April 2022].</w:t>
                  </w:r>
                </w:p>
                <w:p w14:paraId="5C355D4B" w14:textId="77777777" w:rsidR="00FA7844" w:rsidRPr="00FA7844" w:rsidRDefault="00FA7844" w:rsidP="00505D1E">
                  <w:pPr>
                    <w:pStyle w:val="Bibliography"/>
                    <w:spacing w:line="480" w:lineRule="auto"/>
                    <w:rPr>
                      <w:rFonts w:ascii="Arial" w:hAnsi="Arial" w:cs="Arial"/>
                      <w:noProof/>
                      <w:sz w:val="24"/>
                      <w:szCs w:val="24"/>
                      <w:lang w:val="en-US"/>
                    </w:rPr>
                  </w:pPr>
                  <w:r w:rsidRPr="00FA7844">
                    <w:rPr>
                      <w:rFonts w:ascii="Arial" w:hAnsi="Arial" w:cs="Arial"/>
                      <w:noProof/>
                      <w:sz w:val="24"/>
                      <w:szCs w:val="24"/>
                      <w:lang w:val="en-US"/>
                    </w:rPr>
                    <w:t xml:space="preserve">Harris, K., 2021. </w:t>
                  </w:r>
                  <w:r w:rsidRPr="00FA7844">
                    <w:rPr>
                      <w:rFonts w:ascii="Arial" w:hAnsi="Arial" w:cs="Arial"/>
                      <w:i/>
                      <w:iCs/>
                      <w:noProof/>
                      <w:sz w:val="24"/>
                      <w:szCs w:val="24"/>
                      <w:lang w:val="en-US"/>
                    </w:rPr>
                    <w:t xml:space="preserve">DUKES 2021 Chapter 1: Energy, </w:t>
                  </w:r>
                  <w:r w:rsidRPr="00FA7844">
                    <w:rPr>
                      <w:rFonts w:ascii="Arial" w:hAnsi="Arial" w:cs="Arial"/>
                      <w:noProof/>
                      <w:sz w:val="24"/>
                      <w:szCs w:val="24"/>
                      <w:lang w:val="en-US"/>
                    </w:rPr>
                    <w:t>s.l.: U.K. Department for Business, Energy &amp; Industrial Strategy.</w:t>
                  </w:r>
                </w:p>
                <w:p w14:paraId="0648F2BF" w14:textId="77777777" w:rsidR="00FA7844" w:rsidRPr="00FA7844" w:rsidRDefault="00FA7844" w:rsidP="00505D1E">
                  <w:pPr>
                    <w:pStyle w:val="Bibliography"/>
                    <w:spacing w:line="480" w:lineRule="auto"/>
                    <w:rPr>
                      <w:rFonts w:ascii="Arial" w:hAnsi="Arial" w:cs="Arial"/>
                      <w:noProof/>
                      <w:sz w:val="24"/>
                      <w:szCs w:val="24"/>
                      <w:lang w:val="en-US"/>
                    </w:rPr>
                  </w:pPr>
                  <w:r w:rsidRPr="00FA7844">
                    <w:rPr>
                      <w:rFonts w:ascii="Arial" w:hAnsi="Arial" w:cs="Arial"/>
                      <w:noProof/>
                      <w:sz w:val="24"/>
                      <w:szCs w:val="24"/>
                      <w:lang w:val="en-US"/>
                    </w:rPr>
                    <w:t xml:space="preserve">OPEC, 2022. </w:t>
                  </w:r>
                  <w:r w:rsidRPr="00FA7844">
                    <w:rPr>
                      <w:rFonts w:ascii="Arial" w:hAnsi="Arial" w:cs="Arial"/>
                      <w:i/>
                      <w:iCs/>
                      <w:noProof/>
                      <w:sz w:val="24"/>
                      <w:szCs w:val="24"/>
                      <w:lang w:val="en-US"/>
                    </w:rPr>
                    <w:t xml:space="preserve">OPEC Monthly Oil Market Report, </w:t>
                  </w:r>
                  <w:r w:rsidRPr="00FA7844">
                    <w:rPr>
                      <w:rFonts w:ascii="Arial" w:hAnsi="Arial" w:cs="Arial"/>
                      <w:noProof/>
                      <w:sz w:val="24"/>
                      <w:szCs w:val="24"/>
                      <w:lang w:val="en-US"/>
                    </w:rPr>
                    <w:t>Vienna: OPEC.</w:t>
                  </w:r>
                </w:p>
                <w:p w14:paraId="37953D76" w14:textId="77777777" w:rsidR="00FA7844" w:rsidRPr="00FA7844" w:rsidRDefault="00FA7844" w:rsidP="00505D1E">
                  <w:pPr>
                    <w:pStyle w:val="Bibliography"/>
                    <w:spacing w:line="480" w:lineRule="auto"/>
                    <w:rPr>
                      <w:rFonts w:ascii="Arial" w:hAnsi="Arial" w:cs="Arial"/>
                      <w:noProof/>
                      <w:sz w:val="24"/>
                      <w:szCs w:val="24"/>
                      <w:lang w:val="en-US"/>
                    </w:rPr>
                  </w:pPr>
                  <w:r w:rsidRPr="00FA7844">
                    <w:rPr>
                      <w:rFonts w:ascii="Arial" w:hAnsi="Arial" w:cs="Arial"/>
                      <w:noProof/>
                      <w:sz w:val="24"/>
                      <w:szCs w:val="24"/>
                      <w:lang w:val="en-US"/>
                    </w:rPr>
                    <w:t xml:space="preserve">U.S. White House Briefing Room, 2022. </w:t>
                  </w:r>
                  <w:r w:rsidRPr="00FA7844">
                    <w:rPr>
                      <w:rFonts w:ascii="Arial" w:hAnsi="Arial" w:cs="Arial"/>
                      <w:i/>
                      <w:iCs/>
                      <w:noProof/>
                      <w:sz w:val="24"/>
                      <w:szCs w:val="24"/>
                      <w:lang w:val="en-US"/>
                    </w:rPr>
                    <w:t xml:space="preserve">White House. </w:t>
                  </w:r>
                  <w:r w:rsidRPr="00FA7844">
                    <w:rPr>
                      <w:rFonts w:ascii="Arial" w:hAnsi="Arial" w:cs="Arial"/>
                      <w:noProof/>
                      <w:sz w:val="24"/>
                      <w:szCs w:val="24"/>
                      <w:lang w:val="en-US"/>
                    </w:rPr>
                    <w:t xml:space="preserve">[Online] </w:t>
                  </w:r>
                  <w:r w:rsidRPr="00FA7844">
                    <w:rPr>
                      <w:rFonts w:ascii="Arial" w:hAnsi="Arial" w:cs="Arial"/>
                      <w:noProof/>
                      <w:sz w:val="24"/>
                      <w:szCs w:val="24"/>
                      <w:lang w:val="en-US"/>
                    </w:rPr>
                    <w:br/>
                    <w:t xml:space="preserve">Available at: </w:t>
                  </w:r>
                  <w:r w:rsidRPr="00FA7844">
                    <w:rPr>
                      <w:rFonts w:ascii="Arial" w:hAnsi="Arial" w:cs="Arial"/>
                      <w:noProof/>
                      <w:sz w:val="24"/>
                      <w:szCs w:val="24"/>
                      <w:u w:val="single"/>
                      <w:lang w:val="en-US"/>
                    </w:rPr>
                    <w:t>https://www.whitehouse.gov/briefing-room/statements-releases/2022/03/08/fact-sheet-united-states-bans-imports-of-russian-oil-liquefied-natural-gas-and-</w:t>
                  </w:r>
                  <w:r w:rsidRPr="00FA7844">
                    <w:rPr>
                      <w:rFonts w:ascii="Arial" w:hAnsi="Arial" w:cs="Arial"/>
                      <w:noProof/>
                      <w:sz w:val="24"/>
                      <w:szCs w:val="24"/>
                      <w:u w:val="single"/>
                      <w:lang w:val="en-US"/>
                    </w:rPr>
                    <w:lastRenderedPageBreak/>
                    <w:t>coal/#:~:text=Today%2C%20President%20Biden%20will%20sign,his%20needless%20war%20of%20choice.</w:t>
                  </w:r>
                  <w:r w:rsidRPr="00FA7844">
                    <w:rPr>
                      <w:rFonts w:ascii="Arial" w:hAnsi="Arial" w:cs="Arial"/>
                      <w:noProof/>
                      <w:sz w:val="24"/>
                      <w:szCs w:val="24"/>
                      <w:lang w:val="en-US"/>
                    </w:rPr>
                    <w:br/>
                    <w:t>[Accessed 05 April 2022].</w:t>
                  </w:r>
                </w:p>
                <w:p w14:paraId="7363BAEB" w14:textId="77777777" w:rsidR="00FA7844" w:rsidRPr="00FA7844" w:rsidRDefault="00FA7844" w:rsidP="00505D1E">
                  <w:pPr>
                    <w:pStyle w:val="Bibliography"/>
                    <w:spacing w:line="480" w:lineRule="auto"/>
                    <w:rPr>
                      <w:rFonts w:ascii="Arial" w:hAnsi="Arial" w:cs="Arial"/>
                      <w:noProof/>
                      <w:sz w:val="24"/>
                      <w:szCs w:val="24"/>
                      <w:lang w:val="en-US"/>
                    </w:rPr>
                  </w:pPr>
                  <w:r w:rsidRPr="00FA7844">
                    <w:rPr>
                      <w:rFonts w:ascii="Arial" w:hAnsi="Arial" w:cs="Arial"/>
                      <w:noProof/>
                      <w:sz w:val="24"/>
                      <w:szCs w:val="24"/>
                      <w:lang w:val="en-US"/>
                    </w:rPr>
                    <w:t xml:space="preserve">Williams, I. et al., 2014. </w:t>
                  </w:r>
                  <w:r w:rsidRPr="00FA7844">
                    <w:rPr>
                      <w:rFonts w:ascii="Arial" w:hAnsi="Arial" w:cs="Arial"/>
                      <w:i/>
                      <w:iCs/>
                      <w:noProof/>
                      <w:sz w:val="24"/>
                      <w:szCs w:val="24"/>
                      <w:lang w:val="en-US"/>
                    </w:rPr>
                    <w:t xml:space="preserve">Cost pass-through: theory, measurement, and potential policy implications, </w:t>
                  </w:r>
                  <w:r w:rsidRPr="00FA7844">
                    <w:rPr>
                      <w:rFonts w:ascii="Arial" w:hAnsi="Arial" w:cs="Arial"/>
                      <w:noProof/>
                      <w:sz w:val="24"/>
                      <w:szCs w:val="24"/>
                      <w:lang w:val="en-US"/>
                    </w:rPr>
                    <w:t>London: RBB.</w:t>
                  </w:r>
                </w:p>
                <w:p w14:paraId="631D9BB1" w14:textId="7B9F4910" w:rsidR="000E2EE7" w:rsidRPr="003F75C9" w:rsidRDefault="000E2EE7" w:rsidP="00505D1E">
                  <w:pPr>
                    <w:pStyle w:val="Bibliography"/>
                    <w:spacing w:line="48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F75C9">
                    <w:rPr>
                      <w:rFonts w:ascii="Arial" w:hAnsi="Arial" w:cs="Arial"/>
                      <w:b/>
                      <w:bCs/>
                      <w:noProof/>
                      <w:sz w:val="24"/>
                      <w:szCs w:val="24"/>
                    </w:rPr>
                    <w:fldChar w:fldCharType="end"/>
                  </w:r>
                </w:p>
              </w:sdtContent>
            </w:sdt>
          </w:sdtContent>
        </w:sdt>
        <w:p w14:paraId="5BA687E7" w14:textId="7F8011D2" w:rsidR="00BA4125" w:rsidRPr="003F75C9" w:rsidRDefault="00667747" w:rsidP="00911D45">
          <w:pPr>
            <w:spacing w:line="480" w:lineRule="auto"/>
            <w:rPr>
              <w:rFonts w:ascii="Arial" w:hAnsi="Arial" w:cs="Arial"/>
              <w:sz w:val="24"/>
              <w:szCs w:val="24"/>
            </w:rPr>
          </w:pPr>
        </w:p>
      </w:sdtContent>
    </w:sdt>
    <w:sectPr w:rsidR="00BA4125" w:rsidRPr="003F7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565"/>
    <w:rsid w:val="000205E1"/>
    <w:rsid w:val="000213CA"/>
    <w:rsid w:val="000539D4"/>
    <w:rsid w:val="00057D66"/>
    <w:rsid w:val="00074FFB"/>
    <w:rsid w:val="00090455"/>
    <w:rsid w:val="000B0DFD"/>
    <w:rsid w:val="000C1E10"/>
    <w:rsid w:val="000C2887"/>
    <w:rsid w:val="000C2D1C"/>
    <w:rsid w:val="000C4B86"/>
    <w:rsid w:val="000E2EE7"/>
    <w:rsid w:val="000F6141"/>
    <w:rsid w:val="00194CBE"/>
    <w:rsid w:val="001B0D82"/>
    <w:rsid w:val="001D0023"/>
    <w:rsid w:val="001F0E6B"/>
    <w:rsid w:val="001F1217"/>
    <w:rsid w:val="00202921"/>
    <w:rsid w:val="00203C96"/>
    <w:rsid w:val="0020688C"/>
    <w:rsid w:val="00206D04"/>
    <w:rsid w:val="00227EF6"/>
    <w:rsid w:val="00237948"/>
    <w:rsid w:val="0024145D"/>
    <w:rsid w:val="002444AC"/>
    <w:rsid w:val="002529E1"/>
    <w:rsid w:val="00272C9A"/>
    <w:rsid w:val="00274D54"/>
    <w:rsid w:val="00292045"/>
    <w:rsid w:val="00296C9B"/>
    <w:rsid w:val="002B3240"/>
    <w:rsid w:val="002C476C"/>
    <w:rsid w:val="002F71B2"/>
    <w:rsid w:val="002F7722"/>
    <w:rsid w:val="00317779"/>
    <w:rsid w:val="003239D0"/>
    <w:rsid w:val="0032501E"/>
    <w:rsid w:val="00333D88"/>
    <w:rsid w:val="003375CF"/>
    <w:rsid w:val="00364DF4"/>
    <w:rsid w:val="00377343"/>
    <w:rsid w:val="003A0500"/>
    <w:rsid w:val="003B5D50"/>
    <w:rsid w:val="003B6E5F"/>
    <w:rsid w:val="003D1E2A"/>
    <w:rsid w:val="003D66B3"/>
    <w:rsid w:val="003F75C9"/>
    <w:rsid w:val="004029A4"/>
    <w:rsid w:val="00431E85"/>
    <w:rsid w:val="00442174"/>
    <w:rsid w:val="00445114"/>
    <w:rsid w:val="004568DC"/>
    <w:rsid w:val="00463738"/>
    <w:rsid w:val="004A04C2"/>
    <w:rsid w:val="004A05C1"/>
    <w:rsid w:val="004B0C8A"/>
    <w:rsid w:val="004B3120"/>
    <w:rsid w:val="004B695E"/>
    <w:rsid w:val="004C327B"/>
    <w:rsid w:val="00501E29"/>
    <w:rsid w:val="00505D1E"/>
    <w:rsid w:val="0052667A"/>
    <w:rsid w:val="0052732A"/>
    <w:rsid w:val="00533565"/>
    <w:rsid w:val="0054552B"/>
    <w:rsid w:val="005536F1"/>
    <w:rsid w:val="005750C8"/>
    <w:rsid w:val="00587266"/>
    <w:rsid w:val="00593C78"/>
    <w:rsid w:val="005B06B4"/>
    <w:rsid w:val="005B0B18"/>
    <w:rsid w:val="005B322E"/>
    <w:rsid w:val="005C198B"/>
    <w:rsid w:val="005D12BC"/>
    <w:rsid w:val="0062113B"/>
    <w:rsid w:val="00635826"/>
    <w:rsid w:val="0064098B"/>
    <w:rsid w:val="0065358E"/>
    <w:rsid w:val="00660555"/>
    <w:rsid w:val="00667747"/>
    <w:rsid w:val="006B2C43"/>
    <w:rsid w:val="006C0D5B"/>
    <w:rsid w:val="006D64FF"/>
    <w:rsid w:val="00726093"/>
    <w:rsid w:val="007325E9"/>
    <w:rsid w:val="007401B0"/>
    <w:rsid w:val="007A3FFD"/>
    <w:rsid w:val="007A5BDC"/>
    <w:rsid w:val="007B4C7B"/>
    <w:rsid w:val="007D1E86"/>
    <w:rsid w:val="007F4A4E"/>
    <w:rsid w:val="008079B3"/>
    <w:rsid w:val="008111A6"/>
    <w:rsid w:val="00825ECD"/>
    <w:rsid w:val="0082783E"/>
    <w:rsid w:val="0083701E"/>
    <w:rsid w:val="00843B41"/>
    <w:rsid w:val="00852999"/>
    <w:rsid w:val="00857C05"/>
    <w:rsid w:val="008A211C"/>
    <w:rsid w:val="008B3FEA"/>
    <w:rsid w:val="008C0038"/>
    <w:rsid w:val="008C125D"/>
    <w:rsid w:val="008E4E29"/>
    <w:rsid w:val="008F61F4"/>
    <w:rsid w:val="00911D45"/>
    <w:rsid w:val="00921B4C"/>
    <w:rsid w:val="00937885"/>
    <w:rsid w:val="00982163"/>
    <w:rsid w:val="009A4186"/>
    <w:rsid w:val="009B05C8"/>
    <w:rsid w:val="009B2B89"/>
    <w:rsid w:val="009D37B9"/>
    <w:rsid w:val="00A16D1C"/>
    <w:rsid w:val="00A17682"/>
    <w:rsid w:val="00A23AEB"/>
    <w:rsid w:val="00A3546A"/>
    <w:rsid w:val="00A464FF"/>
    <w:rsid w:val="00A46C28"/>
    <w:rsid w:val="00A56192"/>
    <w:rsid w:val="00A56528"/>
    <w:rsid w:val="00A64A78"/>
    <w:rsid w:val="00A83FA9"/>
    <w:rsid w:val="00A846C6"/>
    <w:rsid w:val="00A978ED"/>
    <w:rsid w:val="00AA22D5"/>
    <w:rsid w:val="00AA2F84"/>
    <w:rsid w:val="00AA3AE5"/>
    <w:rsid w:val="00AB1616"/>
    <w:rsid w:val="00AF46AD"/>
    <w:rsid w:val="00B20F49"/>
    <w:rsid w:val="00B21BF1"/>
    <w:rsid w:val="00B52876"/>
    <w:rsid w:val="00B80612"/>
    <w:rsid w:val="00B864BA"/>
    <w:rsid w:val="00BA29EF"/>
    <w:rsid w:val="00BA4125"/>
    <w:rsid w:val="00BB00D7"/>
    <w:rsid w:val="00BE0930"/>
    <w:rsid w:val="00C255F6"/>
    <w:rsid w:val="00C30498"/>
    <w:rsid w:val="00C35937"/>
    <w:rsid w:val="00C45493"/>
    <w:rsid w:val="00C73E32"/>
    <w:rsid w:val="00CA5537"/>
    <w:rsid w:val="00CC52D4"/>
    <w:rsid w:val="00CC72BA"/>
    <w:rsid w:val="00CC7632"/>
    <w:rsid w:val="00CD7061"/>
    <w:rsid w:val="00CF5BD7"/>
    <w:rsid w:val="00D1540A"/>
    <w:rsid w:val="00D42D4E"/>
    <w:rsid w:val="00D4358E"/>
    <w:rsid w:val="00D565F8"/>
    <w:rsid w:val="00DA08DD"/>
    <w:rsid w:val="00E2441E"/>
    <w:rsid w:val="00E41BC3"/>
    <w:rsid w:val="00E85510"/>
    <w:rsid w:val="00E8587A"/>
    <w:rsid w:val="00E96600"/>
    <w:rsid w:val="00EB3974"/>
    <w:rsid w:val="00EC2B41"/>
    <w:rsid w:val="00EE08BF"/>
    <w:rsid w:val="00EE2018"/>
    <w:rsid w:val="00F0159B"/>
    <w:rsid w:val="00F5384C"/>
    <w:rsid w:val="00F71220"/>
    <w:rsid w:val="00F775D5"/>
    <w:rsid w:val="00F93707"/>
    <w:rsid w:val="00FA7844"/>
    <w:rsid w:val="00FC4907"/>
    <w:rsid w:val="00FD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5ED9C"/>
  <w15:chartTrackingRefBased/>
  <w15:docId w15:val="{CA24AA38-1473-427D-8C11-D7FB9341D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B69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69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69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69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695E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9045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090455"/>
  </w:style>
  <w:style w:type="paragraph" w:styleId="Caption">
    <w:name w:val="caption"/>
    <w:basedOn w:val="Normal"/>
    <w:next w:val="Normal"/>
    <w:uiPriority w:val="35"/>
    <w:unhideWhenUsed/>
    <w:qFormat/>
    <w:rsid w:val="002529E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Eur22</b:Tag>
    <b:SourceType>DocumentFromInternetSite</b:SourceType>
    <b:Guid>{60B4F201-408E-47C4-AC9F-278AE79FFFA6}</b:Guid>
    <b:Title>Eruopean Comission</b:Title>
    <b:Year>2022</b:Year>
    <b:Month>April</b:Month>
    <b:Day>05</b:Day>
    <b:URL>https://ec.europa.eu/commission/presscorner/detail/en/statement_22_2281</b:URL>
    <b:Author>
      <b:Author>
        <b:Corporate>European Comission</b:Corporate>
      </b:Author>
    </b:Author>
    <b:YearAccessed>2022</b:YearAccessed>
    <b:MonthAccessed>April</b:MonthAccessed>
    <b:DayAccessed>05</b:DayAccessed>
    <b:RefOrder>2</b:RefOrder>
  </b:Source>
  <b:Source>
    <b:Tag>OPE22</b:Tag>
    <b:SourceType>Report</b:SourceType>
    <b:Guid>{4A324D72-5E6E-4C70-838E-3AFA7525253E}</b:Guid>
    <b:Title>OPEC Monthly Oil Market Report</b:Title>
    <b:Year>2022</b:Year>
    <b:Publisher>OPEC</b:Publisher>
    <b:City>Vienna</b:City>
    <b:Author>
      <b:Author>
        <b:Corporate>OPEC</b:Corporate>
      </b:Author>
    </b:Author>
    <b:YearAccessed>2022</b:YearAccessed>
    <b:MonthAccessed>April</b:MonthAccessed>
    <b:DayAccessed>05</b:DayAccessed>
    <b:RefOrder>3</b:RefOrder>
  </b:Source>
  <b:Source>
    <b:Tag>Dep21</b:Tag>
    <b:SourceType>Report</b:SourceType>
    <b:Guid>{79EB007D-C679-40F1-AF6A-C0CCF618C709}</b:Guid>
    <b:Author>
      <b:Author>
        <b:Corporate>Department for Business, Energy &amp; Industrial Strategy</b:Corporate>
      </b:Author>
    </b:Author>
    <b:Title>UK ENERGY BRIEF 2021</b:Title>
    <b:Year>2021</b:Year>
    <b:Publisher>Department for Business, Energy &amp; Industrial Strategy</b:Publisher>
    <b:YearAccessed>2022</b:YearAccessed>
    <b:MonthAccessed>April</b:MonthAccessed>
    <b:DayAccessed>05</b:DayAccessed>
    <b:URL>https://www.gov.uk/government/statistics/uk-energy-in-brief-2021</b:URL>
    <b:RefOrder>6</b:RefOrder>
  </b:Source>
  <b:Source>
    <b:Tag>USW22</b:Tag>
    <b:SourceType>InternetSite</b:SourceType>
    <b:Guid>{55626391-06B4-41AE-BC61-A15195F098CC}</b:Guid>
    <b:Author>
      <b:Author>
        <b:Corporate>U.S. White House Briefing Room</b:Corporate>
      </b:Author>
    </b:Author>
    <b:Title>White House</b:Title>
    <b:Year>2022</b:Year>
    <b:InternetSiteTitle>The White House</b:InternetSiteTitle>
    <b:Month>March</b:Month>
    <b:Day>08</b:Day>
    <b:URL>https://www.whitehouse.gov/briefing-room/statements-releases/2022/03/08/fact-sheet-united-states-bans-imports-of-russian-oil-liquefied-natural-gas-and-coal/#:~:text=Today%2C%20President%20Biden%20will%20sign,his%20needless%20war%20of%20choice.</b:URL>
    <b:YearAccessed>2022</b:YearAccessed>
    <b:MonthAccessed>April</b:MonthAccessed>
    <b:DayAccessed>05</b:DayAccessed>
    <b:RefOrder>1</b:RefOrder>
  </b:Source>
  <b:Source>
    <b:Tag>Har21</b:Tag>
    <b:SourceType>Report</b:SourceType>
    <b:Guid>{17011BBF-F740-4D48-9A40-EEFA71116E73}</b:Guid>
    <b:Title>DUKES 2021 Chapter 1: Energy</b:Title>
    <b:Year>2021</b:Year>
    <b:Publisher>U.K. Department for Business, Energy &amp; Industrial Strategy</b:Publisher>
    <b:YearAccessed>2022</b:YearAccessed>
    <b:MonthAccessed>April</b:MonthAccessed>
    <b:DayAccessed>05</b:DayAccessed>
    <b:URL>https://assets.publishing.service.gov.uk/government/uploads/system/uploads/attachment_data/file/1006569/DUKES_2021_Chapter_1_Energy.pdf</b:URL>
    <b:Author>
      <b:Author>
        <b:NameList>
          <b:Person>
            <b:Last>Harris</b:Last>
            <b:First>Kevin</b:First>
          </b:Person>
        </b:NameList>
      </b:Author>
    </b:Author>
    <b:RefOrder>4</b:RefOrder>
  </b:Source>
  <b:Source>
    <b:Tag>Wil14</b:Tag>
    <b:SourceType>Report</b:SourceType>
    <b:Guid>{45F4A6A0-4CBC-49CD-A8D9-955A0FEC3A54}</b:Guid>
    <b:Title>Cost pass-through: theory, measurement, and potential policy implications</b:Title>
    <b:Year>2014</b:Year>
    <b:Publisher>RBB</b:Publisher>
    <b:City>London</b:City>
    <b:Author>
      <b:Author>
        <b:NameList>
          <b:Person>
            <b:Last>Williams</b:Last>
            <b:First>Iestyn</b:First>
          </b:Person>
          <b:Person>
            <b:Last>Durand</b:Last>
            <b:First>Benoit</b:First>
          </b:Person>
          <b:Person>
            <b:Last>Majumdar</b:Last>
            <b:First>Adrian</b:First>
          </b:Person>
          <b:Person>
            <b:Last>Alvim</b:Last>
            <b:First>Nuno</b:First>
          </b:Person>
          <b:Person>
            <b:Last>Armstrong</b:Last>
            <b:First>Rodney</b:First>
          </b:Person>
          <b:Person>
            <b:Last>Manganellu</b:Last>
            <b:First>Anton</b:First>
          </b:Person>
          <b:Person>
            <b:Last>Reuter</b:Last>
            <b:First>Tim</b:First>
          </b:Person>
          <b:Person>
            <b:Last>Sodano</b:Last>
            <b:First>Valerio</b:First>
          </b:Person>
          <b:Person>
            <b:Last>Stoddart</b:Last>
            <b:First>Paul</b:First>
          </b:Person>
          <b:Person>
            <b:Last>Whelan</b:Last>
            <b:First>Chris</b:First>
          </b:Person>
        </b:NameList>
      </b:Author>
    </b:Author>
    <b:URL>https://assets.publishing.service.gov.uk/government/uploads/system/uploads/attachment_data/file/320912/Cost_Pass-Through_Report.pdf</b:URL>
    <b:YearAccessed>2022</b:YearAccessed>
    <b:MonthAccessed>April</b:MonthAccessed>
    <b:DayAccessed>05</b:DayAccessed>
    <b:RefOrder>5</b:RefOrder>
  </b:Source>
  <b:Source>
    <b:Tag>Bar95</b:Tag>
    <b:SourceType>JournalArticle</b:SourceType>
    <b:Guid>{F2864028-261A-4E62-A1FA-3F1207CEA788}</b:Guid>
    <b:Title>Inflation and Economic Growth</b:Title>
    <b:JournalName>NBER Working Paper Series</b:JournalName>
    <b:Year>1995</b:Year>
    <b:YearAccessed>2022</b:YearAccessed>
    <b:MonthAccessed>April</b:MonthAccessed>
    <b:DayAccessed>05</b:DayAccessed>
    <b:DOI>10.3386/w5326</b:DOI>
    <b:Author>
      <b:Author>
        <b:NameList>
          <b:Person>
            <b:Last>Barro</b:Last>
            <b:Middle>J</b:Middle>
            <b:First>Robert</b:First>
          </b:Person>
        </b:NameList>
      </b:Author>
    </b:Author>
    <b:Publisher>National Bureau of Economic Research</b:Publisher>
    <b:RefOrder>8</b:RefOrder>
  </b:Source>
  <b:Source>
    <b:Tag>Cla00</b:Tag>
    <b:SourceType>JournalArticle</b:SourceType>
    <b:Guid>{B19F6D32-4EA0-421B-8F0C-E1F922AC1825}</b:Guid>
    <b:Title>Is the Output Gap a Useful Indicator of Inflation</b:Title>
    <b:Year>2000</b:Year>
    <b:Publisher>Reserve Bank of New Zealand Discussion</b:Publisher>
    <b:Author>
      <b:Author>
        <b:NameList>
          <b:Person>
            <b:Last>Claus</b:Last>
            <b:First>Iris</b:First>
          </b:Person>
        </b:NameList>
      </b:Author>
    </b:Author>
    <b:Month>April</b:Month>
    <b:YearAccessed>2022</b:YearAccessed>
    <b:MonthAccessed>April</b:MonthAccessed>
    <b:DayAccessed>5</b:DayAccessed>
    <b:DOI>10.2139/320826</b:DOI>
    <b:Day>05</b:Day>
    <b:RefOrder>7</b:RefOrder>
  </b:Source>
</b:Sources>
</file>

<file path=customXml/itemProps1.xml><?xml version="1.0" encoding="utf-8"?>
<ds:datastoreItem xmlns:ds="http://schemas.openxmlformats.org/officeDocument/2006/customXml" ds:itemID="{72DF1138-C6CC-4CEF-9679-E77134A3D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5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Christensen</dc:creator>
  <cp:keywords/>
  <dc:description/>
  <cp:lastModifiedBy>Armando Christensen</cp:lastModifiedBy>
  <cp:revision>161</cp:revision>
  <dcterms:created xsi:type="dcterms:W3CDTF">2022-03-28T11:47:00Z</dcterms:created>
  <dcterms:modified xsi:type="dcterms:W3CDTF">2022-04-27T23:38:00Z</dcterms:modified>
</cp:coreProperties>
</file>