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FA36" w14:textId="77777777" w:rsidR="008D71E1" w:rsidRDefault="008D71E1" w:rsidP="008D71E1">
      <w:pPr>
        <w:jc w:val="center"/>
        <w:rPr>
          <w:rFonts w:ascii="Arial" w:hAnsi="Arial" w:cs="Arial"/>
        </w:rPr>
      </w:pPr>
      <w:bookmarkStart w:id="0" w:name="_Hlk164298058"/>
    </w:p>
    <w:p w14:paraId="12759B1F" w14:textId="77777777" w:rsidR="008D71E1" w:rsidRDefault="008D71E1" w:rsidP="00E95CEE">
      <w:pPr>
        <w:spacing w:line="480" w:lineRule="auto"/>
        <w:jc w:val="center"/>
        <w:rPr>
          <w:rFonts w:ascii="Arial" w:hAnsi="Arial" w:cs="Arial"/>
        </w:rPr>
      </w:pPr>
    </w:p>
    <w:p w14:paraId="71C184CB" w14:textId="4BFB79C1" w:rsidR="002F38CE" w:rsidRPr="008D71E1" w:rsidRDefault="008D71E1" w:rsidP="00E95CEE">
      <w:pPr>
        <w:spacing w:line="480" w:lineRule="auto"/>
        <w:jc w:val="center"/>
        <w:rPr>
          <w:rFonts w:ascii="Arial" w:hAnsi="Arial" w:cs="Arial"/>
          <w:b/>
          <w:i/>
        </w:rPr>
      </w:pPr>
      <w:r w:rsidRPr="008D71E1">
        <w:rPr>
          <w:rFonts w:ascii="Arial" w:hAnsi="Arial" w:cs="Arial"/>
          <w:b/>
          <w:bCs/>
        </w:rPr>
        <w:t xml:space="preserve">UNIVERSAL BASIC INCOME IN RESPONSE TO THE COST-OF-LIVING CRISIS: </w:t>
      </w:r>
      <w:r w:rsidR="00E95CEE">
        <w:rPr>
          <w:rFonts w:ascii="Arial" w:hAnsi="Arial" w:cs="Arial"/>
          <w:b/>
          <w:bCs/>
        </w:rPr>
        <w:tab/>
      </w:r>
      <w:r w:rsidRPr="008D71E1">
        <w:rPr>
          <w:rFonts w:ascii="Arial" w:hAnsi="Arial" w:cs="Arial"/>
          <w:b/>
          <w:bCs/>
          <w:i/>
          <w:iCs/>
        </w:rPr>
        <w:t>The Feasibility Questions</w:t>
      </w:r>
    </w:p>
    <w:p w14:paraId="7E3EC3B9" w14:textId="77777777" w:rsidR="002F38CE" w:rsidRDefault="002F38CE" w:rsidP="008D71E1">
      <w:pPr>
        <w:spacing w:line="480" w:lineRule="auto"/>
        <w:rPr>
          <w:rFonts w:ascii="Arial" w:hAnsi="Arial" w:cs="Arial"/>
        </w:rPr>
      </w:pPr>
    </w:p>
    <w:p w14:paraId="0844A10E" w14:textId="77777777" w:rsidR="00B4079D" w:rsidRPr="008D71E1" w:rsidRDefault="00B4079D" w:rsidP="008D71E1">
      <w:pPr>
        <w:spacing w:line="480" w:lineRule="auto"/>
        <w:rPr>
          <w:rFonts w:ascii="Arial" w:hAnsi="Arial" w:cs="Arial"/>
        </w:rPr>
      </w:pPr>
    </w:p>
    <w:p w14:paraId="378DA770" w14:textId="3F0050BB" w:rsidR="008D71E1" w:rsidRPr="008D71E1" w:rsidRDefault="008D71E1" w:rsidP="008D71E1">
      <w:pPr>
        <w:spacing w:line="480" w:lineRule="auto"/>
        <w:rPr>
          <w:rFonts w:ascii="Arial" w:hAnsi="Arial" w:cs="Arial"/>
          <w:b/>
          <w:bCs/>
        </w:rPr>
      </w:pPr>
      <w:r w:rsidRPr="008D71E1">
        <w:rPr>
          <w:rFonts w:ascii="Arial" w:hAnsi="Arial" w:cs="Arial"/>
          <w:b/>
          <w:bCs/>
        </w:rPr>
        <w:t>Executive Summary</w:t>
      </w:r>
    </w:p>
    <w:p w14:paraId="2A957B45" w14:textId="67FF3BA9" w:rsidR="008D71E1" w:rsidRPr="008D71E1" w:rsidRDefault="00677D41" w:rsidP="00046A50">
      <w:pPr>
        <w:pStyle w:val="ListParagraph"/>
        <w:numPr>
          <w:ilvl w:val="0"/>
          <w:numId w:val="3"/>
        </w:numPr>
        <w:spacing w:line="480" w:lineRule="auto"/>
        <w:rPr>
          <w:rFonts w:ascii="Arial" w:hAnsi="Arial" w:cs="Arial"/>
        </w:rPr>
      </w:pPr>
      <w:r w:rsidRPr="008D71E1">
        <w:rPr>
          <w:rFonts w:ascii="Arial" w:hAnsi="Arial" w:cs="Arial"/>
        </w:rPr>
        <w:t>Introducing a Universal Basic Income</w:t>
      </w:r>
      <w:r w:rsidR="00F54830" w:rsidRPr="008D71E1">
        <w:rPr>
          <w:rFonts w:ascii="Arial" w:hAnsi="Arial" w:cs="Arial"/>
        </w:rPr>
        <w:t xml:space="preserve"> </w:t>
      </w:r>
      <w:r w:rsidR="00542110" w:rsidRPr="008D71E1">
        <w:rPr>
          <w:rFonts w:ascii="Arial" w:hAnsi="Arial" w:cs="Arial"/>
        </w:rPr>
        <w:t>(UBI)</w:t>
      </w:r>
      <w:r w:rsidRPr="008D71E1">
        <w:rPr>
          <w:rFonts w:ascii="Arial" w:hAnsi="Arial" w:cs="Arial"/>
        </w:rPr>
        <w:t xml:space="preserve"> is desirable to the United Kingdom to</w:t>
      </w:r>
      <w:r w:rsidR="00866D9D" w:rsidRPr="008D71E1">
        <w:rPr>
          <w:rFonts w:ascii="Arial" w:hAnsi="Arial" w:cs="Arial"/>
        </w:rPr>
        <w:t xml:space="preserve"> aid with the cost-of-living crisis</w:t>
      </w:r>
      <w:r w:rsidR="00805628" w:rsidRPr="008D71E1">
        <w:rPr>
          <w:rFonts w:ascii="Arial" w:hAnsi="Arial" w:cs="Arial"/>
        </w:rPr>
        <w:t xml:space="preserve"> in the short run </w:t>
      </w:r>
      <w:r w:rsidR="008D71E1" w:rsidRPr="008D71E1">
        <w:rPr>
          <w:rFonts w:ascii="Arial" w:hAnsi="Arial" w:cs="Arial"/>
        </w:rPr>
        <w:t xml:space="preserve">and ensures </w:t>
      </w:r>
      <w:r w:rsidR="00866D9D" w:rsidRPr="008D71E1">
        <w:rPr>
          <w:rFonts w:ascii="Arial" w:hAnsi="Arial" w:cs="Arial"/>
        </w:rPr>
        <w:t>economic security</w:t>
      </w:r>
      <w:r w:rsidR="00E249BA" w:rsidRPr="008D71E1">
        <w:rPr>
          <w:rFonts w:ascii="Arial" w:hAnsi="Arial" w:cs="Arial"/>
        </w:rPr>
        <w:t xml:space="preserve"> </w:t>
      </w:r>
      <w:sdt>
        <w:sdtPr>
          <w:id w:val="-844552010"/>
          <w:citation/>
        </w:sdtPr>
        <w:sdtEndPr/>
        <w:sdtContent>
          <w:r w:rsidR="00565A58" w:rsidRPr="008D71E1">
            <w:rPr>
              <w:rFonts w:ascii="Arial" w:hAnsi="Arial" w:cs="Arial"/>
            </w:rPr>
            <w:fldChar w:fldCharType="begin"/>
          </w:r>
          <w:r w:rsidR="00565A58" w:rsidRPr="008D71E1">
            <w:rPr>
              <w:rFonts w:ascii="Arial" w:hAnsi="Arial" w:cs="Arial"/>
            </w:rPr>
            <w:instrText xml:space="preserve"> CITATION Kan19 \l 2057 </w:instrText>
          </w:r>
          <w:r w:rsidR="00565A58" w:rsidRPr="008D71E1">
            <w:rPr>
              <w:rFonts w:ascii="Arial" w:hAnsi="Arial" w:cs="Arial"/>
            </w:rPr>
            <w:fldChar w:fldCharType="separate"/>
          </w:r>
          <w:r w:rsidR="00720E42">
            <w:rPr>
              <w:rFonts w:ascii="Arial" w:hAnsi="Arial" w:cs="Arial"/>
              <w:noProof/>
            </w:rPr>
            <w:t>(Kangas, Jauhiainen, Simanainen, &amp; Ylikännö, 2019)</w:t>
          </w:r>
          <w:r w:rsidR="00565A58" w:rsidRPr="008D71E1">
            <w:rPr>
              <w:rFonts w:ascii="Arial" w:hAnsi="Arial" w:cs="Arial"/>
            </w:rPr>
            <w:fldChar w:fldCharType="end"/>
          </w:r>
        </w:sdtContent>
      </w:sdt>
      <w:r w:rsidR="00866D9D" w:rsidRPr="008D71E1">
        <w:rPr>
          <w:rFonts w:ascii="Arial" w:hAnsi="Arial" w:cs="Arial"/>
        </w:rPr>
        <w:t>, lower crime rates</w:t>
      </w:r>
      <w:r w:rsidR="00950919" w:rsidRPr="008D71E1">
        <w:rPr>
          <w:rFonts w:ascii="Arial" w:hAnsi="Arial" w:cs="Arial"/>
        </w:rPr>
        <w:t xml:space="preserve"> and</w:t>
      </w:r>
      <w:r w:rsidR="00866D9D" w:rsidRPr="008D71E1">
        <w:rPr>
          <w:rFonts w:ascii="Arial" w:hAnsi="Arial" w:cs="Arial"/>
        </w:rPr>
        <w:t xml:space="preserve"> </w:t>
      </w:r>
      <w:r w:rsidR="00A45856" w:rsidRPr="008D71E1">
        <w:rPr>
          <w:rFonts w:ascii="Arial" w:hAnsi="Arial" w:cs="Arial"/>
        </w:rPr>
        <w:t>improved academic performance</w:t>
      </w:r>
      <w:r w:rsidR="00950919" w:rsidRPr="008D71E1">
        <w:rPr>
          <w:rFonts w:ascii="Arial" w:hAnsi="Arial" w:cs="Arial"/>
        </w:rPr>
        <w:t xml:space="preserve"> </w:t>
      </w:r>
      <w:sdt>
        <w:sdtPr>
          <w:id w:val="-2032944949"/>
          <w:citation/>
        </w:sdtPr>
        <w:sdtEndPr/>
        <w:sdtContent>
          <w:r w:rsidR="00565A58" w:rsidRPr="008D71E1">
            <w:rPr>
              <w:rFonts w:ascii="Arial" w:hAnsi="Arial" w:cs="Arial"/>
            </w:rPr>
            <w:fldChar w:fldCharType="begin"/>
          </w:r>
          <w:r w:rsidR="00565A58" w:rsidRPr="008D71E1">
            <w:rPr>
              <w:rFonts w:ascii="Arial" w:hAnsi="Arial" w:cs="Arial"/>
            </w:rPr>
            <w:instrText xml:space="preserve"> CITATION Lac17 \l 2057 </w:instrText>
          </w:r>
          <w:r w:rsidR="00565A58" w:rsidRPr="008D71E1">
            <w:rPr>
              <w:rFonts w:ascii="Arial" w:hAnsi="Arial" w:cs="Arial"/>
            </w:rPr>
            <w:fldChar w:fldCharType="separate"/>
          </w:r>
          <w:r w:rsidR="00720E42">
            <w:rPr>
              <w:rFonts w:ascii="Arial" w:hAnsi="Arial" w:cs="Arial"/>
              <w:noProof/>
            </w:rPr>
            <w:t>(Lacey, 2017)</w:t>
          </w:r>
          <w:r w:rsidR="00565A58" w:rsidRPr="008D71E1">
            <w:rPr>
              <w:rFonts w:ascii="Arial" w:hAnsi="Arial" w:cs="Arial"/>
            </w:rPr>
            <w:fldChar w:fldCharType="end"/>
          </w:r>
        </w:sdtContent>
      </w:sdt>
      <w:r w:rsidR="00950919" w:rsidRPr="008D71E1">
        <w:rPr>
          <w:rFonts w:ascii="Arial" w:hAnsi="Arial" w:cs="Arial"/>
        </w:rPr>
        <w:t xml:space="preserve"> </w:t>
      </w:r>
      <w:r w:rsidR="00A45856" w:rsidRPr="008D71E1">
        <w:rPr>
          <w:rFonts w:ascii="Arial" w:hAnsi="Arial" w:cs="Arial"/>
        </w:rPr>
        <w:t>, and reduced poverty</w:t>
      </w:r>
      <w:r w:rsidR="00950919" w:rsidRPr="008D71E1">
        <w:rPr>
          <w:rFonts w:ascii="Arial" w:hAnsi="Arial" w:cs="Arial"/>
        </w:rPr>
        <w:t xml:space="preserve"> </w:t>
      </w:r>
      <w:sdt>
        <w:sdtPr>
          <w:id w:val="-2107561103"/>
          <w:citation/>
        </w:sdtPr>
        <w:sdtEndPr/>
        <w:sdtContent>
          <w:r w:rsidR="00565A58" w:rsidRPr="008D71E1">
            <w:rPr>
              <w:rFonts w:ascii="Arial" w:hAnsi="Arial" w:cs="Arial"/>
            </w:rPr>
            <w:fldChar w:fldCharType="begin"/>
          </w:r>
          <w:r w:rsidR="00565A58" w:rsidRPr="008D71E1">
            <w:rPr>
              <w:rFonts w:ascii="Arial" w:hAnsi="Arial" w:cs="Arial"/>
            </w:rPr>
            <w:instrText xml:space="preserve"> CITATION Soa10 \l 2057 </w:instrText>
          </w:r>
          <w:r w:rsidR="00565A58" w:rsidRPr="008D71E1">
            <w:rPr>
              <w:rFonts w:ascii="Arial" w:hAnsi="Arial" w:cs="Arial"/>
            </w:rPr>
            <w:fldChar w:fldCharType="separate"/>
          </w:r>
          <w:r w:rsidR="00720E42">
            <w:rPr>
              <w:rFonts w:ascii="Arial" w:hAnsi="Arial" w:cs="Arial"/>
              <w:noProof/>
            </w:rPr>
            <w:t>(Soares, Ribas , &amp; Osório, 2010)</w:t>
          </w:r>
          <w:r w:rsidR="00565A58" w:rsidRPr="008D71E1">
            <w:rPr>
              <w:rFonts w:ascii="Arial" w:hAnsi="Arial" w:cs="Arial"/>
            </w:rPr>
            <w:fldChar w:fldCharType="end"/>
          </w:r>
        </w:sdtContent>
      </w:sdt>
      <w:r w:rsidR="008D71E1" w:rsidRPr="008D71E1">
        <w:rPr>
          <w:rFonts w:ascii="Arial" w:hAnsi="Arial" w:cs="Arial"/>
        </w:rPr>
        <w:t xml:space="preserve"> in the long run.</w:t>
      </w:r>
    </w:p>
    <w:p w14:paraId="18CB9B1A" w14:textId="13764905" w:rsidR="00805628" w:rsidRPr="008D71E1" w:rsidRDefault="008D71E1" w:rsidP="00046A50">
      <w:pPr>
        <w:pStyle w:val="ListParagraph"/>
        <w:numPr>
          <w:ilvl w:val="0"/>
          <w:numId w:val="3"/>
        </w:numPr>
        <w:spacing w:line="480" w:lineRule="auto"/>
        <w:rPr>
          <w:rFonts w:ascii="Arial" w:hAnsi="Arial" w:cs="Arial"/>
        </w:rPr>
      </w:pPr>
      <w:r w:rsidRPr="008D71E1">
        <w:rPr>
          <w:rFonts w:ascii="Arial" w:hAnsi="Arial" w:cs="Arial"/>
        </w:rPr>
        <w:t xml:space="preserve">A full run UBI equates </w:t>
      </w:r>
      <w:r w:rsidR="009065C7" w:rsidRPr="008D71E1">
        <w:rPr>
          <w:rFonts w:ascii="Arial" w:hAnsi="Arial" w:cs="Arial"/>
        </w:rPr>
        <w:t>to 1</w:t>
      </w:r>
      <w:r w:rsidR="008500DD" w:rsidRPr="008D71E1">
        <w:rPr>
          <w:rFonts w:ascii="Arial" w:hAnsi="Arial" w:cs="Arial"/>
        </w:rPr>
        <w:t>5</w:t>
      </w:r>
      <w:r w:rsidR="009065C7" w:rsidRPr="008D71E1">
        <w:rPr>
          <w:rFonts w:ascii="Arial" w:hAnsi="Arial" w:cs="Arial"/>
        </w:rPr>
        <w:t>% of GDP with current public expenditure on social protection</w:t>
      </w:r>
      <w:r w:rsidR="008500DD" w:rsidRPr="008D71E1">
        <w:rPr>
          <w:rFonts w:ascii="Arial" w:hAnsi="Arial" w:cs="Arial"/>
        </w:rPr>
        <w:t xml:space="preserve"> being 13.7% of GDP</w:t>
      </w:r>
      <w:r w:rsidRPr="008D71E1">
        <w:rPr>
          <w:rFonts w:ascii="Arial" w:hAnsi="Arial" w:cs="Arial"/>
        </w:rPr>
        <w:t xml:space="preserve"> with the difference being earned back through the economic benefits a UBI brings about through social change.</w:t>
      </w:r>
    </w:p>
    <w:p w14:paraId="449A2A8D" w14:textId="77777777" w:rsidR="008D71E1" w:rsidRPr="008D71E1" w:rsidRDefault="008500DD" w:rsidP="008D71E1">
      <w:pPr>
        <w:pStyle w:val="ListParagraph"/>
        <w:numPr>
          <w:ilvl w:val="0"/>
          <w:numId w:val="3"/>
        </w:numPr>
        <w:spacing w:line="480" w:lineRule="auto"/>
        <w:rPr>
          <w:rFonts w:ascii="Arial" w:hAnsi="Arial" w:cs="Arial"/>
        </w:rPr>
      </w:pPr>
      <w:r>
        <w:rPr>
          <w:rFonts w:ascii="Arial" w:hAnsi="Arial" w:cs="Arial"/>
        </w:rPr>
        <w:t>The policy</w:t>
      </w:r>
      <w:r w:rsidR="00F15722">
        <w:rPr>
          <w:rFonts w:ascii="Arial" w:hAnsi="Arial" w:cs="Arial"/>
        </w:rPr>
        <w:t xml:space="preserve"> should not be run at full coverage from day one, but instead be eased in through a Cost-of-Living Commission. </w:t>
      </w:r>
      <w:r w:rsidR="008B4F14">
        <w:rPr>
          <w:rFonts w:ascii="Arial" w:hAnsi="Arial" w:cs="Arial"/>
        </w:rPr>
        <w:t xml:space="preserve">This commission </w:t>
      </w:r>
      <w:r w:rsidR="00F15722">
        <w:rPr>
          <w:rFonts w:ascii="Arial" w:hAnsi="Arial" w:cs="Arial"/>
        </w:rPr>
        <w:t>must analyse the previous financial year and determine a suitable increase in the UBI to ultimately cover all basic costs of living</w:t>
      </w:r>
      <w:r w:rsidR="00506F52">
        <w:rPr>
          <w:rFonts w:ascii="Arial" w:hAnsi="Arial" w:cs="Arial"/>
        </w:rPr>
        <w:t xml:space="preserve">, </w:t>
      </w:r>
      <w:r w:rsidR="00950919" w:rsidRPr="008D71E1">
        <w:rPr>
          <w:rFonts w:ascii="Arial" w:hAnsi="Arial" w:cs="Arial"/>
        </w:rPr>
        <w:t>analysed to be</w:t>
      </w:r>
      <w:r w:rsidR="00506F52" w:rsidRPr="008D71E1">
        <w:rPr>
          <w:rFonts w:ascii="Arial" w:hAnsi="Arial" w:cs="Arial"/>
        </w:rPr>
        <w:t xml:space="preserve"> </w:t>
      </w:r>
      <w:r w:rsidR="00506F52">
        <w:rPr>
          <w:rFonts w:ascii="Arial" w:hAnsi="Arial" w:cs="Arial"/>
        </w:rPr>
        <w:t>roughly 22% of median wage</w:t>
      </w:r>
      <w:r w:rsidR="00702A44">
        <w:rPr>
          <w:rFonts w:ascii="Arial" w:hAnsi="Arial" w:cs="Arial"/>
        </w:rPr>
        <w:t xml:space="preserve">. </w:t>
      </w:r>
    </w:p>
    <w:p w14:paraId="074BF7F8" w14:textId="2F5E02B2" w:rsidR="00AB07EE" w:rsidRPr="00677D41" w:rsidRDefault="00702A44" w:rsidP="008D71E1">
      <w:pPr>
        <w:pStyle w:val="ListParagraph"/>
        <w:numPr>
          <w:ilvl w:val="0"/>
          <w:numId w:val="3"/>
        </w:numPr>
        <w:spacing w:line="480" w:lineRule="auto"/>
        <w:rPr>
          <w:rFonts w:ascii="Arial" w:hAnsi="Arial" w:cs="Arial"/>
        </w:rPr>
      </w:pPr>
      <w:r>
        <w:rPr>
          <w:rFonts w:ascii="Arial" w:hAnsi="Arial" w:cs="Arial"/>
        </w:rPr>
        <w:t xml:space="preserve">Data should be analysed on the financial contributions of </w:t>
      </w:r>
      <w:r w:rsidR="009B07EA">
        <w:rPr>
          <w:rFonts w:ascii="Arial" w:hAnsi="Arial" w:cs="Arial"/>
        </w:rPr>
        <w:t>the UBI to other social security programs to replace these and</w:t>
      </w:r>
      <w:r w:rsidR="00410B17">
        <w:rPr>
          <w:rFonts w:ascii="Arial" w:hAnsi="Arial" w:cs="Arial"/>
        </w:rPr>
        <w:t xml:space="preserve"> </w:t>
      </w:r>
      <w:r w:rsidR="009B07EA">
        <w:rPr>
          <w:rFonts w:ascii="Arial" w:hAnsi="Arial" w:cs="Arial"/>
        </w:rPr>
        <w:t xml:space="preserve">reach a balanced budget with UBI at full coverage. </w:t>
      </w:r>
    </w:p>
    <w:p w14:paraId="4DDC3A1E" w14:textId="77777777" w:rsidR="008D71E1" w:rsidRDefault="008D71E1" w:rsidP="00731FF9">
      <w:pPr>
        <w:spacing w:before="240" w:line="480" w:lineRule="auto"/>
        <w:rPr>
          <w:rFonts w:ascii="Arial" w:hAnsi="Arial" w:cs="Arial"/>
        </w:rPr>
      </w:pPr>
      <w:bookmarkStart w:id="1" w:name="_Hlk163742516"/>
    </w:p>
    <w:p w14:paraId="5A5022CF" w14:textId="77777777" w:rsidR="008D71E1" w:rsidRDefault="008D71E1" w:rsidP="00731FF9">
      <w:pPr>
        <w:spacing w:before="240" w:line="480" w:lineRule="auto"/>
        <w:rPr>
          <w:rFonts w:ascii="Arial" w:hAnsi="Arial" w:cs="Arial"/>
        </w:rPr>
      </w:pPr>
    </w:p>
    <w:p w14:paraId="6EAC9453" w14:textId="77777777" w:rsidR="008D71E1" w:rsidRDefault="008D71E1" w:rsidP="00731FF9">
      <w:pPr>
        <w:spacing w:before="240" w:line="480" w:lineRule="auto"/>
        <w:rPr>
          <w:rFonts w:ascii="Arial" w:hAnsi="Arial" w:cs="Arial"/>
        </w:rPr>
      </w:pPr>
    </w:p>
    <w:p w14:paraId="6EA47682" w14:textId="48269582" w:rsidR="008D71E1" w:rsidRPr="008D71E1" w:rsidRDefault="008D71E1" w:rsidP="00731FF9">
      <w:pPr>
        <w:spacing w:before="240" w:line="480" w:lineRule="auto"/>
        <w:rPr>
          <w:rFonts w:ascii="Arial" w:hAnsi="Arial" w:cs="Arial"/>
          <w:b/>
          <w:bCs/>
        </w:rPr>
      </w:pPr>
      <w:r w:rsidRPr="008D71E1">
        <w:rPr>
          <w:rFonts w:ascii="Arial" w:hAnsi="Arial" w:cs="Arial"/>
          <w:b/>
          <w:bCs/>
        </w:rPr>
        <w:t>The Need for a Universal Basic Income</w:t>
      </w:r>
    </w:p>
    <w:p w14:paraId="15D57122" w14:textId="2C9210CE" w:rsidR="00731FF9" w:rsidRPr="00866D9D" w:rsidRDefault="00123910" w:rsidP="00731FF9">
      <w:pPr>
        <w:spacing w:before="240" w:line="480" w:lineRule="auto"/>
        <w:rPr>
          <w:rFonts w:ascii="Arial" w:hAnsi="Arial" w:cs="Arial"/>
        </w:rPr>
      </w:pPr>
      <w:r w:rsidRPr="00866D9D">
        <w:rPr>
          <w:rFonts w:ascii="Arial" w:hAnsi="Arial" w:cs="Arial"/>
        </w:rPr>
        <w:t>The cost of living has increased rapidly in recent years as shown in Graph 1 – Cost of Living Crisis</w:t>
      </w:r>
      <w:r w:rsidR="00117C6D" w:rsidRPr="008D71E1">
        <w:rPr>
          <w:rFonts w:ascii="Arial" w:hAnsi="Arial" w:cs="Arial"/>
        </w:rPr>
        <w:t xml:space="preserve"> (see appendix)</w:t>
      </w:r>
      <w:r w:rsidRPr="008D71E1">
        <w:rPr>
          <w:rFonts w:ascii="Arial" w:hAnsi="Arial" w:cs="Arial"/>
        </w:rPr>
        <w:t>.</w:t>
      </w:r>
      <w:r w:rsidRPr="00866D9D">
        <w:rPr>
          <w:rFonts w:ascii="Arial" w:hAnsi="Arial" w:cs="Arial"/>
        </w:rPr>
        <w:t xml:space="preserve"> Market mechanisms have failed at keeping up with the increased cost of living as noted by real wages. </w:t>
      </w:r>
      <w:r w:rsidR="00731FF9" w:rsidRPr="00866D9D">
        <w:rPr>
          <w:rFonts w:ascii="Arial" w:hAnsi="Arial" w:cs="Arial"/>
        </w:rPr>
        <w:t xml:space="preserve">Currently the government grants social security based on one’s inability to participate in the labour market, but do not give </w:t>
      </w:r>
      <w:r w:rsidR="00565A58" w:rsidRPr="008D71E1">
        <w:rPr>
          <w:rFonts w:ascii="Arial" w:hAnsi="Arial" w:cs="Arial"/>
        </w:rPr>
        <w:t xml:space="preserve">substantial </w:t>
      </w:r>
      <w:r w:rsidR="00731FF9" w:rsidRPr="00866D9D">
        <w:rPr>
          <w:rFonts w:ascii="Arial" w:hAnsi="Arial" w:cs="Arial"/>
        </w:rPr>
        <w:t xml:space="preserve">compensation based on </w:t>
      </w:r>
      <w:r w:rsidR="00E20635" w:rsidRPr="008D71E1">
        <w:rPr>
          <w:rFonts w:ascii="Arial" w:hAnsi="Arial" w:cs="Arial"/>
        </w:rPr>
        <w:t>the recent</w:t>
      </w:r>
      <w:r w:rsidR="00731FF9" w:rsidRPr="008D71E1">
        <w:rPr>
          <w:rFonts w:ascii="Arial" w:hAnsi="Arial" w:cs="Arial"/>
        </w:rPr>
        <w:t xml:space="preserve"> </w:t>
      </w:r>
      <w:r w:rsidR="00731FF9" w:rsidRPr="00866D9D">
        <w:rPr>
          <w:rFonts w:ascii="Arial" w:hAnsi="Arial" w:cs="Arial"/>
        </w:rPr>
        <w:t>increased living costs. Furthermore, the current social security system is somewhat dysfunctional from people falling through the cracks of not being “deservingly” poor/injured to receive grants</w:t>
      </w:r>
      <w:r w:rsidR="00565A58" w:rsidRPr="008D71E1">
        <w:rPr>
          <w:rFonts w:ascii="Arial" w:hAnsi="Arial" w:cs="Arial"/>
        </w:rPr>
        <w:t xml:space="preserve"> </w:t>
      </w:r>
      <w:sdt>
        <w:sdtPr>
          <w:rPr>
            <w:rFonts w:ascii="Arial" w:hAnsi="Arial" w:cs="Arial"/>
          </w:rPr>
          <w:id w:val="875826925"/>
          <w:citation/>
        </w:sdtPr>
        <w:sdtEndPr/>
        <w:sdtContent>
          <w:r w:rsidR="00565A58" w:rsidRPr="008D71E1">
            <w:rPr>
              <w:rFonts w:ascii="Arial" w:hAnsi="Arial" w:cs="Arial"/>
            </w:rPr>
            <w:fldChar w:fldCharType="begin"/>
          </w:r>
          <w:r w:rsidR="00565A58" w:rsidRPr="008D71E1">
            <w:rPr>
              <w:rFonts w:ascii="Arial" w:hAnsi="Arial" w:cs="Arial"/>
            </w:rPr>
            <w:instrText xml:space="preserve"> CITATION Phi17 \l 2057 </w:instrText>
          </w:r>
          <w:r w:rsidR="00565A58" w:rsidRPr="008D71E1">
            <w:rPr>
              <w:rFonts w:ascii="Arial" w:hAnsi="Arial" w:cs="Arial"/>
            </w:rPr>
            <w:fldChar w:fldCharType="separate"/>
          </w:r>
          <w:r w:rsidR="00720E42">
            <w:rPr>
              <w:rFonts w:ascii="Arial" w:hAnsi="Arial" w:cs="Arial"/>
              <w:noProof/>
            </w:rPr>
            <w:t>(Phillips, 2017)</w:t>
          </w:r>
          <w:r w:rsidR="00565A58" w:rsidRPr="008D71E1">
            <w:rPr>
              <w:rFonts w:ascii="Arial" w:hAnsi="Arial" w:cs="Arial"/>
            </w:rPr>
            <w:fldChar w:fldCharType="end"/>
          </w:r>
        </w:sdtContent>
      </w:sdt>
      <w:r w:rsidR="00731FF9" w:rsidRPr="008D71E1">
        <w:rPr>
          <w:rFonts w:ascii="Arial" w:hAnsi="Arial" w:cs="Arial"/>
        </w:rPr>
        <w:t>.</w:t>
      </w:r>
      <w:r w:rsidR="00731FF9" w:rsidRPr="00866D9D">
        <w:rPr>
          <w:rFonts w:ascii="Arial" w:hAnsi="Arial" w:cs="Arial"/>
        </w:rPr>
        <w:t xml:space="preserve"> Not surprisingly, 88% of Britons reported that the cost-of-living crisis is the most pressing issue facing the UK in 2024</w:t>
      </w:r>
      <w:r w:rsidR="00565A58" w:rsidRPr="008D71E1">
        <w:rPr>
          <w:rFonts w:ascii="Arial" w:hAnsi="Arial" w:cs="Arial"/>
        </w:rPr>
        <w:t xml:space="preserve"> </w:t>
      </w:r>
      <w:sdt>
        <w:sdtPr>
          <w:rPr>
            <w:rFonts w:ascii="Arial" w:hAnsi="Arial" w:cs="Arial"/>
          </w:rPr>
          <w:id w:val="-1228540592"/>
          <w:citation/>
        </w:sdtPr>
        <w:sdtEndPr/>
        <w:sdtContent>
          <w:r w:rsidR="00565A58" w:rsidRPr="008D71E1">
            <w:rPr>
              <w:rFonts w:ascii="Arial" w:hAnsi="Arial" w:cs="Arial"/>
            </w:rPr>
            <w:fldChar w:fldCharType="begin"/>
          </w:r>
          <w:r w:rsidR="00565A58" w:rsidRPr="008D71E1">
            <w:rPr>
              <w:rFonts w:ascii="Arial" w:hAnsi="Arial" w:cs="Arial"/>
            </w:rPr>
            <w:instrText xml:space="preserve"> CITATION Off246 \l 2057 </w:instrText>
          </w:r>
          <w:r w:rsidR="00565A58" w:rsidRPr="008D71E1">
            <w:rPr>
              <w:rFonts w:ascii="Arial" w:hAnsi="Arial" w:cs="Arial"/>
            </w:rPr>
            <w:fldChar w:fldCharType="separate"/>
          </w:r>
          <w:r w:rsidR="00720E42">
            <w:rPr>
              <w:rFonts w:ascii="Arial" w:hAnsi="Arial" w:cs="Arial"/>
              <w:noProof/>
            </w:rPr>
            <w:t>(Office for National Statistics, 2024)</w:t>
          </w:r>
          <w:r w:rsidR="00565A58" w:rsidRPr="008D71E1">
            <w:rPr>
              <w:rFonts w:ascii="Arial" w:hAnsi="Arial" w:cs="Arial"/>
            </w:rPr>
            <w:fldChar w:fldCharType="end"/>
          </w:r>
        </w:sdtContent>
      </w:sdt>
      <w:r w:rsidR="00731FF9" w:rsidRPr="008D71E1">
        <w:rPr>
          <w:rFonts w:ascii="Arial" w:hAnsi="Arial" w:cs="Arial"/>
        </w:rPr>
        <w:t>.</w:t>
      </w:r>
      <w:r w:rsidR="00731FF9" w:rsidRPr="00866D9D">
        <w:rPr>
          <w:rFonts w:ascii="Arial" w:hAnsi="Arial" w:cs="Arial"/>
        </w:rPr>
        <w:t xml:space="preserve"> With costs increasing and little support aimed at easing these costs, support for a Universal Basic Income has grown. A UBI has not been considered again since the policy was brought up in parliament as a response to the Covid-19 pandemic. As of 2023, 48% of Brits are in favour of a UBI while 28% oppose it </w:t>
      </w:r>
      <w:r w:rsidR="00117C6D" w:rsidRPr="008D71E1">
        <w:rPr>
          <w:rFonts w:ascii="Arial" w:hAnsi="Arial" w:cs="Arial"/>
        </w:rPr>
        <w:t xml:space="preserve">with </w:t>
      </w:r>
      <w:r w:rsidR="00731FF9" w:rsidRPr="00866D9D">
        <w:rPr>
          <w:rFonts w:ascii="Arial" w:hAnsi="Arial" w:cs="Arial"/>
        </w:rPr>
        <w:t xml:space="preserve">24% of respondents </w:t>
      </w:r>
      <w:r w:rsidR="00731FF9" w:rsidRPr="008D71E1">
        <w:rPr>
          <w:rFonts w:ascii="Arial" w:hAnsi="Arial" w:cs="Arial"/>
        </w:rPr>
        <w:t>answer</w:t>
      </w:r>
      <w:r w:rsidR="00117C6D" w:rsidRPr="008D71E1">
        <w:rPr>
          <w:rFonts w:ascii="Arial" w:hAnsi="Arial" w:cs="Arial"/>
        </w:rPr>
        <w:t>ing</w:t>
      </w:r>
      <w:r w:rsidR="00731FF9" w:rsidRPr="00866D9D">
        <w:rPr>
          <w:rFonts w:ascii="Arial" w:hAnsi="Arial" w:cs="Arial"/>
        </w:rPr>
        <w:t xml:space="preserve"> “don’t know</w:t>
      </w:r>
      <w:r w:rsidR="00731FF9" w:rsidRPr="008D71E1">
        <w:rPr>
          <w:rFonts w:ascii="Arial" w:hAnsi="Arial" w:cs="Arial"/>
        </w:rPr>
        <w:t>”</w:t>
      </w:r>
      <w:r w:rsidR="00117C6D" w:rsidRPr="008D71E1">
        <w:rPr>
          <w:rFonts w:ascii="Arial" w:hAnsi="Arial" w:cs="Arial"/>
        </w:rPr>
        <w:t xml:space="preserve"> </w:t>
      </w:r>
      <w:sdt>
        <w:sdtPr>
          <w:rPr>
            <w:rFonts w:ascii="Arial" w:hAnsi="Arial" w:cs="Arial"/>
          </w:rPr>
          <w:id w:val="-1930731526"/>
          <w:citation/>
        </w:sdtPr>
        <w:sdtEndPr/>
        <w:sdtContent>
          <w:r w:rsidR="00565A58" w:rsidRPr="008D71E1">
            <w:rPr>
              <w:rFonts w:ascii="Arial" w:hAnsi="Arial" w:cs="Arial"/>
            </w:rPr>
            <w:fldChar w:fldCharType="begin"/>
          </w:r>
          <w:r w:rsidR="00565A58" w:rsidRPr="008D71E1">
            <w:rPr>
              <w:rFonts w:ascii="Arial" w:hAnsi="Arial" w:cs="Arial"/>
            </w:rPr>
            <w:instrText xml:space="preserve"> CITATION You22 \l 2057 </w:instrText>
          </w:r>
          <w:r w:rsidR="00565A58" w:rsidRPr="008D71E1">
            <w:rPr>
              <w:rFonts w:ascii="Arial" w:hAnsi="Arial" w:cs="Arial"/>
            </w:rPr>
            <w:fldChar w:fldCharType="separate"/>
          </w:r>
          <w:r w:rsidR="00720E42">
            <w:rPr>
              <w:rFonts w:ascii="Arial" w:hAnsi="Arial" w:cs="Arial"/>
              <w:noProof/>
            </w:rPr>
            <w:t>(YouGov, 2022)</w:t>
          </w:r>
          <w:r w:rsidR="00565A58" w:rsidRPr="008D71E1">
            <w:rPr>
              <w:rFonts w:ascii="Arial" w:hAnsi="Arial" w:cs="Arial"/>
            </w:rPr>
            <w:fldChar w:fldCharType="end"/>
          </w:r>
        </w:sdtContent>
      </w:sdt>
      <w:r w:rsidR="00731FF9" w:rsidRPr="008D71E1">
        <w:rPr>
          <w:rFonts w:ascii="Arial" w:hAnsi="Arial" w:cs="Arial"/>
        </w:rPr>
        <w:t>.</w:t>
      </w:r>
    </w:p>
    <w:p w14:paraId="437932B7" w14:textId="73F7C408" w:rsidR="00352582" w:rsidRPr="00866D9D" w:rsidRDefault="00182247" w:rsidP="00731FF9">
      <w:pPr>
        <w:spacing w:line="480" w:lineRule="auto"/>
        <w:rPr>
          <w:rFonts w:ascii="Arial" w:hAnsi="Arial" w:cs="Arial"/>
        </w:rPr>
      </w:pPr>
      <w:r w:rsidRPr="008D71E1">
        <w:rPr>
          <w:rFonts w:ascii="Arial" w:hAnsi="Arial" w:cs="Arial"/>
        </w:rPr>
        <w:t xml:space="preserve">Universal Basic Income trials have been conducted in other countries with the goal of reducing poverty. </w:t>
      </w:r>
      <w:r w:rsidR="00117C6D" w:rsidRPr="008D71E1">
        <w:rPr>
          <w:rFonts w:ascii="Arial" w:hAnsi="Arial" w:cs="Arial"/>
        </w:rPr>
        <w:t>T</w:t>
      </w:r>
      <w:r w:rsidR="00731FF9" w:rsidRPr="008D71E1">
        <w:rPr>
          <w:rFonts w:ascii="Arial" w:hAnsi="Arial" w:cs="Arial"/>
        </w:rPr>
        <w:t>hese studies still apply</w:t>
      </w:r>
      <w:r w:rsidR="00117C6D" w:rsidRPr="008D71E1">
        <w:rPr>
          <w:rFonts w:ascii="Arial" w:hAnsi="Arial" w:cs="Arial"/>
        </w:rPr>
        <w:t xml:space="preserve"> to the UK as 21% of the population lives in relative poverty prior to the spike in cost of living seen in Graph 1. </w:t>
      </w:r>
      <w:r w:rsidRPr="008D71E1">
        <w:rPr>
          <w:rFonts w:ascii="Arial" w:hAnsi="Arial" w:cs="Arial"/>
        </w:rPr>
        <w:t xml:space="preserve">Overall, </w:t>
      </w:r>
      <w:r w:rsidR="00731FF9" w:rsidRPr="008D71E1">
        <w:rPr>
          <w:rFonts w:ascii="Arial" w:hAnsi="Arial" w:cs="Arial"/>
        </w:rPr>
        <w:t xml:space="preserve">the </w:t>
      </w:r>
      <w:r w:rsidRPr="008D71E1">
        <w:rPr>
          <w:rFonts w:ascii="Arial" w:hAnsi="Arial" w:cs="Arial"/>
        </w:rPr>
        <w:t xml:space="preserve">trials saw </w:t>
      </w:r>
      <w:r w:rsidR="00117C6D" w:rsidRPr="008D71E1">
        <w:rPr>
          <w:rFonts w:ascii="Arial" w:hAnsi="Arial" w:cs="Arial"/>
        </w:rPr>
        <w:t xml:space="preserve">stronger economic security </w:t>
      </w:r>
      <w:sdt>
        <w:sdtPr>
          <w:rPr>
            <w:rFonts w:ascii="Arial" w:hAnsi="Arial" w:cs="Arial"/>
          </w:rPr>
          <w:id w:val="233833383"/>
          <w:citation/>
        </w:sdtPr>
        <w:sdtEndPr/>
        <w:sdtContent>
          <w:r w:rsidR="00117C6D" w:rsidRPr="008D71E1">
            <w:rPr>
              <w:rFonts w:ascii="Arial" w:hAnsi="Arial" w:cs="Arial"/>
            </w:rPr>
            <w:fldChar w:fldCharType="begin"/>
          </w:r>
          <w:r w:rsidR="00117C6D" w:rsidRPr="008D71E1">
            <w:rPr>
              <w:rFonts w:ascii="Arial" w:hAnsi="Arial" w:cs="Arial"/>
            </w:rPr>
            <w:instrText xml:space="preserve"> CITATION Kan19 \l 2057 </w:instrText>
          </w:r>
          <w:r w:rsidR="00117C6D" w:rsidRPr="008D71E1">
            <w:rPr>
              <w:rFonts w:ascii="Arial" w:hAnsi="Arial" w:cs="Arial"/>
            </w:rPr>
            <w:fldChar w:fldCharType="separate"/>
          </w:r>
          <w:r w:rsidR="00720E42">
            <w:rPr>
              <w:rFonts w:ascii="Arial" w:hAnsi="Arial" w:cs="Arial"/>
              <w:noProof/>
            </w:rPr>
            <w:t>(Kangas, Jauhiainen, Simanainen, &amp; Ylikännö, 2019)</w:t>
          </w:r>
          <w:r w:rsidR="00117C6D" w:rsidRPr="008D71E1">
            <w:rPr>
              <w:rFonts w:ascii="Arial" w:hAnsi="Arial" w:cs="Arial"/>
            </w:rPr>
            <w:fldChar w:fldCharType="end"/>
          </w:r>
        </w:sdtContent>
      </w:sdt>
      <w:r w:rsidR="00117C6D" w:rsidRPr="008D71E1">
        <w:rPr>
          <w:rFonts w:ascii="Arial" w:hAnsi="Arial" w:cs="Arial"/>
        </w:rPr>
        <w:t xml:space="preserve">, reduced poverty </w:t>
      </w:r>
      <w:sdt>
        <w:sdtPr>
          <w:rPr>
            <w:rFonts w:ascii="Arial" w:hAnsi="Arial" w:cs="Arial"/>
          </w:rPr>
          <w:id w:val="337131334"/>
          <w:citation/>
        </w:sdtPr>
        <w:sdtEndPr/>
        <w:sdtContent>
          <w:r w:rsidR="00117C6D" w:rsidRPr="008D71E1">
            <w:rPr>
              <w:rFonts w:ascii="Arial" w:hAnsi="Arial" w:cs="Arial"/>
            </w:rPr>
            <w:fldChar w:fldCharType="begin"/>
          </w:r>
          <w:r w:rsidR="00117C6D" w:rsidRPr="008D71E1">
            <w:rPr>
              <w:rFonts w:ascii="Arial" w:hAnsi="Arial" w:cs="Arial"/>
            </w:rPr>
            <w:instrText xml:space="preserve"> CITATION Lac17 \l 2057 </w:instrText>
          </w:r>
          <w:r w:rsidR="00117C6D" w:rsidRPr="008D71E1">
            <w:rPr>
              <w:rFonts w:ascii="Arial" w:hAnsi="Arial" w:cs="Arial"/>
            </w:rPr>
            <w:fldChar w:fldCharType="separate"/>
          </w:r>
          <w:r w:rsidR="00720E42">
            <w:rPr>
              <w:rFonts w:ascii="Arial" w:hAnsi="Arial" w:cs="Arial"/>
              <w:noProof/>
            </w:rPr>
            <w:t>(Lacey, 2017)</w:t>
          </w:r>
          <w:r w:rsidR="00117C6D" w:rsidRPr="008D71E1">
            <w:rPr>
              <w:rFonts w:ascii="Arial" w:hAnsi="Arial" w:cs="Arial"/>
            </w:rPr>
            <w:fldChar w:fldCharType="end"/>
          </w:r>
        </w:sdtContent>
      </w:sdt>
      <w:r w:rsidR="00117C6D" w:rsidRPr="008D71E1">
        <w:rPr>
          <w:rFonts w:ascii="Arial" w:hAnsi="Arial" w:cs="Arial"/>
        </w:rPr>
        <w:t xml:space="preserve">, and </w:t>
      </w:r>
      <w:r w:rsidRPr="008D71E1">
        <w:rPr>
          <w:rFonts w:ascii="Arial" w:hAnsi="Arial" w:cs="Arial"/>
        </w:rPr>
        <w:t xml:space="preserve">reduced crime rate </w:t>
      </w:r>
      <w:r w:rsidR="00117C6D" w:rsidRPr="008D71E1">
        <w:rPr>
          <w:rFonts w:ascii="Arial" w:hAnsi="Arial" w:cs="Arial"/>
        </w:rPr>
        <w:t xml:space="preserve">and </w:t>
      </w:r>
      <w:r w:rsidRPr="008D71E1">
        <w:rPr>
          <w:rFonts w:ascii="Arial" w:hAnsi="Arial" w:cs="Arial"/>
        </w:rPr>
        <w:t>improved academic performance</w:t>
      </w:r>
      <w:r w:rsidR="00117C6D" w:rsidRPr="008D71E1">
        <w:rPr>
          <w:rFonts w:ascii="Arial" w:hAnsi="Arial" w:cs="Arial"/>
        </w:rPr>
        <w:t xml:space="preserve"> </w:t>
      </w:r>
      <w:sdt>
        <w:sdtPr>
          <w:rPr>
            <w:rFonts w:ascii="Arial" w:hAnsi="Arial" w:cs="Arial"/>
          </w:rPr>
          <w:id w:val="296186332"/>
          <w:citation/>
        </w:sdtPr>
        <w:sdtEndPr/>
        <w:sdtContent>
          <w:r w:rsidR="00117C6D" w:rsidRPr="008D71E1">
            <w:rPr>
              <w:rFonts w:ascii="Arial" w:hAnsi="Arial" w:cs="Arial"/>
            </w:rPr>
            <w:fldChar w:fldCharType="begin"/>
          </w:r>
          <w:r w:rsidR="00117C6D" w:rsidRPr="008D71E1">
            <w:rPr>
              <w:rFonts w:ascii="Arial" w:hAnsi="Arial" w:cs="Arial"/>
            </w:rPr>
            <w:instrText xml:space="preserve"> CITATION Soa10 \l 2057 </w:instrText>
          </w:r>
          <w:r w:rsidR="00117C6D" w:rsidRPr="008D71E1">
            <w:rPr>
              <w:rFonts w:ascii="Arial" w:hAnsi="Arial" w:cs="Arial"/>
            </w:rPr>
            <w:fldChar w:fldCharType="separate"/>
          </w:r>
          <w:r w:rsidR="00720E42">
            <w:rPr>
              <w:rFonts w:ascii="Arial" w:hAnsi="Arial" w:cs="Arial"/>
              <w:noProof/>
            </w:rPr>
            <w:t>(Soares, Ribas , &amp; Osório, 2010)</w:t>
          </w:r>
          <w:r w:rsidR="00117C6D" w:rsidRPr="008D71E1">
            <w:rPr>
              <w:rFonts w:ascii="Arial" w:hAnsi="Arial" w:cs="Arial"/>
            </w:rPr>
            <w:fldChar w:fldCharType="end"/>
          </w:r>
        </w:sdtContent>
      </w:sdt>
      <w:r w:rsidRPr="008D71E1">
        <w:rPr>
          <w:rFonts w:ascii="Arial" w:hAnsi="Arial" w:cs="Arial"/>
        </w:rPr>
        <w:t xml:space="preserve"> .</w:t>
      </w:r>
      <w:r w:rsidR="00731FF9" w:rsidRPr="008D71E1">
        <w:rPr>
          <w:rFonts w:ascii="Arial" w:hAnsi="Arial" w:cs="Arial"/>
        </w:rPr>
        <w:t xml:space="preserve"> </w:t>
      </w:r>
      <w:r w:rsidR="00117C6D" w:rsidRPr="008D71E1">
        <w:rPr>
          <w:rFonts w:ascii="Arial" w:hAnsi="Arial" w:cs="Arial"/>
        </w:rPr>
        <w:t xml:space="preserve">There is little evidence that a UBI causes unemployment. Contrary, the trial conducted in Finland showed the economic security provided by a UBI allowed for entrepreneurship </w:t>
      </w:r>
      <w:sdt>
        <w:sdtPr>
          <w:rPr>
            <w:rFonts w:ascii="Arial" w:hAnsi="Arial" w:cs="Arial"/>
          </w:rPr>
          <w:id w:val="-1430037646"/>
          <w:citation/>
        </w:sdtPr>
        <w:sdtEndPr/>
        <w:sdtContent>
          <w:r w:rsidR="00117C6D" w:rsidRPr="008D71E1">
            <w:rPr>
              <w:rFonts w:ascii="Arial" w:hAnsi="Arial" w:cs="Arial"/>
            </w:rPr>
            <w:fldChar w:fldCharType="begin"/>
          </w:r>
          <w:r w:rsidR="00117C6D" w:rsidRPr="008D71E1">
            <w:rPr>
              <w:rFonts w:ascii="Arial" w:hAnsi="Arial" w:cs="Arial"/>
            </w:rPr>
            <w:instrText xml:space="preserve"> CITATION Kan19 \l 2057 </w:instrText>
          </w:r>
          <w:r w:rsidR="00117C6D" w:rsidRPr="008D71E1">
            <w:rPr>
              <w:rFonts w:ascii="Arial" w:hAnsi="Arial" w:cs="Arial"/>
            </w:rPr>
            <w:fldChar w:fldCharType="separate"/>
          </w:r>
          <w:r w:rsidR="00720E42">
            <w:rPr>
              <w:rFonts w:ascii="Arial" w:hAnsi="Arial" w:cs="Arial"/>
              <w:noProof/>
            </w:rPr>
            <w:t>(Kangas, Jauhiainen, Simanainen, &amp; Ylikännö, 2019)</w:t>
          </w:r>
          <w:r w:rsidR="00117C6D" w:rsidRPr="008D71E1">
            <w:rPr>
              <w:rFonts w:ascii="Arial" w:hAnsi="Arial" w:cs="Arial"/>
            </w:rPr>
            <w:fldChar w:fldCharType="end"/>
          </w:r>
        </w:sdtContent>
      </w:sdt>
      <w:r w:rsidR="00117C6D" w:rsidRPr="008D71E1">
        <w:rPr>
          <w:rFonts w:ascii="Arial" w:hAnsi="Arial" w:cs="Arial"/>
        </w:rPr>
        <w:t xml:space="preserve">. </w:t>
      </w:r>
    </w:p>
    <w:p w14:paraId="6F5AC3B4" w14:textId="77777777" w:rsidR="008D71E1" w:rsidRPr="008D71E1" w:rsidRDefault="008D71E1" w:rsidP="00731FF9">
      <w:pPr>
        <w:spacing w:line="480" w:lineRule="auto"/>
        <w:rPr>
          <w:rFonts w:ascii="Arial" w:hAnsi="Arial" w:cs="Arial"/>
        </w:rPr>
      </w:pPr>
    </w:p>
    <w:p w14:paraId="2B6F59E5" w14:textId="381E9E33" w:rsidR="00152B4F" w:rsidRPr="008D71E1" w:rsidRDefault="008D71E1" w:rsidP="008B225F">
      <w:pPr>
        <w:spacing w:line="480" w:lineRule="auto"/>
        <w:rPr>
          <w:rFonts w:ascii="Arial" w:hAnsi="Arial" w:cs="Arial"/>
          <w:b/>
        </w:rPr>
      </w:pPr>
      <w:r w:rsidRPr="008D71E1">
        <w:rPr>
          <w:rFonts w:ascii="Arial" w:hAnsi="Arial" w:cs="Arial"/>
          <w:b/>
          <w:bCs/>
        </w:rPr>
        <w:t>Proposed level of UBI</w:t>
      </w:r>
    </w:p>
    <w:p w14:paraId="7C1D1216" w14:textId="529200C9" w:rsidR="008B225F" w:rsidRPr="00A650C9" w:rsidRDefault="008B225F" w:rsidP="008B225F">
      <w:pPr>
        <w:spacing w:line="480" w:lineRule="auto"/>
        <w:rPr>
          <w:rFonts w:ascii="Arial" w:hAnsi="Arial" w:cs="Arial"/>
        </w:rPr>
        <w:sectPr w:rsidR="008B225F" w:rsidRPr="00A650C9" w:rsidSect="00561C5A">
          <w:type w:val="continuous"/>
          <w:pgSz w:w="11906" w:h="16838"/>
          <w:pgMar w:top="1134" w:right="1134" w:bottom="1134" w:left="1134" w:header="708" w:footer="708" w:gutter="0"/>
          <w:cols w:space="708"/>
          <w:docGrid w:linePitch="360"/>
        </w:sectPr>
      </w:pPr>
    </w:p>
    <w:bookmarkEnd w:id="1"/>
    <w:p w14:paraId="0B5E6C27" w14:textId="77777777" w:rsidR="00E20635" w:rsidRPr="008D71E1" w:rsidRDefault="004318DE" w:rsidP="00E20635">
      <w:pPr>
        <w:spacing w:before="240" w:line="480" w:lineRule="auto"/>
        <w:rPr>
          <w:rFonts w:ascii="Arial" w:hAnsi="Arial" w:cs="Arial"/>
        </w:rPr>
      </w:pPr>
      <w:r w:rsidRPr="008D71E1">
        <w:rPr>
          <w:rFonts w:ascii="Arial" w:hAnsi="Arial" w:cs="Arial"/>
        </w:rPr>
        <w:t xml:space="preserve">A UBI must by default </w:t>
      </w:r>
      <w:r w:rsidR="00152B4F" w:rsidRPr="008D71E1">
        <w:rPr>
          <w:rFonts w:ascii="Arial" w:hAnsi="Arial" w:cs="Arial"/>
        </w:rPr>
        <w:t>be</w:t>
      </w:r>
      <w:r w:rsidRPr="008D71E1">
        <w:rPr>
          <w:rFonts w:ascii="Arial" w:hAnsi="Arial" w:cs="Arial"/>
        </w:rPr>
        <w:t xml:space="preserve"> Universal – given to all, Basic; cover the cost of living, and Income; be a direct cash transfer.</w:t>
      </w:r>
      <w:r w:rsidR="00E20635" w:rsidRPr="008D71E1">
        <w:rPr>
          <w:rFonts w:ascii="Arial" w:hAnsi="Arial" w:cs="Arial"/>
        </w:rPr>
        <w:t xml:space="preserve"> </w:t>
      </w:r>
      <w:r w:rsidR="00152B4F" w:rsidRPr="008D71E1">
        <w:rPr>
          <w:rFonts w:ascii="Arial" w:hAnsi="Arial" w:cs="Arial"/>
        </w:rPr>
        <w:t xml:space="preserve">Giving every </w:t>
      </w:r>
      <w:r w:rsidR="00965134" w:rsidRPr="008D71E1">
        <w:rPr>
          <w:rFonts w:ascii="Arial" w:hAnsi="Arial" w:cs="Arial"/>
        </w:rPr>
        <w:t xml:space="preserve">adult (18+) </w:t>
      </w:r>
      <w:r w:rsidR="00152B4F" w:rsidRPr="008D71E1">
        <w:rPr>
          <w:rFonts w:ascii="Arial" w:hAnsi="Arial" w:cs="Arial"/>
        </w:rPr>
        <w:t xml:space="preserve">in the UK £150 per week would have a yearly cost of 343 billion </w:t>
      </w:r>
      <w:r w:rsidR="009F5B30" w:rsidRPr="008D71E1">
        <w:rPr>
          <w:rFonts w:ascii="Arial" w:hAnsi="Arial" w:cs="Arial"/>
        </w:rPr>
        <w:t xml:space="preserve">pounds </w:t>
      </w:r>
      <w:r w:rsidR="00152B4F" w:rsidRPr="008D71E1">
        <w:rPr>
          <w:rFonts w:ascii="Arial" w:hAnsi="Arial" w:cs="Arial"/>
        </w:rPr>
        <w:t xml:space="preserve">in 2022, which is 15% of UK GDP. The public sector expenditure </w:t>
      </w:r>
      <w:r w:rsidR="009F5B30" w:rsidRPr="008D71E1">
        <w:rPr>
          <w:rFonts w:ascii="Arial" w:hAnsi="Arial" w:cs="Arial"/>
        </w:rPr>
        <w:t xml:space="preserve">on </w:t>
      </w:r>
      <w:r w:rsidR="009F5B30" w:rsidRPr="008D71E1">
        <w:rPr>
          <w:rFonts w:ascii="Arial" w:hAnsi="Arial" w:cs="Arial"/>
          <w:u w:val="single"/>
        </w:rPr>
        <w:t>only</w:t>
      </w:r>
      <w:r w:rsidR="009F5B30" w:rsidRPr="008D71E1">
        <w:rPr>
          <w:rFonts w:ascii="Arial" w:hAnsi="Arial" w:cs="Arial"/>
        </w:rPr>
        <w:t xml:space="preserve"> social protection equals to </w:t>
      </w:r>
      <w:r w:rsidR="00152B4F" w:rsidRPr="008D71E1">
        <w:rPr>
          <w:rFonts w:ascii="Arial" w:hAnsi="Arial" w:cs="Arial"/>
        </w:rPr>
        <w:t xml:space="preserve">13.7% of GDP. The difference can however be expected to be earned back from reducing spending on those areas a UBI have proven to benefit, such as education, crime rates, and health. These numbers are arbitrary for now as there are no </w:t>
      </w:r>
      <w:r w:rsidR="009F5B30" w:rsidRPr="008D71E1">
        <w:rPr>
          <w:rFonts w:ascii="Arial" w:hAnsi="Arial" w:cs="Arial"/>
        </w:rPr>
        <w:t>values estimated</w:t>
      </w:r>
      <w:r w:rsidR="00152B4F" w:rsidRPr="008D71E1">
        <w:rPr>
          <w:rFonts w:ascii="Arial" w:hAnsi="Arial" w:cs="Arial"/>
        </w:rPr>
        <w:t xml:space="preserve"> on the effects of a large-scale implementation of a UBI that are applicable to the United Kingdom and the analysis of this policy brief. </w:t>
      </w:r>
      <w:r w:rsidR="009F5B30" w:rsidRPr="008D71E1">
        <w:rPr>
          <w:rFonts w:ascii="Arial" w:hAnsi="Arial" w:cs="Arial"/>
        </w:rPr>
        <w:t xml:space="preserve">However, the difference (1.3% of GDP) can be expected to be earned back. </w:t>
      </w:r>
    </w:p>
    <w:p w14:paraId="2668719B" w14:textId="7F4E26C7" w:rsidR="009F5B30" w:rsidRPr="008D71E1" w:rsidRDefault="009F5B30" w:rsidP="00E20635">
      <w:pPr>
        <w:spacing w:before="240" w:line="480" w:lineRule="auto"/>
        <w:rPr>
          <w:rFonts w:ascii="Arial" w:hAnsi="Arial" w:cs="Arial"/>
        </w:rPr>
      </w:pPr>
      <w:r w:rsidRPr="008D71E1">
        <w:rPr>
          <w:rFonts w:ascii="Arial" w:hAnsi="Arial" w:cs="Arial"/>
        </w:rPr>
        <w:t>Additionally, reallocating some of the 36.6% of GDP that is spent on social protection</w:t>
      </w:r>
      <w:r w:rsidR="00E20635" w:rsidRPr="008D71E1">
        <w:rPr>
          <w:rFonts w:ascii="Arial" w:hAnsi="Arial" w:cs="Arial"/>
        </w:rPr>
        <w:t xml:space="preserve"> </w:t>
      </w:r>
      <w:sdt>
        <w:sdtPr>
          <w:rPr>
            <w:rFonts w:ascii="Arial" w:hAnsi="Arial" w:cs="Arial"/>
          </w:rPr>
          <w:id w:val="-459649095"/>
          <w:citation/>
        </w:sdtPr>
        <w:sdtEndPr/>
        <w:sdtContent>
          <w:r w:rsidR="00E20635" w:rsidRPr="008D71E1">
            <w:rPr>
              <w:rFonts w:ascii="Arial" w:hAnsi="Arial" w:cs="Arial"/>
            </w:rPr>
            <w:fldChar w:fldCharType="begin"/>
          </w:r>
          <w:r w:rsidR="00E20635" w:rsidRPr="008D71E1">
            <w:rPr>
              <w:rFonts w:ascii="Arial" w:hAnsi="Arial" w:cs="Arial"/>
            </w:rPr>
            <w:instrText xml:space="preserve"> CITATION HMT23 \l 2057 </w:instrText>
          </w:r>
          <w:r w:rsidR="00E20635" w:rsidRPr="008D71E1">
            <w:rPr>
              <w:rFonts w:ascii="Arial" w:hAnsi="Arial" w:cs="Arial"/>
            </w:rPr>
            <w:fldChar w:fldCharType="separate"/>
          </w:r>
          <w:r w:rsidR="00720E42">
            <w:rPr>
              <w:rFonts w:ascii="Arial" w:hAnsi="Arial" w:cs="Arial"/>
              <w:noProof/>
            </w:rPr>
            <w:t>(HM Treasury, 2023)</w:t>
          </w:r>
          <w:r w:rsidR="00E20635" w:rsidRPr="008D71E1">
            <w:rPr>
              <w:rFonts w:ascii="Arial" w:hAnsi="Arial" w:cs="Arial"/>
            </w:rPr>
            <w:fldChar w:fldCharType="end"/>
          </w:r>
        </w:sdtContent>
      </w:sdt>
      <w:r w:rsidRPr="008D71E1">
        <w:rPr>
          <w:rFonts w:ascii="Arial" w:hAnsi="Arial" w:cs="Arial"/>
        </w:rPr>
        <w:t xml:space="preserve"> can allow for a faster implementation of a UBI at full coverage of </w:t>
      </w:r>
      <w:r w:rsidR="00E20635" w:rsidRPr="008D71E1">
        <w:rPr>
          <w:rFonts w:ascii="Arial" w:hAnsi="Arial" w:cs="Arial"/>
        </w:rPr>
        <w:t xml:space="preserve">the increased </w:t>
      </w:r>
      <w:r w:rsidRPr="008D71E1">
        <w:rPr>
          <w:rFonts w:ascii="Arial" w:hAnsi="Arial" w:cs="Arial"/>
        </w:rPr>
        <w:t>cost of living.</w:t>
      </w:r>
    </w:p>
    <w:p w14:paraId="78298F8A" w14:textId="48FF35BC" w:rsidR="00E20635" w:rsidRPr="008D71E1" w:rsidRDefault="00E20635" w:rsidP="00E20635">
      <w:pPr>
        <w:spacing w:line="480" w:lineRule="auto"/>
        <w:rPr>
          <w:rFonts w:ascii="Arial" w:hAnsi="Arial" w:cs="Arial"/>
        </w:rPr>
      </w:pPr>
      <w:r w:rsidRPr="008D71E1">
        <w:rPr>
          <w:rFonts w:ascii="Arial" w:hAnsi="Arial" w:cs="Arial"/>
        </w:rPr>
        <w:t xml:space="preserve">The average expenditure on essential costs (food, utilities, and housing) – excluding homeownership, is illustrated in Graph 2 (see appendix). The graph indicates essential costs are increasing relative to median income. As of 2022, 22.24% of median income (£150 weekly) is spent on these essential goods. A commission should analyse the yearly data to make projections of a suitable level of UBI for the following financial year, as is done for minimum wage through the Low Pay Commission. The goal of this commission should be to reach full coverage of the essential costs over time but initially simply assist with these costs.  </w:t>
      </w:r>
    </w:p>
    <w:p w14:paraId="6298A0F9" w14:textId="7C882D55" w:rsidR="00E20635" w:rsidRPr="008D71E1" w:rsidRDefault="008D71E1" w:rsidP="00480C82">
      <w:pPr>
        <w:spacing w:line="480" w:lineRule="auto"/>
        <w:rPr>
          <w:rFonts w:ascii="Arial" w:hAnsi="Arial" w:cs="Arial"/>
          <w:b/>
          <w:bCs/>
        </w:rPr>
      </w:pPr>
      <w:r w:rsidRPr="008D71E1">
        <w:rPr>
          <w:rFonts w:ascii="Arial" w:hAnsi="Arial" w:cs="Arial"/>
          <w:b/>
          <w:bCs/>
        </w:rPr>
        <w:t>Political Feasibility</w:t>
      </w:r>
    </w:p>
    <w:p w14:paraId="4ECC1BB9" w14:textId="212B4463" w:rsidR="003518FA" w:rsidRPr="008D71E1" w:rsidRDefault="009F5B30" w:rsidP="00480C82">
      <w:pPr>
        <w:spacing w:line="480" w:lineRule="auto"/>
        <w:rPr>
          <w:rFonts w:ascii="Arial" w:hAnsi="Arial" w:cs="Arial"/>
        </w:rPr>
      </w:pPr>
      <w:r w:rsidRPr="008D71E1">
        <w:rPr>
          <w:rFonts w:ascii="Arial" w:hAnsi="Arial" w:cs="Arial"/>
        </w:rPr>
        <w:t xml:space="preserve"> </w:t>
      </w:r>
      <w:r w:rsidR="007230F1" w:rsidRPr="00866D9D">
        <w:rPr>
          <w:rFonts w:ascii="Arial" w:hAnsi="Arial" w:cs="Arial"/>
        </w:rPr>
        <w:t xml:space="preserve">It would not be </w:t>
      </w:r>
      <w:r w:rsidR="004D5E78" w:rsidRPr="00866D9D">
        <w:rPr>
          <w:rFonts w:ascii="Arial" w:hAnsi="Arial" w:cs="Arial"/>
        </w:rPr>
        <w:t xml:space="preserve">politically </w:t>
      </w:r>
      <w:r w:rsidR="000D05CA" w:rsidRPr="00866D9D">
        <w:rPr>
          <w:rFonts w:ascii="Arial" w:hAnsi="Arial" w:cs="Arial"/>
        </w:rPr>
        <w:t xml:space="preserve">feasible </w:t>
      </w:r>
      <w:r w:rsidR="007230F1" w:rsidRPr="00866D9D">
        <w:rPr>
          <w:rFonts w:ascii="Arial" w:hAnsi="Arial" w:cs="Arial"/>
        </w:rPr>
        <w:t xml:space="preserve">to achieve a UBI of </w:t>
      </w:r>
      <w:r w:rsidR="004D5E78" w:rsidRPr="00866D9D">
        <w:rPr>
          <w:rFonts w:ascii="Arial" w:hAnsi="Arial" w:cs="Arial"/>
        </w:rPr>
        <w:t>22% of median income (cost of 13.7% of GDP)</w:t>
      </w:r>
      <w:r w:rsidR="000D05CA" w:rsidRPr="00866D9D">
        <w:rPr>
          <w:rFonts w:ascii="Arial" w:hAnsi="Arial" w:cs="Arial"/>
        </w:rPr>
        <w:t xml:space="preserve"> considering the failed attempt during the Covid-19 pandemic. Instead, the government can implement a lower level of UBI to </w:t>
      </w:r>
      <w:r w:rsidR="000D05CA" w:rsidRPr="00866D9D">
        <w:rPr>
          <w:rFonts w:ascii="Arial" w:hAnsi="Arial" w:cs="Arial"/>
          <w:i/>
          <w:iCs/>
        </w:rPr>
        <w:t>assist</w:t>
      </w:r>
      <w:r w:rsidR="000D05CA" w:rsidRPr="00866D9D">
        <w:rPr>
          <w:rFonts w:ascii="Arial" w:hAnsi="Arial" w:cs="Arial"/>
        </w:rPr>
        <w:t xml:space="preserve"> with the cost-of-living crisis.</w:t>
      </w:r>
      <w:r w:rsidR="00154C72" w:rsidRPr="00866D9D">
        <w:rPr>
          <w:rFonts w:ascii="Arial" w:hAnsi="Arial" w:cs="Arial"/>
        </w:rPr>
        <w:t xml:space="preserve"> </w:t>
      </w:r>
      <w:r w:rsidRPr="008D71E1">
        <w:rPr>
          <w:rFonts w:ascii="Arial" w:hAnsi="Arial" w:cs="Arial"/>
        </w:rPr>
        <w:t>This also prevents pitfalls with the 1.3-point difference in the cost of a UBI versus current expenditure.</w:t>
      </w:r>
      <w:r w:rsidR="00BB50AD" w:rsidRPr="008D71E1">
        <w:rPr>
          <w:rFonts w:ascii="Arial" w:hAnsi="Arial" w:cs="Arial"/>
        </w:rPr>
        <w:t xml:space="preserve"> </w:t>
      </w:r>
      <w:r w:rsidR="00154C72" w:rsidRPr="00866D9D">
        <w:rPr>
          <w:rFonts w:ascii="Arial" w:hAnsi="Arial" w:cs="Arial"/>
        </w:rPr>
        <w:t>Determining this level is a political question and outside the expertise of the author and contributors of this brief.</w:t>
      </w:r>
    </w:p>
    <w:p w14:paraId="32FCD224" w14:textId="53A95D4C" w:rsidR="00480C82" w:rsidRPr="00866D9D" w:rsidRDefault="00304B2F" w:rsidP="00480C82">
      <w:pPr>
        <w:spacing w:line="480" w:lineRule="auto"/>
        <w:rPr>
          <w:rFonts w:ascii="Arial" w:hAnsi="Arial" w:cs="Arial"/>
        </w:rPr>
      </w:pPr>
      <w:r w:rsidRPr="00866D9D">
        <w:rPr>
          <w:rFonts w:ascii="Arial" w:hAnsi="Arial" w:cs="Arial"/>
        </w:rPr>
        <w:t xml:space="preserve">A committee should be appointed to </w:t>
      </w:r>
      <w:r w:rsidR="003518FA" w:rsidRPr="008D71E1">
        <w:rPr>
          <w:rFonts w:ascii="Arial" w:hAnsi="Arial" w:cs="Arial"/>
        </w:rPr>
        <w:t>analyse the previous economic year and advise the government of a suitable level for the UBI, similarly</w:t>
      </w:r>
      <w:r w:rsidR="003A2021" w:rsidRPr="00866D9D">
        <w:rPr>
          <w:rFonts w:ascii="Arial" w:hAnsi="Arial" w:cs="Arial"/>
        </w:rPr>
        <w:t xml:space="preserve"> to the Low Pay Commission</w:t>
      </w:r>
      <w:r w:rsidR="003518FA" w:rsidRPr="008D71E1">
        <w:rPr>
          <w:rFonts w:ascii="Arial" w:hAnsi="Arial" w:cs="Arial"/>
        </w:rPr>
        <w:t>. The</w:t>
      </w:r>
      <w:r w:rsidR="003A2021" w:rsidRPr="00866D9D">
        <w:rPr>
          <w:rFonts w:ascii="Arial" w:hAnsi="Arial" w:cs="Arial"/>
        </w:rPr>
        <w:t xml:space="preserve"> Cost</w:t>
      </w:r>
      <w:r w:rsidR="0002182B" w:rsidRPr="00866D9D">
        <w:rPr>
          <w:rFonts w:ascii="Arial" w:hAnsi="Arial" w:cs="Arial"/>
        </w:rPr>
        <w:t>-</w:t>
      </w:r>
      <w:r w:rsidR="003A2021" w:rsidRPr="00866D9D">
        <w:rPr>
          <w:rFonts w:ascii="Arial" w:hAnsi="Arial" w:cs="Arial"/>
        </w:rPr>
        <w:t>of</w:t>
      </w:r>
      <w:r w:rsidR="0002182B" w:rsidRPr="00866D9D">
        <w:rPr>
          <w:rFonts w:ascii="Arial" w:hAnsi="Arial" w:cs="Arial"/>
        </w:rPr>
        <w:t>-</w:t>
      </w:r>
      <w:r w:rsidR="003A2021" w:rsidRPr="00866D9D">
        <w:rPr>
          <w:rFonts w:ascii="Arial" w:hAnsi="Arial" w:cs="Arial"/>
        </w:rPr>
        <w:t>Living</w:t>
      </w:r>
      <w:r w:rsidR="0002182B" w:rsidRPr="00866D9D">
        <w:rPr>
          <w:rFonts w:ascii="Arial" w:hAnsi="Arial" w:cs="Arial"/>
        </w:rPr>
        <w:t xml:space="preserve"> Commission </w:t>
      </w:r>
      <w:r w:rsidR="003518FA" w:rsidRPr="008D71E1">
        <w:rPr>
          <w:rFonts w:ascii="Arial" w:hAnsi="Arial" w:cs="Arial"/>
        </w:rPr>
        <w:t>(CLC) should have as a goal</w:t>
      </w:r>
      <w:r w:rsidR="0002182B" w:rsidRPr="00866D9D">
        <w:rPr>
          <w:rFonts w:ascii="Arial" w:hAnsi="Arial" w:cs="Arial"/>
        </w:rPr>
        <w:t xml:space="preserve"> to </w:t>
      </w:r>
      <w:r w:rsidR="00097BBE" w:rsidRPr="00866D9D">
        <w:rPr>
          <w:rFonts w:ascii="Arial" w:hAnsi="Arial" w:cs="Arial"/>
        </w:rPr>
        <w:t xml:space="preserve">ultimately </w:t>
      </w:r>
      <w:r w:rsidR="00A55F04" w:rsidRPr="00866D9D">
        <w:rPr>
          <w:rFonts w:ascii="Arial" w:hAnsi="Arial" w:cs="Arial"/>
        </w:rPr>
        <w:t>cover the cost of living as a percentage of median income</w:t>
      </w:r>
      <w:r w:rsidR="000B39E9" w:rsidRPr="00866D9D">
        <w:rPr>
          <w:rFonts w:ascii="Arial" w:hAnsi="Arial" w:cs="Arial"/>
        </w:rPr>
        <w:t xml:space="preserve"> and not just assist </w:t>
      </w:r>
      <w:r w:rsidR="003518FA" w:rsidRPr="008D71E1">
        <w:rPr>
          <w:rFonts w:ascii="Arial" w:hAnsi="Arial" w:cs="Arial"/>
        </w:rPr>
        <w:t>with costs.</w:t>
      </w:r>
    </w:p>
    <w:p w14:paraId="7B89F1D7" w14:textId="25DEA9E0" w:rsidR="00691600" w:rsidRDefault="003518FA" w:rsidP="00480C82">
      <w:pPr>
        <w:spacing w:line="480" w:lineRule="auto"/>
        <w:rPr>
          <w:rFonts w:ascii="Arial" w:hAnsi="Arial" w:cs="Arial"/>
        </w:rPr>
      </w:pPr>
      <w:r w:rsidRPr="008D71E1">
        <w:rPr>
          <w:rFonts w:ascii="Arial" w:hAnsi="Arial" w:cs="Arial"/>
        </w:rPr>
        <w:t xml:space="preserve">It is important to note that the UBI examined in this brief is ultimately a replacement to the current welfare system to avoid having individuals fall through the cracks during the cost-of-living crisis. Jaravel and Ghatak (2020) considered the expansion of the welfare state to provide a UBI in addition to current social protection can be obtained with a 45% flat tax throughout all income brackets. No analysis of such a tax level is not applicable today and should not be considered until the UBI has reached the 22% mark of median income, and the economical implications are measurable. </w:t>
      </w:r>
    </w:p>
    <w:p w14:paraId="2B8E586E" w14:textId="136D8739" w:rsidR="008D71E1" w:rsidRPr="008D71E1" w:rsidRDefault="008D71E1" w:rsidP="008D71E1">
      <w:pPr>
        <w:spacing w:line="480" w:lineRule="auto"/>
        <w:rPr>
          <w:rFonts w:ascii="Arial" w:hAnsi="Arial" w:cs="Arial"/>
          <w:b/>
          <w:bCs/>
        </w:rPr>
      </w:pPr>
      <w:r w:rsidRPr="008D71E1">
        <w:rPr>
          <w:rFonts w:ascii="Arial" w:hAnsi="Arial" w:cs="Arial"/>
          <w:b/>
          <w:bCs/>
        </w:rPr>
        <w:t>Recommendations</w:t>
      </w:r>
    </w:p>
    <w:p w14:paraId="3E6BA4AF" w14:textId="69CFC270" w:rsidR="008D71E1" w:rsidRPr="008D71E1" w:rsidRDefault="008D71E1" w:rsidP="008D71E1">
      <w:pPr>
        <w:spacing w:line="480" w:lineRule="auto"/>
        <w:jc w:val="center"/>
        <w:rPr>
          <w:rFonts w:ascii="Arial" w:hAnsi="Arial" w:cs="Arial"/>
          <w:b/>
          <w:bCs/>
          <w:color w:val="000000" w:themeColor="text1"/>
        </w:rPr>
        <w:sectPr w:rsidR="008D71E1" w:rsidRPr="008D71E1" w:rsidSect="006D63DD">
          <w:type w:val="continuous"/>
          <w:pgSz w:w="11906" w:h="16838"/>
          <w:pgMar w:top="1134" w:right="1134" w:bottom="1134" w:left="1134" w:header="708" w:footer="708" w:gutter="0"/>
          <w:cols w:space="708"/>
          <w:docGrid w:linePitch="360"/>
        </w:sectPr>
      </w:pPr>
    </w:p>
    <w:p w14:paraId="6DA34755" w14:textId="0D42E2C9" w:rsidR="008D71E1" w:rsidRDefault="008D71E1" w:rsidP="008D71E1">
      <w:pPr>
        <w:spacing w:line="480" w:lineRule="auto"/>
        <w:rPr>
          <w:rFonts w:ascii="Arial" w:hAnsi="Arial" w:cs="Arial"/>
          <w:color w:val="000000" w:themeColor="text1"/>
        </w:rPr>
      </w:pPr>
      <w:r>
        <w:rPr>
          <w:rFonts w:ascii="Arial" w:hAnsi="Arial" w:cs="Arial"/>
          <w:color w:val="000000" w:themeColor="text1"/>
        </w:rPr>
        <w:t>In the short run, the government should es</w:t>
      </w:r>
      <w:r w:rsidRPr="008D71E1">
        <w:rPr>
          <w:rFonts w:ascii="Arial" w:hAnsi="Arial" w:cs="Arial"/>
          <w:color w:val="000000" w:themeColor="text1"/>
        </w:rPr>
        <w:t xml:space="preserve">tablish a Cost-of-Living Commission (CLC) to determine the appropriate level of a Universal Basic Income. The government should also publicly endorse reaching a level around 22% of median income. However, the first level of UBI should be expected to be much lower as it aims at </w:t>
      </w:r>
      <w:r w:rsidRPr="008D71E1">
        <w:rPr>
          <w:rFonts w:ascii="Arial" w:hAnsi="Arial" w:cs="Arial"/>
          <w:i/>
          <w:iCs/>
          <w:color w:val="000000" w:themeColor="text1"/>
        </w:rPr>
        <w:t xml:space="preserve">assisting </w:t>
      </w:r>
      <w:r w:rsidRPr="008D71E1">
        <w:rPr>
          <w:rFonts w:ascii="Arial" w:hAnsi="Arial" w:cs="Arial"/>
          <w:color w:val="000000" w:themeColor="text1"/>
        </w:rPr>
        <w:t xml:space="preserve">with the crisis. Legislation made around the UBI must include inflation adjustments </w:t>
      </w:r>
      <w:r w:rsidR="008D7B51">
        <w:rPr>
          <w:rFonts w:ascii="Arial" w:hAnsi="Arial" w:cs="Arial"/>
          <w:color w:val="000000" w:themeColor="text1"/>
        </w:rPr>
        <w:t xml:space="preserve">to prevent </w:t>
      </w:r>
      <w:r w:rsidRPr="008D71E1">
        <w:rPr>
          <w:rFonts w:ascii="Arial" w:hAnsi="Arial" w:cs="Arial"/>
          <w:color w:val="000000" w:themeColor="text1"/>
        </w:rPr>
        <w:t xml:space="preserve">cost-of-living </w:t>
      </w:r>
      <w:r w:rsidR="008D7B51" w:rsidRPr="008D71E1">
        <w:rPr>
          <w:rFonts w:ascii="Arial" w:hAnsi="Arial" w:cs="Arial"/>
          <w:color w:val="000000" w:themeColor="text1"/>
        </w:rPr>
        <w:t>cris</w:t>
      </w:r>
      <w:r w:rsidR="008D7B51">
        <w:rPr>
          <w:rFonts w:ascii="Arial" w:hAnsi="Arial" w:cs="Arial"/>
          <w:color w:val="000000" w:themeColor="text1"/>
        </w:rPr>
        <w:t>es.</w:t>
      </w:r>
    </w:p>
    <w:p w14:paraId="52CBDB26" w14:textId="06F2B6EA" w:rsidR="008D71E1" w:rsidRPr="008D71E1" w:rsidRDefault="008D71E1" w:rsidP="008D71E1">
      <w:pPr>
        <w:spacing w:line="480" w:lineRule="auto"/>
        <w:rPr>
          <w:rFonts w:ascii="Arial" w:hAnsi="Arial" w:cs="Arial"/>
          <w:color w:val="000000" w:themeColor="text1"/>
        </w:rPr>
      </w:pPr>
      <w:r>
        <w:rPr>
          <w:rFonts w:ascii="Arial" w:hAnsi="Arial" w:cs="Arial"/>
          <w:color w:val="000000" w:themeColor="text1"/>
        </w:rPr>
        <w:t>In the medium run, a</w:t>
      </w:r>
      <w:r w:rsidRPr="008D71E1">
        <w:rPr>
          <w:rFonts w:ascii="Arial" w:hAnsi="Arial" w:cs="Arial"/>
          <w:color w:val="000000" w:themeColor="text1"/>
        </w:rPr>
        <w:t>nalysis of the impact of UBI on the tax system by income groups should be conducted to plan for future restructuring. Analysis must be done on the monetary value the UBI has created in education, policing, and housing.</w:t>
      </w:r>
    </w:p>
    <w:p w14:paraId="4D4AA30E" w14:textId="7DED0FC5" w:rsidR="00276268" w:rsidRDefault="008D71E1" w:rsidP="00480C82">
      <w:pPr>
        <w:spacing w:line="480" w:lineRule="auto"/>
        <w:rPr>
          <w:rFonts w:ascii="Arial" w:hAnsi="Arial" w:cs="Arial"/>
        </w:rPr>
      </w:pPr>
      <w:r w:rsidRPr="008D71E1">
        <w:rPr>
          <w:rFonts w:ascii="Arial" w:hAnsi="Arial" w:cs="Arial"/>
          <w:color w:val="000000" w:themeColor="text1"/>
        </w:rPr>
        <w:t xml:space="preserve">The </w:t>
      </w:r>
      <w:r>
        <w:rPr>
          <w:rFonts w:ascii="Arial" w:hAnsi="Arial" w:cs="Arial"/>
          <w:color w:val="000000" w:themeColor="text1"/>
        </w:rPr>
        <w:t xml:space="preserve">long run </w:t>
      </w:r>
      <w:r w:rsidRPr="008D71E1">
        <w:rPr>
          <w:rFonts w:ascii="Arial" w:hAnsi="Arial" w:cs="Arial"/>
          <w:color w:val="000000" w:themeColor="text1"/>
        </w:rPr>
        <w:t xml:space="preserve">goal of the CLC is to ensure coverage of the costs of living. Restructuring of the social security system to account for a Universal Income. </w:t>
      </w:r>
    </w:p>
    <w:sdt>
      <w:sdtPr>
        <w:rPr>
          <w:rFonts w:asciiTheme="minorHAnsi" w:eastAsiaTheme="minorHAnsi" w:hAnsiTheme="minorHAnsi" w:cstheme="minorBidi"/>
          <w:b w:val="0"/>
          <w:color w:val="auto"/>
          <w:sz w:val="24"/>
          <w:szCs w:val="24"/>
        </w:rPr>
        <w:id w:val="-1157989788"/>
        <w:docPartObj>
          <w:docPartGallery w:val="Bibliographies"/>
          <w:docPartUnique/>
        </w:docPartObj>
      </w:sdtPr>
      <w:sdtEndPr>
        <w:rPr>
          <w:rFonts w:cs="Arial"/>
        </w:rPr>
      </w:sdtEndPr>
      <w:sdtContent>
        <w:p w14:paraId="14E15BB6" w14:textId="66DA3DB2" w:rsidR="00E20635" w:rsidRPr="00E20635" w:rsidRDefault="00E20635" w:rsidP="00E20635">
          <w:pPr>
            <w:pStyle w:val="Header1"/>
            <w:rPr>
              <w:sz w:val="24"/>
              <w:szCs w:val="24"/>
            </w:rPr>
          </w:pPr>
          <w:r w:rsidRPr="00E20635">
            <w:rPr>
              <w:sz w:val="24"/>
              <w:szCs w:val="24"/>
            </w:rPr>
            <w:t>Bibliography</w:t>
          </w:r>
        </w:p>
        <w:sdt>
          <w:sdtPr>
            <w:rPr>
              <w:rFonts w:ascii="Arial" w:hAnsi="Arial" w:cs="Arial"/>
            </w:rPr>
            <w:id w:val="111145805"/>
            <w:bibliography/>
          </w:sdtPr>
          <w:sdtEndPr/>
          <w:sdtContent>
            <w:p w14:paraId="50E6C497" w14:textId="77777777" w:rsidR="00720E42" w:rsidRDefault="00E20635">
              <w:pPr>
                <w:pStyle w:val="Bibliography"/>
                <w:ind w:left="720" w:hanging="720"/>
                <w:rPr>
                  <w:noProof/>
                  <w:kern w:val="0"/>
                  <w14:ligatures w14:val="none"/>
                </w:rPr>
              </w:pPr>
              <w:r w:rsidRPr="00E20635">
                <w:rPr>
                  <w:rFonts w:ascii="Arial" w:hAnsi="Arial" w:cs="Arial"/>
                </w:rPr>
                <w:fldChar w:fldCharType="begin"/>
              </w:r>
              <w:r w:rsidRPr="00E20635">
                <w:rPr>
                  <w:rFonts w:ascii="Arial" w:hAnsi="Arial" w:cs="Arial"/>
                </w:rPr>
                <w:instrText xml:space="preserve"> BIBLIOGRAPHY </w:instrText>
              </w:r>
              <w:r w:rsidRPr="00E20635">
                <w:rPr>
                  <w:rFonts w:ascii="Arial" w:hAnsi="Arial" w:cs="Arial"/>
                </w:rPr>
                <w:fldChar w:fldCharType="separate"/>
              </w:r>
              <w:r w:rsidR="00720E42">
                <w:rPr>
                  <w:noProof/>
                </w:rPr>
                <w:t xml:space="preserve">HM Treasury. (2023). </w:t>
              </w:r>
              <w:r w:rsidR="00720E42">
                <w:rPr>
                  <w:i/>
                  <w:iCs/>
                  <w:noProof/>
                </w:rPr>
                <w:t>Public Expenditure.</w:t>
              </w:r>
              <w:r w:rsidR="00720E42">
                <w:rPr>
                  <w:noProof/>
                </w:rPr>
                <w:t xml:space="preserve"> London: Open Government Licence.</w:t>
              </w:r>
            </w:p>
            <w:p w14:paraId="4010B9DC" w14:textId="77777777" w:rsidR="00720E42" w:rsidRDefault="00720E42">
              <w:pPr>
                <w:pStyle w:val="Bibliography"/>
                <w:ind w:left="720" w:hanging="720"/>
                <w:rPr>
                  <w:noProof/>
                </w:rPr>
              </w:pPr>
              <w:r>
                <w:rPr>
                  <w:noProof/>
                </w:rPr>
                <w:t xml:space="preserve">Institute for Economic Justice. (2021, March 16). </w:t>
              </w:r>
              <w:r>
                <w:rPr>
                  <w:i/>
                  <w:iCs/>
                  <w:noProof/>
                </w:rPr>
                <w:t>Institute for Economic Justice.</w:t>
              </w:r>
              <w:r>
                <w:rPr>
                  <w:noProof/>
                </w:rPr>
                <w:t xml:space="preserve"> </w:t>
              </w:r>
              <w:r>
                <w:rPr>
                  <w:noProof/>
                </w:rPr>
                <w:t>Retrieved April 15, 2024, from https://www.iej.org.za/introducing-a-universal-basic-income-guarantee-for-south-africa/</w:t>
              </w:r>
            </w:p>
            <w:p w14:paraId="5CB70111" w14:textId="77777777" w:rsidR="00720E42" w:rsidRDefault="00720E42">
              <w:pPr>
                <w:pStyle w:val="Bibliography"/>
                <w:ind w:left="720" w:hanging="720"/>
                <w:rPr>
                  <w:noProof/>
                </w:rPr>
              </w:pPr>
              <w:r>
                <w:rPr>
                  <w:noProof/>
                </w:rPr>
                <w:t xml:space="preserve">Kangas, O., Jauhiainen, S., Simanainen, M., &amp; Ylikännö, M. (2019). </w:t>
              </w:r>
              <w:r>
                <w:rPr>
                  <w:i/>
                  <w:iCs/>
                  <w:noProof/>
                </w:rPr>
                <w:t>The basic income experiment 2017–2018 in Finland : Preliminary results.</w:t>
              </w:r>
              <w:r>
                <w:rPr>
                  <w:noProof/>
                </w:rPr>
                <w:t xml:space="preserve"> Helsinki: Ministry of Social Affairs and Health.</w:t>
              </w:r>
            </w:p>
            <w:p w14:paraId="73B0C256" w14:textId="77777777" w:rsidR="00720E42" w:rsidRDefault="00720E42">
              <w:pPr>
                <w:pStyle w:val="Bibliography"/>
                <w:ind w:left="720" w:hanging="720"/>
                <w:rPr>
                  <w:noProof/>
                </w:rPr>
              </w:pPr>
              <w:r>
                <w:rPr>
                  <w:noProof/>
                </w:rPr>
                <w:t xml:space="preserve">Lacey, A. (2017). Universal basic income as development solution? </w:t>
              </w:r>
              <w:r>
                <w:rPr>
                  <w:i/>
                  <w:iCs/>
                  <w:noProof/>
                </w:rPr>
                <w:t>Global Social Policy, 17</w:t>
              </w:r>
              <w:r>
                <w:rPr>
                  <w:noProof/>
                </w:rPr>
                <w:t>(1), 93-97. Retrieved April 15, 2024, from https://journals.sagepub.com/doi/10.1177/1468018116684269</w:t>
              </w:r>
            </w:p>
            <w:p w14:paraId="5F1C634A" w14:textId="77777777" w:rsidR="00720E42" w:rsidRDefault="00720E42">
              <w:pPr>
                <w:pStyle w:val="Bibliography"/>
                <w:ind w:left="720" w:hanging="720"/>
                <w:rPr>
                  <w:noProof/>
                </w:rPr>
              </w:pPr>
              <w:r>
                <w:rPr>
                  <w:noProof/>
                </w:rPr>
                <w:t xml:space="preserve">Mackley, A., Hobson, F., Loft, P., &amp; Kennedy, S. (2020). </w:t>
              </w:r>
              <w:r>
                <w:rPr>
                  <w:i/>
                  <w:iCs/>
                  <w:noProof/>
                </w:rPr>
                <w:t>The Introduction of a Universal Basic Income.</w:t>
              </w:r>
              <w:r>
                <w:rPr>
                  <w:noProof/>
                </w:rPr>
                <w:t xml:space="preserve"> London: House of Commons Library. Retrieved April 15, 2024, from https://commonslibrary.parliament.uk/research-briefings/cdp-2020-0096/</w:t>
              </w:r>
            </w:p>
            <w:p w14:paraId="5F19E612" w14:textId="77777777" w:rsidR="00720E42" w:rsidRDefault="00720E42">
              <w:pPr>
                <w:pStyle w:val="Bibliography"/>
                <w:ind w:left="720" w:hanging="720"/>
                <w:rPr>
                  <w:noProof/>
                </w:rPr>
              </w:pPr>
              <w:r>
                <w:rPr>
                  <w:noProof/>
                </w:rPr>
                <w:t xml:space="preserve">Office for National Statistics. (2020, March 25). </w:t>
              </w:r>
              <w:r>
                <w:rPr>
                  <w:i/>
                  <w:iCs/>
                  <w:noProof/>
                </w:rPr>
                <w:t>Measures of owner occupiers' housing costs, UK: October to December 2019</w:t>
              </w:r>
              <w:r>
                <w:rPr>
                  <w:noProof/>
                </w:rPr>
                <w:t>. Retrieved April 15, 2024, from https://www.ons.gov.uk/economy/inflationandpriceindices/articles/understandingthedifferentapproachesofmeasuringowneroccupiershousingcosts/octobertodecember2019</w:t>
              </w:r>
            </w:p>
            <w:p w14:paraId="7F9C38B8" w14:textId="77777777" w:rsidR="00720E42" w:rsidRDefault="00720E42">
              <w:pPr>
                <w:pStyle w:val="Bibliography"/>
                <w:ind w:left="720" w:hanging="720"/>
                <w:rPr>
                  <w:noProof/>
                </w:rPr>
              </w:pPr>
              <w:r>
                <w:rPr>
                  <w:noProof/>
                </w:rPr>
                <w:t xml:space="preserve">Office for National Statistics. (2024). </w:t>
              </w:r>
              <w:r>
                <w:rPr>
                  <w:i/>
                  <w:iCs/>
                  <w:noProof/>
                </w:rPr>
                <w:t>AWE: Whole Economy Year on Year Three Month Average Growth (%): Seasonally Adjusted Total Pay Excluding Arrears</w:t>
              </w:r>
              <w:r>
                <w:rPr>
                  <w:noProof/>
                </w:rPr>
                <w:t>. Retrieved April 15, 2024, from https://www.ons.gov.uk/employmentandlabourmarket/peopleinwork/earningsandworkinghours/timeseries/kac3/lms</w:t>
              </w:r>
            </w:p>
            <w:p w14:paraId="2738F889" w14:textId="77777777" w:rsidR="00720E42" w:rsidRDefault="00720E42">
              <w:pPr>
                <w:pStyle w:val="Bibliography"/>
                <w:ind w:left="720" w:hanging="720"/>
                <w:rPr>
                  <w:noProof/>
                </w:rPr>
              </w:pPr>
              <w:r>
                <w:rPr>
                  <w:noProof/>
                </w:rPr>
                <w:t xml:space="preserve">Office for National Statistics. (2024). </w:t>
              </w:r>
              <w:r>
                <w:rPr>
                  <w:i/>
                  <w:iCs/>
                  <w:noProof/>
                </w:rPr>
                <w:t>Consumer Price Inflation, UK: January 2024</w:t>
              </w:r>
              <w:r>
                <w:rPr>
                  <w:noProof/>
                </w:rPr>
                <w:t>. Retrieved April 15, 2024, from https://www.ons.gov.uk/economy/inflationandpriceindices/bulletins/consumerpriceinflation/january2024</w:t>
              </w:r>
            </w:p>
            <w:p w14:paraId="4FA365D4" w14:textId="77777777" w:rsidR="00720E42" w:rsidRDefault="00720E42">
              <w:pPr>
                <w:pStyle w:val="Bibliography"/>
                <w:ind w:left="720" w:hanging="720"/>
                <w:rPr>
                  <w:noProof/>
                </w:rPr>
              </w:pPr>
              <w:r>
                <w:rPr>
                  <w:noProof/>
                </w:rPr>
                <w:t xml:space="preserve">Office for National Statistics. (2024). </w:t>
              </w:r>
              <w:r>
                <w:rPr>
                  <w:i/>
                  <w:iCs/>
                  <w:noProof/>
                </w:rPr>
                <w:t>CPIH ANNUAL RATE 00: ALL ITEMS 2015=100</w:t>
              </w:r>
              <w:r>
                <w:rPr>
                  <w:noProof/>
                </w:rPr>
                <w:t>. Retrieved April 15, 2024, from https://www.ons.gov.uk/economy/inflationandpriceindices/timeseries/l55o/mm23</w:t>
              </w:r>
            </w:p>
            <w:p w14:paraId="4A86497C" w14:textId="77777777" w:rsidR="00720E42" w:rsidRDefault="00720E42">
              <w:pPr>
                <w:pStyle w:val="Bibliography"/>
                <w:ind w:left="720" w:hanging="720"/>
                <w:rPr>
                  <w:noProof/>
                </w:rPr>
              </w:pPr>
              <w:r>
                <w:rPr>
                  <w:noProof/>
                </w:rPr>
                <w:t xml:space="preserve">Office for National Statistics. (2024). </w:t>
              </w:r>
              <w:r>
                <w:rPr>
                  <w:i/>
                  <w:iCs/>
                  <w:noProof/>
                </w:rPr>
                <w:t>Gross Domestic Product: chained volume measures: Seasonally adjusted £m</w:t>
              </w:r>
              <w:r>
                <w:rPr>
                  <w:noProof/>
                </w:rPr>
                <w:t>. Retrieved April 15, 2024, from https://www.ons.gov.uk/economy/grossdomesticproductgdp/timeseries/abmi/ukea</w:t>
              </w:r>
            </w:p>
            <w:p w14:paraId="1CBE013A" w14:textId="77777777" w:rsidR="00720E42" w:rsidRDefault="00720E42">
              <w:pPr>
                <w:pStyle w:val="Bibliography"/>
                <w:ind w:left="720" w:hanging="720"/>
                <w:rPr>
                  <w:noProof/>
                </w:rPr>
              </w:pPr>
              <w:r>
                <w:rPr>
                  <w:noProof/>
                </w:rPr>
                <w:t xml:space="preserve">Office for National Statistics. (2024). </w:t>
              </w:r>
              <w:r>
                <w:rPr>
                  <w:i/>
                  <w:iCs/>
                  <w:noProof/>
                </w:rPr>
                <w:t>Index of Private Housing Rental Prices, UK: January 2024</w:t>
              </w:r>
              <w:r>
                <w:rPr>
                  <w:noProof/>
                </w:rPr>
                <w:t>. Retrieved April 15, 2024, from https://www.ons.gov.uk/economy/inflationandpriceindices/bulletins/indexofprivatehousingrentalprices/latest</w:t>
              </w:r>
            </w:p>
            <w:p w14:paraId="4041C61E" w14:textId="77777777" w:rsidR="00720E42" w:rsidRDefault="00720E42">
              <w:pPr>
                <w:pStyle w:val="Bibliography"/>
                <w:ind w:left="720" w:hanging="720"/>
                <w:rPr>
                  <w:noProof/>
                </w:rPr>
              </w:pPr>
              <w:r>
                <w:rPr>
                  <w:noProof/>
                </w:rPr>
                <w:t xml:space="preserve">Office for National Statistics. (2024). </w:t>
              </w:r>
              <w:r>
                <w:rPr>
                  <w:i/>
                  <w:iCs/>
                  <w:noProof/>
                </w:rPr>
                <w:t>Monthly gross domestic product by gross value added</w:t>
              </w:r>
              <w:r>
                <w:rPr>
                  <w:noProof/>
                </w:rPr>
                <w:t>. Retrieved April 15, 2024, from https://www.ons.gov.uk/economy/grossdomesticproductgdp/datasets/monthlygrossdomesticproductbygrossvalueadded</w:t>
              </w:r>
            </w:p>
            <w:p w14:paraId="365A41A5" w14:textId="77777777" w:rsidR="00720E42" w:rsidRDefault="00720E42">
              <w:pPr>
                <w:pStyle w:val="Bibliography"/>
                <w:ind w:left="720" w:hanging="720"/>
                <w:rPr>
                  <w:noProof/>
                </w:rPr>
              </w:pPr>
              <w:r>
                <w:rPr>
                  <w:noProof/>
                </w:rPr>
                <w:t xml:space="preserve">Office for National Statistics. (2024). </w:t>
              </w:r>
              <w:r>
                <w:rPr>
                  <w:i/>
                  <w:iCs/>
                  <w:noProof/>
                </w:rPr>
                <w:t>Public opinions and social trends, Great Britain: 13 to 24 March 2024</w:t>
              </w:r>
              <w:r>
                <w:rPr>
                  <w:noProof/>
                </w:rPr>
                <w:t>. Retrieved April 15, 2024, from https://www.ons.gov.uk/peoplepopulationandcommunity/wellbeing/bulletins/publicopinionsandsocialtrendsgreatbritain/13to24march2024#:~:text=The%20following%20information%20is%20for,and%20the%20economy%20(70%25).</w:t>
              </w:r>
            </w:p>
            <w:p w14:paraId="3F951B20" w14:textId="77777777" w:rsidR="00720E42" w:rsidRDefault="00720E42">
              <w:pPr>
                <w:pStyle w:val="Bibliography"/>
                <w:ind w:left="720" w:hanging="720"/>
                <w:rPr>
                  <w:noProof/>
                </w:rPr>
              </w:pPr>
              <w:r>
                <w:rPr>
                  <w:noProof/>
                </w:rPr>
                <w:t xml:space="preserve">Phillips, T. (2017). </w:t>
              </w:r>
              <w:r>
                <w:rPr>
                  <w:i/>
                  <w:iCs/>
                  <w:noProof/>
                </w:rPr>
                <w:t>Falling through the cracks.</w:t>
              </w:r>
              <w:r>
                <w:rPr>
                  <w:noProof/>
                </w:rPr>
                <w:t xml:space="preserve"> London: Resolution Foundation.</w:t>
              </w:r>
            </w:p>
            <w:p w14:paraId="563E7FB4" w14:textId="77777777" w:rsidR="00720E42" w:rsidRDefault="00720E42">
              <w:pPr>
                <w:pStyle w:val="Bibliography"/>
                <w:ind w:left="720" w:hanging="720"/>
                <w:rPr>
                  <w:noProof/>
                </w:rPr>
              </w:pPr>
              <w:r>
                <w:rPr>
                  <w:noProof/>
                </w:rPr>
                <w:t xml:space="preserve">Redfield and Wilton Strategies Research Team. (2021). </w:t>
              </w:r>
              <w:r>
                <w:rPr>
                  <w:i/>
                  <w:iCs/>
                  <w:noProof/>
                </w:rPr>
                <w:t>Universal Basic Income Supported by a Majority of British Public</w:t>
              </w:r>
              <w:r>
                <w:rPr>
                  <w:noProof/>
                </w:rPr>
                <w:t>. Retrieved April 15, 2024, from https://redfieldandwiltonstrategies.com/universal-basic-income-supported-by-a-majority-of-british-public/</w:t>
              </w:r>
            </w:p>
            <w:p w14:paraId="36B5F781" w14:textId="77777777" w:rsidR="00720E42" w:rsidRDefault="00720E42">
              <w:pPr>
                <w:pStyle w:val="Bibliography"/>
                <w:ind w:left="720" w:hanging="720"/>
                <w:rPr>
                  <w:noProof/>
                </w:rPr>
              </w:pPr>
              <w:r>
                <w:rPr>
                  <w:noProof/>
                </w:rPr>
                <w:t xml:space="preserve">Soares, F., Ribas , R., &amp; Osório, R. (2010). EVALUATING THE IMPACT OF BRAZIL'S BOLSA FAMÍLIA: Cash Transfer Programs in Comparative Perspective. </w:t>
              </w:r>
              <w:r>
                <w:rPr>
                  <w:i/>
                  <w:iCs/>
                  <w:noProof/>
                </w:rPr>
                <w:t>Latin American Research Review, 45</w:t>
              </w:r>
              <w:r>
                <w:rPr>
                  <w:noProof/>
                </w:rPr>
                <w:t>(2), 173-190. Retrieved from https://www.jstor.org/stable/27919200</w:t>
              </w:r>
            </w:p>
            <w:p w14:paraId="7DE4E4E7" w14:textId="77777777" w:rsidR="00720E42" w:rsidRDefault="00720E42">
              <w:pPr>
                <w:pStyle w:val="Bibliography"/>
                <w:ind w:left="720" w:hanging="720"/>
                <w:rPr>
                  <w:noProof/>
                </w:rPr>
              </w:pPr>
              <w:r>
                <w:rPr>
                  <w:noProof/>
                </w:rPr>
                <w:t xml:space="preserve">YouGov. (2022). </w:t>
              </w:r>
              <w:r>
                <w:rPr>
                  <w:i/>
                  <w:iCs/>
                  <w:noProof/>
                </w:rPr>
                <w:t>UBI in the UK.</w:t>
              </w:r>
              <w:r>
                <w:rPr>
                  <w:noProof/>
                </w:rPr>
                <w:t xml:space="preserve"> YouGov.</w:t>
              </w:r>
            </w:p>
            <w:p w14:paraId="24880EBD" w14:textId="203D3300" w:rsidR="00E20635" w:rsidRPr="00E20635" w:rsidRDefault="00E20635" w:rsidP="00E20635">
              <w:pPr>
                <w:spacing w:line="480" w:lineRule="auto"/>
                <w:rPr>
                  <w:rFonts w:ascii="Arial" w:hAnsi="Arial" w:cs="Arial"/>
                </w:rPr>
              </w:pPr>
              <w:r w:rsidRPr="00E20635">
                <w:rPr>
                  <w:rFonts w:ascii="Arial" w:hAnsi="Arial" w:cs="Arial"/>
                  <w:b/>
                  <w:bCs/>
                  <w:noProof/>
                </w:rPr>
                <w:fldChar w:fldCharType="end"/>
              </w:r>
            </w:p>
          </w:sdtContent>
        </w:sdt>
      </w:sdtContent>
    </w:sdt>
    <w:p w14:paraId="473AB81F" w14:textId="77777777" w:rsidR="00480C82" w:rsidRPr="00866D9D" w:rsidRDefault="00480C82" w:rsidP="00480C82">
      <w:pPr>
        <w:spacing w:line="480" w:lineRule="auto"/>
        <w:rPr>
          <w:rFonts w:ascii="Arial" w:hAnsi="Arial" w:cs="Arial"/>
        </w:rPr>
      </w:pPr>
    </w:p>
    <w:p w14:paraId="173E3D5F" w14:textId="77777777" w:rsidR="00480C82" w:rsidRDefault="00480C82" w:rsidP="00480C82">
      <w:pPr>
        <w:spacing w:line="480" w:lineRule="auto"/>
        <w:rPr>
          <w:rFonts w:ascii="Arial" w:hAnsi="Arial" w:cs="Arial"/>
        </w:rPr>
      </w:pPr>
    </w:p>
    <w:p w14:paraId="13DD7E65" w14:textId="77777777" w:rsidR="0016235D" w:rsidRDefault="0016235D" w:rsidP="00480C82">
      <w:pPr>
        <w:spacing w:line="480" w:lineRule="auto"/>
        <w:rPr>
          <w:rFonts w:ascii="Arial" w:hAnsi="Arial" w:cs="Arial"/>
        </w:rPr>
      </w:pPr>
    </w:p>
    <w:p w14:paraId="7DA7701C" w14:textId="541C8D88" w:rsidR="0016235D" w:rsidRPr="00E20635" w:rsidRDefault="0016235D" w:rsidP="0016235D">
      <w:pPr>
        <w:pStyle w:val="Header1"/>
        <w:rPr>
          <w:sz w:val="24"/>
          <w:szCs w:val="32"/>
        </w:rPr>
      </w:pPr>
      <w:r>
        <w:rPr>
          <w:rFonts w:cs="Arial"/>
          <w:noProof/>
        </w:rPr>
        <mc:AlternateContent>
          <mc:Choice Requires="wpg">
            <w:drawing>
              <wp:anchor distT="0" distB="0" distL="114300" distR="114300" simplePos="0" relativeHeight="251658240" behindDoc="0" locked="0" layoutInCell="1" allowOverlap="1" wp14:anchorId="5228DC5F" wp14:editId="7B9C80B7">
                <wp:simplePos x="0" y="0"/>
                <wp:positionH relativeFrom="margin">
                  <wp:align>center</wp:align>
                </wp:positionH>
                <wp:positionV relativeFrom="paragraph">
                  <wp:posOffset>461231</wp:posOffset>
                </wp:positionV>
                <wp:extent cx="5263515" cy="3474720"/>
                <wp:effectExtent l="0" t="0" r="13335" b="0"/>
                <wp:wrapTopAndBottom/>
                <wp:docPr id="27088932" name="Group 1"/>
                <wp:cNvGraphicFramePr/>
                <a:graphic xmlns:a="http://schemas.openxmlformats.org/drawingml/2006/main">
                  <a:graphicData uri="http://schemas.microsoft.com/office/word/2010/wordprocessingGroup">
                    <wpg:wgp>
                      <wpg:cNvGrpSpPr/>
                      <wpg:grpSpPr>
                        <a:xfrm>
                          <a:off x="0" y="0"/>
                          <a:ext cx="5263515" cy="3474720"/>
                          <a:chOff x="0" y="0"/>
                          <a:chExt cx="5263515" cy="2556676"/>
                        </a:xfrm>
                      </wpg:grpSpPr>
                      <wpg:graphicFrame>
                        <wpg:cNvPr id="636584505" name="Chart 636584505"/>
                        <wpg:cNvFrPr/>
                        <wpg:xfrm>
                          <a:off x="0" y="0"/>
                          <a:ext cx="5263515" cy="2325370"/>
                        </wpg:xfrm>
                        <a:graphic>
                          <a:graphicData uri="http://schemas.openxmlformats.org/drawingml/2006/chart">
                            <c:chart xmlns:c="http://schemas.openxmlformats.org/drawingml/2006/chart" xmlns:r="http://schemas.openxmlformats.org/officeDocument/2006/relationships" r:id="rId8"/>
                          </a:graphicData>
                        </a:graphic>
                      </wpg:graphicFrame>
                      <wps:wsp>
                        <wps:cNvPr id="479583088" name="Text Box 1"/>
                        <wps:cNvSpPr txBox="1"/>
                        <wps:spPr>
                          <a:xfrm>
                            <a:off x="0" y="2289976"/>
                            <a:ext cx="5263515" cy="266700"/>
                          </a:xfrm>
                          <a:prstGeom prst="rect">
                            <a:avLst/>
                          </a:prstGeom>
                          <a:solidFill>
                            <a:prstClr val="white"/>
                          </a:solidFill>
                          <a:ln>
                            <a:noFill/>
                          </a:ln>
                        </wps:spPr>
                        <wps:txbx>
                          <w:txbxContent>
                            <w:p w14:paraId="31BE3AF0" w14:textId="77777777" w:rsidR="0016235D" w:rsidRPr="00870C48" w:rsidRDefault="0016235D" w:rsidP="0016235D">
                              <w:pPr>
                                <w:pStyle w:val="Caption"/>
                                <w:jc w:val="center"/>
                                <w:rPr>
                                  <w:rFonts w:ascii="Arial" w:hAnsi="Arial" w:cs="Arial"/>
                                  <w:noProof/>
                                </w:rPr>
                              </w:pPr>
                              <w:r>
                                <w:t>Graph 1 - Cost of Living Crisis (data retrieved from The Office of National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228DC5F" id="Group 1" o:spid="_x0000_s1026" style="position:absolute;margin-left:0;margin-top:36.3pt;width:414.45pt;height:273.6pt;z-index:251658240;mso-position-horizontal:center;mso-position-horizontal-relative:margin;mso-height-relative:margin" coordsize="52635,2556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D5QusCAMAAEsHAAAOAAAAZHJzL2Uyb0RvYy54bWycVVFP2zAQfp+0/2D5faRNm7ZEpKgr&#10;K0JCgAQTz67jNJES2zu7Tdiv39lJ2kE7DXhxznf2+e677y4Xl01Vkp0AUyiZ0OHZgBIhuUoLuUno&#10;z6fVtxklxjKZslJJkdAXYejl/OuXi1rHIlS5KlMBBJ1IE9c6obm1Og4Cw3NRMXOmtJBozBRUzOIW&#10;NkEKrEbvVRmEg8EkqBWkGhQXxqD2qjXSufefZYLb+ywzwpIyoRib9Sv4de3WYH7B4g0wnRe8C4N9&#10;IoqKFRIf3bu6YpaRLRRHrqqCgzIqs2dcVYHKsoILnwNmMxy8yeYa1Fb7XDZxvdF7mBDaNzh92i2/&#10;212DftQPgEjUeoNY+J3Lpcmgcl+MkjQespc9ZKKxhKMyCiejaBhRwtE2Gk/H07ADleeI/NE9nv84&#10;dTOMoslkOnHlCPqHg1fhtBtfpxWwSrTRYvgPQIo0oZPRJJqNowGGItGc0GXOwJKDussPb6xgn+2H&#10;UwxHYTSa+hR9fL2DjkLvocD/Oc1d6Fh3Hnupqzs/qvp7PXUOkPZvaHPCQUvJK8W3lZC27TEQJbPY&#10;4CYvtKEEYgc43KTDrl5d8o70vn57MLoSvq4aNro5cNkcBfUhLj/mTAvfIiY+kGE8PY9mo8EMh09L&#10;hifH1++qIT7kWvvDjvXENqjGyeVScXqDyn+SPwxn5+ctTVl8sgVCpPGgpUfPYxZrMPZaqIo4AZHD&#10;qYQhs5jtbo1tKd8fcWqjyiJdFWXpNs6wLIHsGE6wOi+s6EB/daqU7qxU7lbr0GkQ/j4hJ9lm3fhe&#10;ifpk1yp9QQxAtXPRaL4q8L1bZuwDAxyEODJxuNt7XLJS1QlVnURJruD3Kb07jzVFKyU1DtaEml9b&#10;BoKS8kZitd0U7gXohXUvyG21VJjpEH8bmnsRL4AtezEDVT3jzF+4V9DEJMe3Emp7cWnb8Y7/DC4W&#10;C38IZ61m9lY+amyiocfe4frUPDPQXVUs1vNO9Xw6Kk57tkV5sbUqK3zlHK4tih3cyG0v+Yn9dzec&#10;7I7DP3D+BwAA//8DAFBLAwQUAAYACAAAACEArjqdgLcLAADGQAAAFQAAAGRycy9jaGFydHMvY2hh&#10;cnQxLnhtbOxcWW/byhV+L9D/wBIp0KIQJa5aEPlCpqI0qXNjxMl96NuIGsmsKZIhKS+5uP+9Z5Yz&#10;ImXPxM5SNIHykFDkrN858835OId5/svtNrOuaVWnRT61XWdgWzRPilWab6b2h/eL3si26obkK5IV&#10;OZ3ad7S2fzn585+eJ5PkklTNRUkSakEjeT1JpvZl05STfr9OLumW1E5R0hyerYtqSxr4WW36q4rc&#10;QOPbrO8NBlGfN2LLBsgXNLAlaY71q8fUL9brNKHzItltad6IUVQ0Iw0gUF+mZY2tJW5Uefda3KZJ&#10;VdTFunGSYtsXjeGkoDE37KtZnQBIK9JQdzwIrGuSTe2B3Wc3M5JvxA2a916eiptVsctXdBUXVQ7m&#10;aJXfJpNZ1tAqh6biIm9g1BKv7aMQ35Lqalf2YLglTHKZZmlzx6dtnzyHtuPLAvCw3tGPu7Si9dRO&#10;3GAPQfBUAAbD/qjvSbvCZN1gUjd3GRUTcgcem21f9cuHsCBZtiTJFcOmVVgV3T9nFQ/BYLW4G7EL&#10;smuK92mT0TnNaENXslsBcZkVzayihBXMyF2xa4Q50pzGzJnZ/Q3YoQQHFRWF61crUf+aVHdxkRUd&#10;88CQacVqpqvbltWSSVGtaNW509yycnVTvaNrdrU+Afcgf3l2+ix83mc/xdOYwPJh12UTg1M03Tk0&#10;FnTEXImVuD55R0lm3ZANtWDkN80la+gaEGa1+T/QnWwQ7mHfcCkHU57D4Mkky62bqe2NwmFoWwkp&#10;p3aVr6ALMqmLLF0t0izjP6rNMs7krBbzYOHPuT0PinFfZnZmDbN6dL2mSXNWM8DZMHivyYS5pgCv&#10;vtsuC2AitkpyYBreartAQrh5cAJ78GbPosmz2bPA+zyE/lD6wQGGr0ne89wucgw/gbQrkV7Qpa6I&#10;J4u8IZWuiC+LzEptkUC1cqdrJZRFXu9yXZFIFcl0RYY4lt1GV2Qki1zQUldkLIu8TRpdERe99Nfi&#10;WlsG8Z3TRFsGAeaW4pbe+3jLUgiywVRAbmLhGGzlIswGY7mI8xuitZaLQBvM5SLSr3dae7kI9Uxv&#10;MA+hNljMQ6gNJvMQaoPJPMTZYDIPceYm83WW9RBqg8m8PdTateMh1AaTeQi1wWQeQm0wmY9QG0zm&#10;I9QGk/kItcFkPkJtMJmPUBtM5iPOBpP5iDM3WdA1mdg8HtxJJDUDd7OVle+297Y3YOjTNkNDGbXJ&#10;ieAwLlb0ZOAMWKetO4eboI7BA2fUHW6LFOR6Dxy+yT7EG2iHwNFSC5ohdCJdR2iFob4jNMLIGeta&#10;QRuMnAMD7GeErj7UDxc9PdR3hI6uRUWRtwEWF90c0B13/mhhcvdo6232CLgVkQ91UCoaj/QoKBqP&#10;9HgrGg+dQWeOY/0k9wbQmlGxurYVxen6Eoh/pPcFxeiRo4VKMXrk6KkaHdzUF3p45GjjKUXnpr7Q&#10;xw2mU3RuWAeKzg3LSdH5SL9wFZ2PHLfrAlq4FLtrvVxxu2ECitsNxlPcHupZUHH7PQIDwt3TsfjB&#10;+RsuJaPX26JoLjtKht6yYJ7RPVxZuyqd2r/Hvj8axHHQC+fRi14wGMe90xe+13sx9ObeeOiHfhz/&#10;sVeW0VOVpRu0VGU02eXpxx19JRXe7wP5pzcez+JecBp4vXEUzHtzP5oNo/nCnS3cP6SqgDFzGYKz&#10;gKlKDXco5VwhGFpSTt7RSbn4K6RcfP6qS2VsXN9Nvc3ceL4IOCJH9caltEER4H5kiC6RHQ3BJZKj&#10;IbbE7d8QWiI1GiJL3H0MgSVu/4a4UgUAhrhSBQCGuFLt+Ef11l3f+5BO7fQGix3VGwp3reBW271h&#10;hant3rDE1HZvWGNqfzeYTO3whlWmdnjDKlM7vGGVqR3+G6u3mL1fi7+rehvoA1OMbwf68Bz1hKEV&#10;pG9XH+EhfXv6wBXp29O3gvSt1ZFI3r4+Xkfy9vUjQfI2KTN8SfEE0YJgh3qwFZeHehBchNsgFJ6g&#10;3rRSWWm3sR4ppd3Ghjkh4u7A0BBiPtaLScXipoYUjbuuvjel2aClz4s2KKRV8eo9nHFM6NpQSKtX&#10;lW4ztoQOPnKiRwolpeOeUAWNMdQbQ/F8ZFBF6PEmdYX8YiqDHv/41yCK9n3DFNAsWpso0j8oIXTc&#10;/m0dvpT7MUWd+21FHT9X7JzPyTs6UTf/ClH3z2JXw3FiN/D7vsJuPFvMuUyF47fO6d3xWA6AZ8ei&#10;+8AbF+5R2B0AcxR2Qm0YVIJ6gWtQCSokMKgEFREYVIIKCAwqQb3ENagEFQ4cj+W6lNyiBNzwDSb7&#10;GYTdnAm7+SOE3UsKGUmEn05/wdGcqz9RwOgLiujjV3l8Z2gGOdx1vG7IqX3zjmLP1DHGXq4+Ika1&#10;B0VCfP/M//2s/DMIUSVG9CeNGP26zlCLm3p55+rjS8XxnjMIOtBpkVP6z3M8fd9oEc9gWKUADXJa&#10;neB5ppmiGTzDTFGWGES1ysTwHb+Lhvb4Te0AvkGAoRD39QZVO4BvUHtIS74z0iKvtoADPbBnN7UB&#10;BI8+zFQ5GvC6Qd8zWiFwgs5aGOiHgkaBKvp2cT08Xlqpt4CQFdAdilZKK7EYOONuFe3o1TvC8OlH&#10;gqFhXaitJTT4vFKPxkJIYcZCaDc4POzO/ACsn0tSwung15wTrs6WWc0CxPqyuDmjG5qv/kXvOkek&#10;7MlvkJvJUxpl4i+7F5PmV7KV+bCt+xe0evD+Oa0SlvJ72M7pbrnM6EX6qd0UGGk/tPvHtuQWz0vd&#10;4SDyvFEQjMQJZ+tJ6LujMIwicTYImbLt9FjI9ZnxLNZWhYOm6oRAlQ1Dp6hSGDpPrRbj36b5G3Ir&#10;j2FbBVc8W7czR3J7Xsg06KUYI7zEWGwbax+DTG0ZmkCOerEDmM7S/IquII9dVNiS/xTV+zS5gpO9&#10;K9E45PzKZ2l++AzzTiE3FuqAhdUAcjgpfl+IiiJ3lUzygiXFQj4rJs9CmncI6fM8eXYN+eRwuS1h&#10;MHW+sS2SbSC/PmkqCGcOVDlPlqcqq7a5ZWERNLrbvikwf5mFF6x7fvvtei0mM8LbTOizlHvWCs+6&#10;/SLZ39yKXOBlsbo7r6yqaKZ2L5KkABCXySKt6uaM1M05qSBZ37XZpwPNW/hrnRWQP0yzDBLoU0ih&#10;Z/fhgL+oPtnWTcXyieuPO1JRQCJP4LbAQv6IG/jNbQbzq5sLli/OJ1uyGZdiVCu6fgejqj9NbaBo&#10;21qyHGgLEg/g751MGoZPFar0Cj5TyIsLfmVbkF/MPmyAjw2gCqkp82aRPf10M0SId9cMPt42m4F9&#10;YpBbzV1J1/DNxNT+xzbvZdwbIT+aHDygRJg7qQ8eJDV7AD0JPPilRAhIiNmFocS+MABz5L0PF7I4&#10;QAnkIEwM+fLwDUM9k/nqbmfFy4dUrj2WUP9vWknnZ7+E78klli2zGbi2uMfcGwYHlLHMwElriqnr&#10;wnnVurq4SktRg3OMuM/W6L0HefFmlzXp2XUGy1FU4esApqKYCIjxHiUdzKjFNN+IkjIxUc4wL6t0&#10;xdxKbAjSGCKhfhxC8PTDUgKgfH+CDfu6ghlZvC2t0uSSrdIOaYQiBPx/4gyXMeiRNDiJtkkD9gsy&#10;qdqUIT5IIpPm5ByMSxnXsHQpKMWLPlS+w6ycuZsTK6PXNLOsv/317wdNPMRTolPoRPCU8CpOWDyO&#10;gO0EPthpEQB+Q3KwD7PBqY0ZWjN+ffLgfnd03X3Y8bPsd8yPkLUeCCIh7fzxAeQ+SIRY9htGkF/v&#10;ucdI7efz3MNI7UBq8TCO1jOMs0RQwu+e0uaGUhmYLcUPHgrytF4RMD0oZZ7giLCuOp9Uch3M4z9+&#10;peST1G/F/4zF2Xo+qhWUJT+4WgEvy5RnMX/7La3f5pmMBqQOWaV1eQqq56qeSeGyIaVYDuylyxzk&#10;Q810Krx9aEUR0LT6chgXQ0c6K1UtKi03vDsILDqlfoZYn8XzbfnPo7jPiHEhRJ+uPuFtCvucPZvD&#10;189WBR9Ow9fGr1bi0IApzA8l+2y+a6d2HS5lueH4fz9w8l8AAAD//wMAUEsDBBQABgAIAAAAIQCi&#10;CAeR/AQAAIcmAAAVAAAAZHJzL2NoYXJ0cy9zdHlsZTEueG1s7FrhbuI4EH6VyA/QAD1aWpVK3VYr&#10;nURvq72V7rdJHPCuY+dss5Q+/Y2dxMQJadilsIW9f3gSOZ5vZr4Zz3ATqetojqX+W68YCZ5TxkGg&#10;xmiudXYdhiqakxSrs5RGUiiR6LNIpKFIEhqRMJZ4SfksHPT6g3C9Cyq2wY1dREY4fCIRMsVanQk5&#10;K/dIGezSuwhTTDkKaDxGg8Elur2B4+Fnqr5QzYhdMf6ZJPDC8xj1UGhFCWWsISRJQiLdECeCr4Up&#10;5ULCR/C1VZPcMxl8x2yM9HPfitkifRRxLrsY9nr2i/gaxJ+SJBefl+KwssvtTQgHL75lzxiT5POT&#10;DNTLGPXNPsE3Ijn8BqWNFuZ1X88IazITcnUH2h+z4ip7kgZhxoPlGF0NB0MURDgbo4RhDT/TDGyt&#10;+AwFmM0AkUgXFhGMxh/Bsluap1/awTfPqBTXzAPGqn5AigWPjR3MQXNz5AcHu1RMd7XZcg1b2Vi4&#10;kwQHqYghmDBjYvmXMOp8+k6kpDEBda1sQjkpZbm/H8zDC7+rumlpLQ+cWnBMZ33rsjUIT8LAbbHp&#10;DJoHM9Z4gqcEfBP842D2smFUYaTL0rd9lx+U4prLtzNSi1vHnppudW88d6EPp3v87a3ZeBs3Z7rF&#10;zS0hVcmjFh+bjuts4pvKWbBmKi+0fpyTwNJTEa8g30ihTZ4MVBZ9pFLpCVb6CUvIzH0UABNpQz0J&#10;EBEQL6MZCuZCvtRl5j1I5fAEBUtpuFv9u8CSoID9yYHdzi+Glxco0HbRHw1GIxTI6pNp9QnmEWyV&#10;E32QL+41rHMbq+xuoYEodUFOuR45I2/0QCN8EpRv54/mI4COMsWOy/YYvlgm4aKWsG/tXEL8JMFm&#10;czhak2JNjZA7rvnl6+1W5w9bxeUJ4lBo7pAwibWJRYf5LZfbd7yi0jIBgL5Pj8jz52A0vCwrJMlj&#10;W4W+loxbfAVft1Y0nvM4kBxsj1hCafp2wHUA/o7jzZSCrmbtIv0WOzS420O/gnUN/wleQYoN1Cqd&#10;CriPRFRGDPhW0RcyRkPDDVUK+IdKkkicHqG/Vy4EB3B3HyiD+Rc8Pe6LZVnKcHu7AMfw3Pbkrlq+&#10;zWKx5B/wBrbKA8Tj8LJbsBOHm9ruJ7P6prLwB3sKXlno2bmLnt6goeF9fDOvVawRS5G55HKwG9Ir&#10;pqlw+V6CwvWB/ArfWfi1Cr8rW1exhO6BkAf1eeM7vxBYh6APrMN7B2A9LOEWJA7IJB2oenRuotsJ&#10;Nobe+vAzaC4xKH0f8dd3pM6+o29P3T9TrTUBdRLTPm5WyvvKPR0es2+Iy66SH4ZXpXiHMGziOacT&#10;8VtlD9cI8tF1baMd0PWxJDgm8reC1iUKH1qXVnaAltXQJDPC48MSgq33Kz1hp5avrQOhpi3wW7X9&#10;3z3qYGsdMyb00c04DKOXB7eWKhfnD0c1q6nqUXS+FJGUqGOfF3a7YE3PfPk/pY2Ri/1akHs3t467&#10;Rg1NfUpz9z/M9HZq5yGV6buZjVjZFCtiKufijwUmwtbqawnUbp426d1K2icKLS3lN2lHbFUS9q96&#10;Q1DcDt136rFlMEB6wGqe//FBrdSD0MWYwh+aW+g8wBx872Bs6sJkTylyg66L7KA39h26VK1Tz607&#10;4cYn61XJLtczILOmd60Bhf/rLMjpJz1fzSWM4JtE9Isunq4zkRuqq1WRn91QxPofY7f/AQAA//8D&#10;AFBLAwQUAAYACAAAACEAHBSnqAIBAABuAwAAFgAAAGRycy9jaGFydHMvY29sb3JzMS54bWyck0Fu&#10;gzAQRa+CfAAMJKEVCtlkXXXRE4wGO1iyPZHtps3ta0ihhapI4N3M139/ZiQf0VdImtxbuGuRfBpt&#10;Y8PXrA3hWnHusRUGfGoUOvIkQ4pkOEmpUPDGwYeyF15kecGxBRd6CvvGwB8KXYWNEZKcgeBTcpeB&#10;YXSkZCU3oCxLjAhtzfCOWrBENTXLM3Y6QtVPI87aJTfQNQNEYUPO+L9asaDtFrT9gnZY0MpOiye9&#10;gVMQFNlZ2Q2q380LNY8Nyiy+zsN/m6aIued58PSoVykfqHi+7agV8ePI0/j9hvjDBs/T4JnG74b2&#10;ik1G1ArPOPI0fmzPUF35871OXwAAAP//AwBQSwMEFAAGAAgAAAAhAEv4IozeAAAABwEAAA8AAABk&#10;cnMvZG93bnJldi54bWxMj0FLw0AUhO+C/2F5gje7ScSYxryUUtRTEdoK4m2bfU1Cs29Ddpuk/971&#10;pMdhhplvitVsOjHS4FrLCPEiAkFcWd1yjfB5eHvIQDivWKvOMiFcycGqvL0pVK7txDsa974WoYRd&#10;rhAa7/tcSlc1ZJRb2J44eCc7GOWDHGqpBzWFctPJJIpSaVTLYaFRPW0aqs77i0F4n9S0foxfx+35&#10;tLl+H54+vrYxId7fzesXEJ5m/xeGX/yADmVgOtoLayc6hHDEIzwnKYjgZkm2BHFESONlBrIs5H/+&#10;8gcAAP//AwBQSwMEFAAGAAgAAAAhAKsWzUa5AAAAIgEAABkAAABkcnMvX3JlbHMvZTJvRG9jLnht&#10;bC5yZWxzhI/NCsIwEITvgu8Q9m7TehCRJr2I0KvUB1jS7Q+2SchGsW9v0IuC4HF2mG92yuoxT+JO&#10;gUdnFRRZDoKsce1oewWX5rTZg+CItsXJWVKwEEOl16vyTBPGFOJh9CwSxbKCIUZ/kJLNQDNy5jzZ&#10;5HQuzBiTDL30aK7Yk9zm+U6GTwboL6aoWwWhbgsQzeJT83+267rR0NGZ20w2/qiQZsAQExBDT1HB&#10;S/L7WmTpU5C6lF/L9BMAAP//AwBQSwMEFAAGAAgAAAAhAOW8vBkyAQAAYwIAACAAAABkcnMvY2hh&#10;cnRzL19yZWxzL2NoYXJ0MS54bWwucmVsc6ySTUsDMRCG74L/Ycm9m81aSpFue2gr9FAErXjJZczO&#10;fmg2s2RSbf+9KVKx0uLFYxLmed53yGS262zyjp5bcoVQaSYSdIbK1tWFeNrcDcYi4QCuBEsOC7FH&#10;FrPp9dXkAS2EOMRN23MSKY4L0YTQ30rJpsEOOKUeXXypyHcQ4tHXsgfzBjXKPMtG0v9kiOkJM1mV&#10;hfCr8kYkm30fzX+zqapagwsy2w5dOKOQZPH+5RVNiFDwNYZCVK3FGFlqzWFbQoBsrBvqUC/nemkw&#10;V2D0GtyzyvSCPpwlKFkz+hZ5oEbZMB+mO8tH3prKGHW5C+gdWCHPd8ovdOpa44mpCqmhTn7ViTWU&#10;Ot2UNA34MCdL/jHsLR7lhTCHO1ZpXPolt/oP9y8tH1J8W+XJ15h+AgAA//8DAFBLAQItABQABgAI&#10;AAAAIQDw/NyPOgEAACwDAAATAAAAAAAAAAAAAAAAAAAAAABbQ29udGVudF9UeXBlc10ueG1sUEsB&#10;Ai0AFAAGAAgAAAAhADj9If/WAAAAlAEAAAsAAAAAAAAAAAAAAAAAawEAAF9yZWxzLy5yZWxzUEsB&#10;Ai0AFAAGAAgAAAAhAEPlC6wIAwAASwcAAA4AAAAAAAAAAAAAAAAAagIAAGRycy9lMm9Eb2MueG1s&#10;UEsBAi0AFAAGAAgAAAAhAK46nYC3CwAAxkAAABUAAAAAAAAAAAAAAAAAngUAAGRycy9jaGFydHMv&#10;Y2hhcnQxLnhtbFBLAQItABQABgAIAAAAIQCiCAeR/AQAAIcmAAAVAAAAAAAAAAAAAAAAAIgRAABk&#10;cnMvY2hhcnRzL3N0eWxlMS54bWxQSwECLQAUAAYACAAAACEAHBSnqAIBAABuAwAAFgAAAAAAAAAA&#10;AAAAAAC3FgAAZHJzL2NoYXJ0cy9jb2xvcnMxLnhtbFBLAQItABQABgAIAAAAIQBL+CKM3gAAAAcB&#10;AAAPAAAAAAAAAAAAAAAAAO0XAABkcnMvZG93bnJldi54bWxQSwECLQAUAAYACAAAACEAqxbNRrkA&#10;AAAiAQAAGQAAAAAAAAAAAAAAAAD4GAAAZHJzL19yZWxzL2Uyb0RvYy54bWwucmVsc1BLAQItABQA&#10;BgAIAAAAIQDlvLwZMgEAAGMCAAAgAAAAAAAAAAAAAAAAAOgZAABkcnMvY2hhcnRzL19yZWxzL2No&#10;YXJ0MS54bWwucmVsc1BLBQYAAAAACQAJAFICAABY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636584505" o:spid="_x0000_s1027" type="#_x0000_t75" style="position:absolute;left:-60;top:-44;width:52729;height:233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9g5ygAAAOIAAAAPAAAAZHJzL2Rvd25yZXYueG1sRI/RasJA&#10;FETfC/2H5Qq+1Y2tCTa6iq1ICwqi9QOu2Ws2NXs3ZFdN/75bKPg4zMwZZjrvbC2u1PrKsYLhIAFB&#10;XDhdcang8LV6GoPwAVlj7ZgU/JCH+ezxYYq5djfe0XUfShEh7HNUYEJocil9YciiH7iGOHon11oM&#10;Ubal1C3eItzW8jlJMmmx4rhgsKF3Q8V5f7EKNq+n760+XtJ6/YHeL986ezQ7pfq9bjEBEagL9/B/&#10;+1MryF6ydDxKkxT+LsU7IGe/AAAA//8DAFBLAQItABQABgAIAAAAIQDb4fbL7gAAAIUBAAATAAAA&#10;AAAAAAAAAAAAAAAAAABbQ29udGVudF9UeXBlc10ueG1sUEsBAi0AFAAGAAgAAAAhAFr0LFu/AAAA&#10;FQEAAAsAAAAAAAAAAAAAAAAAHwEAAF9yZWxzLy5yZWxzUEsBAi0AFAAGAAgAAAAhAJsr2DnKAAAA&#10;4gAAAA8AAAAAAAAAAAAAAAAABwIAAGRycy9kb3ducmV2LnhtbFBLBQYAAAAAAwADALcAAAD+AgAA&#10;AAA=&#10;">
                  <v:imagedata r:id="rId9" o:title=""/>
                  <o:lock v:ext="edit" aspectratio="f"/>
                </v:shape>
                <v:shapetype id="_x0000_t202" coordsize="21600,21600" o:spt="202" path="m,l,21600r21600,l21600,xe">
                  <v:stroke joinstyle="miter"/>
                  <v:path gradientshapeok="t" o:connecttype="rect"/>
                </v:shapetype>
                <v:shape id="Text Box 1" o:spid="_x0000_s1028" type="#_x0000_t202" style="position:absolute;top:22899;width:526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uVvyAAAAOIAAAAPAAAAZHJzL2Rvd25yZXYueG1sRE/JbsIw&#10;EL1X4h+sqcSlAqdAIU0xqCyVeigHFnEexdMkIh5HtiHh7/GhUo9Pb58vO1OLGzlfWVbwOkxAEOdW&#10;V1woOB2/BikIH5A11pZJwZ08LBe9pzlm2ra8p9shFCKGsM9QQRlCk0np85IM+qFtiCP3a53BEKEr&#10;pHbYxnBTy1GSTKXBimNDiQ2tS8ovh6tRMN24a7vn9cvmtP3BXVOMzqv7Wan+c/f5ASJQF/7Ff+5v&#10;rWAye39Lx0kaN8dL8Q7IxQMAAP//AwBQSwECLQAUAAYACAAAACEA2+H2y+4AAACFAQAAEwAAAAAA&#10;AAAAAAAAAAAAAAAAW0NvbnRlbnRfVHlwZXNdLnhtbFBLAQItABQABgAIAAAAIQBa9CxbvwAAABUB&#10;AAALAAAAAAAAAAAAAAAAAB8BAABfcmVscy8ucmVsc1BLAQItABQABgAIAAAAIQDntuVvyAAAAOIA&#10;AAAPAAAAAAAAAAAAAAAAAAcCAABkcnMvZG93bnJldi54bWxQSwUGAAAAAAMAAwC3AAAA/AIAAAAA&#10;" stroked="f">
                  <v:textbox inset="0,0,0,0">
                    <w:txbxContent>
                      <w:p w14:paraId="31BE3AF0" w14:textId="77777777" w:rsidR="0016235D" w:rsidRPr="00870C48" w:rsidRDefault="0016235D" w:rsidP="0016235D">
                        <w:pPr>
                          <w:pStyle w:val="Caption"/>
                          <w:jc w:val="center"/>
                          <w:rPr>
                            <w:rFonts w:ascii="Arial" w:hAnsi="Arial" w:cs="Arial"/>
                            <w:noProof/>
                          </w:rPr>
                        </w:pPr>
                        <w:r>
                          <w:t>Graph 1 - Cost of Living Crisis (data retrieved from The Office of National Statistics)</w:t>
                        </w:r>
                      </w:p>
                    </w:txbxContent>
                  </v:textbox>
                </v:shape>
                <w10:wrap type="topAndBottom" anchorx="margin"/>
              </v:group>
            </w:pict>
          </mc:Fallback>
        </mc:AlternateContent>
      </w:r>
      <w:r w:rsidRPr="00E20635">
        <w:rPr>
          <w:sz w:val="24"/>
          <w:szCs w:val="32"/>
        </w:rPr>
        <w:t>APPENDIX</w:t>
      </w:r>
    </w:p>
    <w:p w14:paraId="1B84EF1D" w14:textId="4777A5B3" w:rsidR="0016235D" w:rsidRDefault="0016235D" w:rsidP="0016235D">
      <w:pPr>
        <w:spacing w:line="480" w:lineRule="auto"/>
        <w:rPr>
          <w:rFonts w:ascii="Arial" w:hAnsi="Arial" w:cs="Arial"/>
        </w:rPr>
      </w:pPr>
    </w:p>
    <w:p w14:paraId="55D5F8A3" w14:textId="742CC900" w:rsidR="0016235D" w:rsidRDefault="0016235D" w:rsidP="0016235D">
      <w:pPr>
        <w:spacing w:line="480" w:lineRule="auto"/>
        <w:rPr>
          <w:rFonts w:ascii="Arial" w:hAnsi="Arial" w:cs="Arial"/>
        </w:rPr>
      </w:pPr>
      <w:r>
        <w:rPr>
          <w:rFonts w:ascii="Arial" w:hAnsi="Arial" w:cs="Arial"/>
          <w:noProof/>
        </w:rPr>
        <mc:AlternateContent>
          <mc:Choice Requires="wpg">
            <w:drawing>
              <wp:anchor distT="0" distB="0" distL="114300" distR="114300" simplePos="0" relativeHeight="251658241" behindDoc="0" locked="0" layoutInCell="1" allowOverlap="1" wp14:anchorId="4B8C0342" wp14:editId="7527FDEE">
                <wp:simplePos x="0" y="0"/>
                <wp:positionH relativeFrom="margin">
                  <wp:align>center</wp:align>
                </wp:positionH>
                <wp:positionV relativeFrom="paragraph">
                  <wp:posOffset>491794</wp:posOffset>
                </wp:positionV>
                <wp:extent cx="3903980" cy="2965450"/>
                <wp:effectExtent l="0" t="0" r="1270" b="6350"/>
                <wp:wrapTopAndBottom/>
                <wp:docPr id="1821457229" name="Group 2"/>
                <wp:cNvGraphicFramePr/>
                <a:graphic xmlns:a="http://schemas.openxmlformats.org/drawingml/2006/main">
                  <a:graphicData uri="http://schemas.microsoft.com/office/word/2010/wordprocessingGroup">
                    <wpg:wgp>
                      <wpg:cNvGrpSpPr/>
                      <wpg:grpSpPr>
                        <a:xfrm>
                          <a:off x="0" y="0"/>
                          <a:ext cx="3903980" cy="2965450"/>
                          <a:chOff x="0" y="0"/>
                          <a:chExt cx="3068320" cy="2393315"/>
                        </a:xfrm>
                      </wpg:grpSpPr>
                      <wpg:graphicFrame>
                        <wpg:cNvPr id="1403747123" name="Chart 1403747123"/>
                        <wpg:cNvFrPr/>
                        <wpg:xfrm>
                          <a:off x="0" y="0"/>
                          <a:ext cx="3068320" cy="1931670"/>
                        </wpg:xfrm>
                        <a:graphic>
                          <a:graphicData uri="http://schemas.openxmlformats.org/drawingml/2006/chart">
                            <c:chart xmlns:c="http://schemas.openxmlformats.org/drawingml/2006/chart" xmlns:r="http://schemas.openxmlformats.org/officeDocument/2006/relationships" r:id="rId10"/>
                          </a:graphicData>
                        </a:graphic>
                      </wpg:graphicFrame>
                      <wps:wsp>
                        <wps:cNvPr id="1918724371" name="Text Box 1"/>
                        <wps:cNvSpPr txBox="1"/>
                        <wps:spPr>
                          <a:xfrm>
                            <a:off x="0" y="1987550"/>
                            <a:ext cx="3068320" cy="405765"/>
                          </a:xfrm>
                          <a:prstGeom prst="rect">
                            <a:avLst/>
                          </a:prstGeom>
                          <a:solidFill>
                            <a:prstClr val="white"/>
                          </a:solidFill>
                          <a:ln>
                            <a:noFill/>
                          </a:ln>
                        </wps:spPr>
                        <wps:txbx>
                          <w:txbxContent>
                            <w:p w14:paraId="69E7D370" w14:textId="77777777" w:rsidR="0016235D" w:rsidRPr="002F1715" w:rsidRDefault="0016235D" w:rsidP="0016235D">
                              <w:pPr>
                                <w:pStyle w:val="Caption"/>
                                <w:jc w:val="center"/>
                                <w:rPr>
                                  <w:rFonts w:ascii="Arial" w:hAnsi="Arial" w:cs="Arial"/>
                                  <w:noProof/>
                                </w:rPr>
                              </w:pPr>
                              <w:r>
                                <w:t>Graph 2 - Household expenditure on essential costs as a fraction of median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8C0342" id="Group 2" o:spid="_x0000_s1029" style="position:absolute;margin-left:0;margin-top:38.7pt;width:307.4pt;height:233.5pt;z-index:251658241;mso-position-horizontal:center;mso-position-horizontal-relative:margin;mso-width-relative:margin;mso-height-relative:margin" coordsize="30683,23933"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gHOZWDQMAAE4HAAAOAAAAZHJzL2Uyb0RvYy54bWycVd9P2zAQfp+0/8Hy+0jT9GdEirqy&#10;IiQESDDx7DpOEymxvbNLwv76nZ2ktJRpjJf0fLbPd9/33fX8oqlK8izAFEomNDwbUCIkV2khtwn9&#10;+bj+NqPEWCZTViopEvoiDL1YfP1yXutYDFWuylQAwSDSxLVOaG6tjoPA8FxUzJwpLSRuZgoqZnEJ&#10;2yAFVmP0qgyGg8EkqBWkGhQXxqD3st2kCx8/ywS3d1lmhCVlQjE367/gvxv3DRbnLN4C03nBuzTY&#10;J7KoWCHx0X2oS2YZ2UFxEqoqOCijMnvGVRWoLCu48DVgNeHgTTVXoHba17KN663ew4TQvsHp02H5&#10;7fMV6Ad9D4hErbeIhV+5WpoMKveLWZLGQ/ayh0w0lnB0RvNBNJ8hshz3hvPJeDTuQOU5In9yj+c/&#10;+puDySwa9jejeRSFY0dH0D8cHKXTLjxPa2CVaLPF9O+BFClKbzSIpqNpOIwokbif0FXOwJIDf1ch&#10;3lnDvt4PFXmYajiPwsnUF+kz7AN0IvqICP6tau5yR+Z57K2OeX7C+0cjdQFQ+G+E806AVpSXiu8q&#10;IW3bZSBKZrHFTV5oQwnEDnK4TsOOsa54J3vP4B6MjsRj3rDVzauazUlS/6Xmh5xp4ZvExAdymIez&#10;6XAUTcNeDo9Ost9VQ3zOtfannfCJbdCNCnK1OL9B51/1H85n03Gv8X0XHApkNBhPJ8dSZrEGY6+E&#10;qogzEDocTJgzi9nzjbGt6vsjzm1UWaTroizdwm2sSiDPDIdYnRdWdKgfnSqlOyuVu9UGdB7Evy/I&#10;WbbZNL5dRn2xG5W+IAag2tFoNF8X+N4NM/aeAc5C7FCc7/YOP1mp6oSqzqIkV/D7Pb87j6TiLiU1&#10;ztaEml87BoKS8loi3W4Q9wb0xqY35K5aKawUmcNsvIkXwJa9mYGqnnDsL90ruMUkx7cSantzZdsJ&#10;j38bXCyX/hCOW83sjXzQ2EWhx97h+tg8MdAdKxb5vFW9oE7Iac+2KC93VmWFZ87h2qLYwY3i9pYf&#10;2oft8G57vP4NLv4AAAD//wMAUEsDBBQABgAIAAAAIQA/CEkazgcAAOYZAAAVAAAAZHJzL2NoYXJ0&#10;cy9jaGFydDEueG1s7FlLc9s4Er5v1f4HDit72pJE8CVRFXlKpuzs1DqJK07msDeIhGSuQYABINvK&#10;1Pz3bTxIUbTlieewVTM1OSgk0GgA/fj6a/rtj4819e6JkBVnCx+NA98jrOBlxbYL/8vny9HM96TC&#10;rMSUM7Lw90T6P579/W9vi3lxi4W6aXBBPFDC5LxY+LdKNfPJRBa3pMZyzBvCYG7DRY0VvIrtpBT4&#10;AZTXdBIGQToxSnynAP8OBTWuWLtefM96vtlUBVnxYlcTpuwpBKFYgQXkbdXIVluBUhE+0VhXheCS&#10;b9S44PXEKmsvBcpQMuludQZGKrEiKAti7x7ThR/4Ez1IMdvaAcJG787toOA7VpIy54KBO3rydTFf&#10;UkUEA1U5ZwpO7exVf5fFayzuds0IjtvAJdcVrdTeXNs/ewu681sO9vA+ka+7ShC58AsUH0wQv9YA&#10;wXQym4TOr3BZFM+l2lNiL4SCUN920u1rjnCJKV3j4k7bpifciR7m9cKhMfQqE0b6Ae8U/1wpSlaE&#10;EkVKt601cUO5WgqCtSDFe75T1h0VI7kOZj2+BT80EKB2oQ19Udr191jsc075kXvgyETolVX52PNa&#10;MeeiJOJoRD1qOanEJ7LRT5szCA/8w5sPb5Lg7US/2+kcQ/7o50blEBXq+BLKg510LGmJ+7N/eHzj&#10;1aSsMPMqSN2aaFX3YGS93vwHOzqVMNZuD4/uPM01nB/PKfMeFn44S6aJ7xW4WfiClbAJnktOq/Ky&#10;otS86NwmOXVXw0UBAYmMVweSJqK1t7VuvZRsNqRQV1KbXZ/EbFzMdYBaE8p9veaARzpXGOCN0doX&#10;KK/WVOp7l8a9PcOAvm6ywMaVbFcPDP2vNwmav4HfrDM3CHXmtjiV85KcvSOQhZgaMYNeZnTokszF&#10;1cAlAAOxXnlwgnaFdRtybtNQcUomPMikp2Sig8z0lEx8kJmdkkkOMsYoz5057WRCE6fPyUwPMujU&#10;XrODTHgsA8Y6OMK+GNfBo3MmxIT2+1OfQvKAT+H3N30ajAObZq93aDhGKArDWZplSYKSkxbvvIvG&#10;KMySGEVRlGYonp20/8HX43iGUBy0vwMLHSLo4PkxiqMIoSQLwjhOwpP+6+IAjdNplqQByqIknZ6M&#10;vy4m4NpxmqIQ1M8yWHlyhy5CwnGgAQRwfgqboOnJW3TxEo7TLJ6FKQLDhhEKT2ZOFz3hOIzDGM3S&#10;UFfW2eAaL4SSiyFZc65uj5CZPGpY0gEGT95OVAv/lzyKZkGex6NklV6M4iDLR+cXUTi6mIarMJtG&#10;SZTnvx4qZfraSoniXpVM5ztWfd2Rn1zF+iVw/0bRMrgcxdnF5QhiLxzlq0sUxKsgiOLkV4ePcGYD&#10;qO0twASuJnWQqB+uuaMVysKWvOUPV2RLWPlvsj8yh575GTsgNtgOGmEsx+oDrl0td2RGj98Q8ez4&#10;NRG6OjzRfb5brym5qb71VcGpu+M+4yL82NoGJVEaZFEaGYIANf8wE6MwmKZREDvL0H5pByRZmgrc&#10;WzBQJQsMS7Y6ELio4OiGFtrz1xV7jx+d4p5gvxQ5m+DHztZra2vArctaeYcKs/BdiQF+zXdgpquK&#10;3ZESOLhdUOP/cvG5Ku7eQ3W0B2grIhTEip2eVLCo720GYfGZW6225OI547qcQxluyz6EVlv1N8CF&#10;gQDUDRxGsq3vYbqF3qBQAuB7UOIN0T+QAfWoARB07ur3vOVeCUSy3t0Mf9xs7GVm7TCwg06L4QpH&#10;bON7OYR6tCRmzcv9tfAEVwt/lLocAhM3xWUlpLrCUl1jAY0G8nXboz7Cz4ZyID6EUiD/FdB/PQ7J&#10;zMU333sQmgjJrzssCFiCFTBsbeFecgXvxmdwP6luNNc1l230jR21KsnmE5xKflv4GRjDW2v65gHI&#10;wO/OUR1os0R1By0W4zfmyfeAFemmDBolWIIl0dFsid/r3ZC29j52Q9QOv+wG3R4xT+0bsoF+b+H/&#10;s2YjamAEWB0eTBBs3V3IwUQh9QTsZO1hHp2FAIS0X7SVdHcE7mCjLzdOHEwJ4GBdDIQA+i+5dFwb&#10;HWW8myQO53Qz8B8iXOzrNxt7LsXomi4htO2YDm84HDQGawpBKknLum3wwvY2rW7uqsaucOjD+Psd&#10;VdXVPYWkszMm3OHEHeBA4XmCPIOD9wDlBeTRXNjdPDQYZ7DAnafdtqfqZWyi9sYGat6JqtTxZdh1&#10;CxO2JfhjYwP44ekFn4FjyLFjIHZY/n8EYo0YHTL/Vtf0F+L1utDnCs+fFfEGlMXAIZHLFq9sTpvR&#10;c6IeCHEAt7YvvZT/wqrjRYZWDEYhfTr0amGhi1GoJaax7wZeDlrQdfQJxnBPg7nmaciZOBRi+EzT&#10;w9T2m0EvTV55hLaM4HmfKejc/4shtFTgD84QIMpoF1k63n6u5EdGXRy52l9WsjkHpnEnl44sbHFj&#10;c6Ptovq9YJKeZxc5Wo2iWQK9IDT0oyxAl6PpbDULoNedTvOg3wuK6NXd4HQSRP2GUET64zFewUEh&#10;CT425vs0SiFd4Ls0zMH4B7yU5hI2RczVJm762aVgmmGvaBu7FXAXqbkwdDi9fAP57stqm/xH9Lxj&#10;7nbRemvPMKCnfwYaMQQO29C8TPgt2X09wwUf6c/9dAVO9AR8WIZPsT+V9ruPZrFfGoiMQevcX2Po&#10;snGc+fPM2f8AAAD//wMAUEsDBBQABgAIAAAAIQCiCAeR/AQAAIcmAAAVAAAAZHJzL2NoYXJ0cy9z&#10;dHlsZTEueG1s7FrhbuI4EH6VyA/QAD1aWpVK3VYrnURvq72V7rdJHPCuY+dss5Q+/Y2dxMQJadil&#10;sIW9f3gSOZ5vZr4Zz3ATqetojqX+W68YCZ5TxkGgxmiudXYdhiqakxSrs5RGUiiR6LNIpKFIEhqR&#10;MJZ4SfksHPT6g3C9Cyq2wY1dREY4fCIRMsVanQk5K/dIGezSuwhTTDkKaDxGg8Elur2B4+Fnqr5Q&#10;zYhdMf6ZJPDC8xj1UGhFCWWsISRJQiLdECeCr4Up5ULCR/C1VZPcMxl8x2yM9HPfitkifRRxLrsY&#10;9nr2i/gaxJ+SJBefl+KwssvtTQgHL75lzxiT5POTDNTLGPXNPsE3Ijn8BqWNFuZ1X88IazITcnUH&#10;2h+z4ip7kgZhxoPlGF0NB0MURDgbo4RhDT/TDGyt+AwFmM0AkUgXFhGMxh/Bsluap1/awTfPqBTX&#10;zAPGqn5AigWPjR3MQXNz5AcHu1RMd7XZcg1b2Vi4kwQHqYghmDBjYvmXMOp8+k6kpDEBda1sQjkp&#10;Zbm/H8zDC7+rumlpLQ+cWnBMZ33rsjUIT8LAbbHpDJoHM9Z4gqcEfBP842D2smFUYaTL0rd9lx+U&#10;4prLtzNSi1vHnppudW88d6EPp3v87a3ZeBs3Z7rFzS0hVcmjFh+bjuts4pvKWbBmKi+0fpyTwNJT&#10;Ea8g30ihTZ4MVBZ9pFLpCVb6CUvIzH0UABNpQz0JEBEQL6MZCuZCvtRl5j1I5fAEBUtpuFv9u8CS&#10;oID9yYHdzi+Glxco0HbRHw1GIxTI6pNp9QnmEWyVE32QL+41rHMbq+xuoYEodUFOuR45I2/0QCN8&#10;EpRv54/mI4COMsWOy/YYvlgm4aKWsG/tXEL8JMFmczhak2JNjZA7rvnl6+1W5w9bxeUJ4lBo7pAw&#10;ibWJRYf5LZfbd7yi0jIBgL5Pj8jz52A0vCwrJMljW4W+loxbfAVft1Y0nvM4kBxsj1hCafp2wHUA&#10;/o7jzZSCrmbtIv0WOzS420O/gnUN/wleQYoN1CqdCriPRFRGDPhW0RcyRkPDDVUK+IdKkkicHqG/&#10;Vy4EB3B3HyiD+Rc8Pe6LZVnKcHu7AMfw3Pbkrlq+zWKx5B/wBrbKA8Tj8LJbsBOHm9ruJ7P6prLw&#10;B3sKXlno2bmLnt6goeF9fDOvVawRS5G55HKwG9Irpqlw+V6CwvWB/ArfWfi1Cr8rW1exhO6BkAf1&#10;eeM7vxBYh6APrMN7B2A9LOEWJA7IJB2oenRuotsJNobe+vAzaC4xKH0f8dd3pM6+o29P3T9TrTUB&#10;dRLTPm5WyvvKPR0es2+Iy66SH4ZXpXiHMGziOacT8VtlD9cI8tF1baMd0PWxJDgm8reC1iUKH1qX&#10;VnaAltXQJDPC48MSgq33Kz1hp5avrQOhpi3wW7X93z3qYGsdMyb00c04DKOXB7eWKhfnD0c1q6nq&#10;UXS+FJGUqGOfF3a7YE3PfPk/pY2Ri/1akHs3t467Rg1NfUpz9z/M9HZq5yGV6buZjVjZFCtiKufi&#10;jwUmwtbqawnUbp426d1K2icKLS3lN2lHbFUS9q96Q1DcDt136rFlMEB6wGqe//FBrdSD0MWYwh+a&#10;W+g8wBx872Bs6sJkTylyg66L7KA39h26VK1Tz6074cYn61XJLtczILOmd60Bhf/rLMjpJz1fzSWM&#10;4JtE9Isunq4zkRuqq1WRn91QxPofY7f/AQAA//8DAFBLAwQUAAYACAAAACEAHBSnqAIBAABuAwAA&#10;FgAAAGRycy9jaGFydHMvY29sb3JzMS54bWyck0FugzAQRa+CfAAMJKEVCtlkXXXRE4wGO1iyPZHt&#10;ps3ta0ihhapI4N3M139/ZiQf0VdImtxbuGuRfBptY8PXrA3hWnHusRUGfGoUOvIkQ4pkOEmpUPDG&#10;wYeyF15kecGxBRd6CvvGwB8KXYWNEZKcgeBTcpeBYXSkZCU3oCxLjAhtzfCOWrBENTXLM3Y6QtVP&#10;I87aJTfQNQNEYUPO+L9asaDtFrT9gnZY0MpOiye9gVMQFNlZ2Q2q380LNY8Nyiy+zsN/m6aIued5&#10;8PSoVykfqHi+7agV8ePI0/j9hvjDBs/T4JnG74b2ik1G1ArPOPI0fmzPUF35871OXwAAAP//AwBQ&#10;SwMEFAAGAAgAAAAhACqngY/eAAAABwEAAA8AAABkcnMvZG93bnJldi54bWxMj0FLw0AUhO+C/2F5&#10;gje7iW5bidmUUtRTEWwF8faafU1Cs29Ddpuk/971ZI/DDDPf5KvJtmKg3jeONaSzBARx6UzDlYav&#10;/dvDMwgfkA22jknDhTysitubHDPjRv6kYRcqEUvYZ6ihDqHLpPRlTRb9zHXE0Tu63mKIsq+k6XGM&#10;5baVj0mykBYbjgs1drSpqTztzlbD+4jj+il9Hban4+bys59/fG9T0vr+blq/gAg0hf8w/OFHdCgi&#10;08Gd2XjRaohHgoblUoGI7iJV8chBw1wpBbLI5TV/8QsAAP//AwBQSwMEFAAGAAgAAAAhAKsWzUa5&#10;AAAAIgEAABkAAABkcnMvX3JlbHMvZTJvRG9jLnhtbC5yZWxzhI/NCsIwEITvgu8Q9m7TehCRJr2I&#10;0KvUB1jS7Q+2SchGsW9v0IuC4HF2mG92yuoxT+JOgUdnFRRZDoKsce1oewWX5rTZg+CItsXJWVKw&#10;EEOl16vyTBPGFOJh9CwSxbKCIUZ/kJLNQDNy5jzZ5HQuzBiTDL30aK7Yk9zm+U6GTwboL6aoWwWh&#10;bgsQzeJT83+267rR0NGZ20w2/qiQZsAQExBDT1HBS/L7WmTpU5C6lF/L9BMAAP//AwBQSwMEFAAG&#10;AAgAAAAhAOW8vBkyAQAAYwIAACAAAABkcnMvY2hhcnRzL19yZWxzL2NoYXJ0MS54bWwucmVsc6yS&#10;TUsDMRCG74L/Ycm9m81aSpFue2gr9FAErXjJZczOfmg2s2RSbf+9KVKx0uLFYxLmed53yGS262zy&#10;jp5bcoVQaSYSdIbK1tWFeNrcDcYi4QCuBEsOC7FHFrPp9dXkAS2EOMRN23MSKY4L0YTQ30rJpsEO&#10;OKUeXXypyHcQ4tHXsgfzBjXKPMtG0v9kiOkJM1mVhfCr8kYkm30fzX+zqapagwsy2w5dOKOQZPH+&#10;5RVNiFDwNYZCVK3FGFlqzWFbQoBsrBvqUC/nemkwV2D0GtyzyvSCPpwlKFkz+hZ5oEbZMB+mO8tH&#10;3prKGHW5C+gdWCHPd8ovdOpa44mpCqmhTn7ViTWUOt2UNA34MCdL/jHsLR7lhTCHO1ZpXPolt/oP&#10;9y8tH1J8W+XJ15h+AgAA//8DAFBLAQItABQABgAIAAAAIQDw/NyPOgEAACwDAAATAAAAAAAAAAAA&#10;AAAAAAAAAABbQ29udGVudF9UeXBlc10ueG1sUEsBAi0AFAAGAAgAAAAhADj9If/WAAAAlAEAAAsA&#10;AAAAAAAAAAAAAAAAawEAAF9yZWxzLy5yZWxzUEsBAi0AFAAGAAgAAAAhAGAc5lYNAwAATgcAAA4A&#10;AAAAAAAAAAAAAAAAagIAAGRycy9lMm9Eb2MueG1sUEsBAi0AFAAGAAgAAAAhAD8ISRrOBwAA5hkA&#10;ABUAAAAAAAAAAAAAAAAAowUAAGRycy9jaGFydHMvY2hhcnQxLnhtbFBLAQItABQABgAIAAAAIQCi&#10;CAeR/AQAAIcmAAAVAAAAAAAAAAAAAAAAAKQNAABkcnMvY2hhcnRzL3N0eWxlMS54bWxQSwECLQAU&#10;AAYACAAAACEAHBSnqAIBAABuAwAAFgAAAAAAAAAAAAAAAADTEgAAZHJzL2NoYXJ0cy9jb2xvcnMx&#10;LnhtbFBLAQItABQABgAIAAAAIQAqp4GP3gAAAAcBAAAPAAAAAAAAAAAAAAAAAAkUAABkcnMvZG93&#10;bnJldi54bWxQSwECLQAUAAYACAAAACEAqxbNRrkAAAAiAQAAGQAAAAAAAAAAAAAAAAAUFQAAZHJz&#10;L19yZWxzL2Uyb0RvYy54bWwucmVsc1BLAQItABQABgAIAAAAIQDlvLwZMgEAAGMCAAAgAAAAAAAA&#10;AAAAAAAAAAQWAABkcnMvY2hhcnRzL19yZWxzL2NoYXJ0MS54bWwucmVsc1BLBQYAAAAACQAJAFIC&#10;AAB0FwAAAAA=&#10;">
                <v:shape id="Chart 1403747123" o:spid="_x0000_s1030" type="#_x0000_t75" style="position:absolute;left:-47;top:-49;width:30758;height:194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E/nyQAAAOMAAAAPAAAAZHJzL2Rvd25yZXYueG1sRE9fT8Iw&#10;EH834Ts0R+KbtDAiMimEGDT6hsyM8Has57a4Xpe1g/ntrYmJj/f7f6vNYBtxoc7XjjVMJwoEceFM&#10;zaWGj+z57gGED8gGG8ek4Zs8bNajmxWmxl35nS6HUIoYwj5FDVUIbSqlLyqy6CeuJY7cp+sshnh2&#10;pTQdXmO4beRMqXtpsebYUGFLTxUVX4feasiPL8tTvk/yvs7ftj2q3TnLdlrfjoftI4hAQ/gX/7lf&#10;TZw/V8livpjOEvj9KQIg1z8AAAD//wMAUEsBAi0AFAAGAAgAAAAhANvh9svuAAAAhQEAABMAAAAA&#10;AAAAAAAAAAAAAAAAAFtDb250ZW50X1R5cGVzXS54bWxQSwECLQAUAAYACAAAACEAWvQsW78AAAAV&#10;AQAACwAAAAAAAAAAAAAAAAAfAQAAX3JlbHMvLnJlbHNQSwECLQAUAAYACAAAACEA45RP58kAAADj&#10;AAAADwAAAAAAAAAAAAAAAAAHAgAAZHJzL2Rvd25yZXYueG1sUEsFBgAAAAADAAMAtwAAAP0CAAAA&#10;AA==&#10;">
                  <v:imagedata r:id="rId11" o:title=""/>
                  <o:lock v:ext="edit" aspectratio="f"/>
                </v:shape>
                <v:shape id="Text Box 1" o:spid="_x0000_s1031" type="#_x0000_t202" style="position:absolute;top:19875;width:30683;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ZDDyQAAAOMAAAAPAAAAZHJzL2Rvd25yZXYueG1sRE9La8JA&#10;EL4L/Q/LFHoR3SQtPqKrtNqCh/bgA89DdpqEZmfD7mriv+8WCh7ne89y3ZtGXMn52rKCdJyAIC6s&#10;rrlUcDp+jGYgfEDW2FgmBTfysF49DJaYa9vxnq6HUIoYwj5HBVUIbS6lLyoy6Me2JY7ct3UGQzxd&#10;KbXDLoabRmZJMpEGa44NFba0qaj4OVyMgsnWXbo9b4bb0/snfrVldn67nZV6euxfFyAC9eEu/nfv&#10;dJw/T2fT7OV5msLfTxEAufoFAAD//wMAUEsBAi0AFAAGAAgAAAAhANvh9svuAAAAhQEAABMAAAAA&#10;AAAAAAAAAAAAAAAAAFtDb250ZW50X1R5cGVzXS54bWxQSwECLQAUAAYACAAAACEAWvQsW78AAAAV&#10;AQAACwAAAAAAAAAAAAAAAAAfAQAAX3JlbHMvLnJlbHNQSwECLQAUAAYACAAAACEAYnGQw8kAAADj&#10;AAAADwAAAAAAAAAAAAAAAAAHAgAAZHJzL2Rvd25yZXYueG1sUEsFBgAAAAADAAMAtwAAAP0CAAAA&#10;AA==&#10;" stroked="f">
                  <v:textbox inset="0,0,0,0">
                    <w:txbxContent>
                      <w:p w14:paraId="69E7D370" w14:textId="77777777" w:rsidR="0016235D" w:rsidRPr="002F1715" w:rsidRDefault="0016235D" w:rsidP="0016235D">
                        <w:pPr>
                          <w:pStyle w:val="Caption"/>
                          <w:jc w:val="center"/>
                          <w:rPr>
                            <w:rFonts w:ascii="Arial" w:hAnsi="Arial" w:cs="Arial"/>
                            <w:noProof/>
                          </w:rPr>
                        </w:pPr>
                        <w:r>
                          <w:t>Graph 2 - Household expenditure on essential costs as a fraction of median income</w:t>
                        </w:r>
                      </w:p>
                    </w:txbxContent>
                  </v:textbox>
                </v:shape>
                <w10:wrap type="topAndBottom" anchorx="margin"/>
              </v:group>
            </w:pict>
          </mc:Fallback>
        </mc:AlternateContent>
      </w:r>
    </w:p>
    <w:p w14:paraId="0CB05B89" w14:textId="54E87066" w:rsidR="0016235D" w:rsidRDefault="0016235D" w:rsidP="0016235D">
      <w:pPr>
        <w:spacing w:line="480" w:lineRule="auto"/>
        <w:rPr>
          <w:rFonts w:ascii="Arial" w:hAnsi="Arial" w:cs="Arial"/>
        </w:rPr>
      </w:pPr>
    </w:p>
    <w:bookmarkEnd w:id="0"/>
    <w:p w14:paraId="65850E16" w14:textId="77777777" w:rsidR="00480C82" w:rsidRPr="00866D9D" w:rsidRDefault="00480C82" w:rsidP="00480C82">
      <w:pPr>
        <w:spacing w:line="480" w:lineRule="auto"/>
        <w:rPr>
          <w:rFonts w:ascii="Arial" w:hAnsi="Arial" w:cs="Arial"/>
        </w:rPr>
      </w:pPr>
    </w:p>
    <w:sectPr w:rsidR="00480C82" w:rsidRPr="00866D9D" w:rsidSect="00561C5A">
      <w:type w:val="continuous"/>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7C178" w14:textId="77777777" w:rsidR="00506F52" w:rsidRDefault="00506F52" w:rsidP="00506F52">
      <w:pPr>
        <w:spacing w:after="0" w:line="240" w:lineRule="auto"/>
      </w:pPr>
      <w:r>
        <w:separator/>
      </w:r>
    </w:p>
  </w:endnote>
  <w:endnote w:type="continuationSeparator" w:id="0">
    <w:p w14:paraId="09EAACBE" w14:textId="77777777" w:rsidR="00506F52" w:rsidRDefault="00506F52" w:rsidP="00506F52">
      <w:pPr>
        <w:spacing w:after="0" w:line="240" w:lineRule="auto"/>
      </w:pPr>
      <w:r>
        <w:continuationSeparator/>
      </w:r>
    </w:p>
  </w:endnote>
  <w:endnote w:type="continuationNotice" w:id="1">
    <w:p w14:paraId="329D9198" w14:textId="77777777" w:rsidR="00154163" w:rsidRDefault="001541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C4277" w14:textId="77777777" w:rsidR="00506F52" w:rsidRDefault="00506F52" w:rsidP="00506F52">
      <w:pPr>
        <w:spacing w:after="0" w:line="240" w:lineRule="auto"/>
      </w:pPr>
      <w:r>
        <w:separator/>
      </w:r>
    </w:p>
  </w:footnote>
  <w:footnote w:type="continuationSeparator" w:id="0">
    <w:p w14:paraId="32C1A3C8" w14:textId="77777777" w:rsidR="00506F52" w:rsidRDefault="00506F52" w:rsidP="00506F52">
      <w:pPr>
        <w:spacing w:after="0" w:line="240" w:lineRule="auto"/>
      </w:pPr>
      <w:r>
        <w:continuationSeparator/>
      </w:r>
    </w:p>
  </w:footnote>
  <w:footnote w:type="continuationNotice" w:id="1">
    <w:p w14:paraId="69C63461" w14:textId="77777777" w:rsidR="00154163" w:rsidRDefault="001541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539C9"/>
    <w:multiLevelType w:val="hybridMultilevel"/>
    <w:tmpl w:val="3A1C8C54"/>
    <w:lvl w:ilvl="0" w:tplc="E01C24F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B578B3"/>
    <w:multiLevelType w:val="hybridMultilevel"/>
    <w:tmpl w:val="BC208E68"/>
    <w:lvl w:ilvl="0" w:tplc="6988DF2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414B26"/>
    <w:multiLevelType w:val="hybridMultilevel"/>
    <w:tmpl w:val="5A7E1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00985">
    <w:abstractNumId w:val="2"/>
  </w:num>
  <w:num w:numId="2" w16cid:durableId="506141613">
    <w:abstractNumId w:val="0"/>
  </w:num>
  <w:num w:numId="3" w16cid:durableId="236013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DB"/>
    <w:rsid w:val="0000066E"/>
    <w:rsid w:val="00007CC1"/>
    <w:rsid w:val="0001307A"/>
    <w:rsid w:val="0002182B"/>
    <w:rsid w:val="00023C28"/>
    <w:rsid w:val="00033018"/>
    <w:rsid w:val="00057773"/>
    <w:rsid w:val="000602CB"/>
    <w:rsid w:val="00062BB7"/>
    <w:rsid w:val="00064FC1"/>
    <w:rsid w:val="000876AB"/>
    <w:rsid w:val="00093415"/>
    <w:rsid w:val="00097BBE"/>
    <w:rsid w:val="000B39E9"/>
    <w:rsid w:val="000B41B0"/>
    <w:rsid w:val="000D05CA"/>
    <w:rsid w:val="000D545C"/>
    <w:rsid w:val="000D568E"/>
    <w:rsid w:val="000E229D"/>
    <w:rsid w:val="000E641E"/>
    <w:rsid w:val="000E7940"/>
    <w:rsid w:val="00103B1F"/>
    <w:rsid w:val="001139E0"/>
    <w:rsid w:val="00117C6D"/>
    <w:rsid w:val="00123910"/>
    <w:rsid w:val="00125367"/>
    <w:rsid w:val="001329F8"/>
    <w:rsid w:val="0015077E"/>
    <w:rsid w:val="00150B44"/>
    <w:rsid w:val="00152B4F"/>
    <w:rsid w:val="00154163"/>
    <w:rsid w:val="00154C72"/>
    <w:rsid w:val="0016235D"/>
    <w:rsid w:val="00182247"/>
    <w:rsid w:val="001837BA"/>
    <w:rsid w:val="00192B36"/>
    <w:rsid w:val="001A6820"/>
    <w:rsid w:val="001B3478"/>
    <w:rsid w:val="001D0E4F"/>
    <w:rsid w:val="001D273E"/>
    <w:rsid w:val="001D63EB"/>
    <w:rsid w:val="001E3111"/>
    <w:rsid w:val="001F21D3"/>
    <w:rsid w:val="00204408"/>
    <w:rsid w:val="002156F2"/>
    <w:rsid w:val="00225F0F"/>
    <w:rsid w:val="0022607B"/>
    <w:rsid w:val="00233741"/>
    <w:rsid w:val="002371F6"/>
    <w:rsid w:val="0023793D"/>
    <w:rsid w:val="00242D9C"/>
    <w:rsid w:val="002461C4"/>
    <w:rsid w:val="00267BAB"/>
    <w:rsid w:val="00273AE7"/>
    <w:rsid w:val="00276268"/>
    <w:rsid w:val="00285E2F"/>
    <w:rsid w:val="00286E93"/>
    <w:rsid w:val="002A4FE7"/>
    <w:rsid w:val="002A623B"/>
    <w:rsid w:val="002E226F"/>
    <w:rsid w:val="002F05CA"/>
    <w:rsid w:val="002F38CE"/>
    <w:rsid w:val="002F4595"/>
    <w:rsid w:val="003014D4"/>
    <w:rsid w:val="00304B2F"/>
    <w:rsid w:val="00306B71"/>
    <w:rsid w:val="00331746"/>
    <w:rsid w:val="00340DAF"/>
    <w:rsid w:val="00350312"/>
    <w:rsid w:val="003518FA"/>
    <w:rsid w:val="00352582"/>
    <w:rsid w:val="00363809"/>
    <w:rsid w:val="00375CE2"/>
    <w:rsid w:val="00376840"/>
    <w:rsid w:val="00384946"/>
    <w:rsid w:val="003A2021"/>
    <w:rsid w:val="003B605F"/>
    <w:rsid w:val="003B69F3"/>
    <w:rsid w:val="003E3313"/>
    <w:rsid w:val="00401392"/>
    <w:rsid w:val="004071F7"/>
    <w:rsid w:val="00410AC4"/>
    <w:rsid w:val="00410B17"/>
    <w:rsid w:val="00426366"/>
    <w:rsid w:val="004318DE"/>
    <w:rsid w:val="00431BF3"/>
    <w:rsid w:val="00431E0B"/>
    <w:rsid w:val="00437B1F"/>
    <w:rsid w:val="00440292"/>
    <w:rsid w:val="00444EFE"/>
    <w:rsid w:val="00445632"/>
    <w:rsid w:val="00451911"/>
    <w:rsid w:val="004529F0"/>
    <w:rsid w:val="00454AA8"/>
    <w:rsid w:val="00473E28"/>
    <w:rsid w:val="00477DBF"/>
    <w:rsid w:val="00480C82"/>
    <w:rsid w:val="0049397A"/>
    <w:rsid w:val="004A0FA1"/>
    <w:rsid w:val="004B0235"/>
    <w:rsid w:val="004B5A3D"/>
    <w:rsid w:val="004C1704"/>
    <w:rsid w:val="004C22C5"/>
    <w:rsid w:val="004C2D35"/>
    <w:rsid w:val="004D5E78"/>
    <w:rsid w:val="004E794D"/>
    <w:rsid w:val="00506F52"/>
    <w:rsid w:val="00506FF8"/>
    <w:rsid w:val="00530191"/>
    <w:rsid w:val="00531AD0"/>
    <w:rsid w:val="00531AEE"/>
    <w:rsid w:val="005411ED"/>
    <w:rsid w:val="00542110"/>
    <w:rsid w:val="00554FCF"/>
    <w:rsid w:val="00561C5A"/>
    <w:rsid w:val="00565A58"/>
    <w:rsid w:val="00571B55"/>
    <w:rsid w:val="00580198"/>
    <w:rsid w:val="00580654"/>
    <w:rsid w:val="00586DFA"/>
    <w:rsid w:val="00595BC6"/>
    <w:rsid w:val="005B1AB6"/>
    <w:rsid w:val="005D6DEC"/>
    <w:rsid w:val="005F4B4F"/>
    <w:rsid w:val="00605CC0"/>
    <w:rsid w:val="006067BF"/>
    <w:rsid w:val="006073AD"/>
    <w:rsid w:val="006143A7"/>
    <w:rsid w:val="0062223F"/>
    <w:rsid w:val="0062736D"/>
    <w:rsid w:val="00627DC7"/>
    <w:rsid w:val="00640E68"/>
    <w:rsid w:val="00641AFE"/>
    <w:rsid w:val="00656077"/>
    <w:rsid w:val="00664254"/>
    <w:rsid w:val="00677D41"/>
    <w:rsid w:val="006808FF"/>
    <w:rsid w:val="00691600"/>
    <w:rsid w:val="006B3078"/>
    <w:rsid w:val="006B4249"/>
    <w:rsid w:val="006D63DD"/>
    <w:rsid w:val="006F1DE2"/>
    <w:rsid w:val="00702A44"/>
    <w:rsid w:val="0070464B"/>
    <w:rsid w:val="00704B3C"/>
    <w:rsid w:val="00720E42"/>
    <w:rsid w:val="007230F1"/>
    <w:rsid w:val="00731FF9"/>
    <w:rsid w:val="00735022"/>
    <w:rsid w:val="007425CC"/>
    <w:rsid w:val="007504FA"/>
    <w:rsid w:val="00761E66"/>
    <w:rsid w:val="00764B45"/>
    <w:rsid w:val="00765FB5"/>
    <w:rsid w:val="00775D47"/>
    <w:rsid w:val="00776476"/>
    <w:rsid w:val="007803E9"/>
    <w:rsid w:val="007820D6"/>
    <w:rsid w:val="007A232B"/>
    <w:rsid w:val="007A3165"/>
    <w:rsid w:val="007A6FD9"/>
    <w:rsid w:val="007B79B4"/>
    <w:rsid w:val="007C590D"/>
    <w:rsid w:val="007D0CA9"/>
    <w:rsid w:val="007D3163"/>
    <w:rsid w:val="007D5CC5"/>
    <w:rsid w:val="007D7BC0"/>
    <w:rsid w:val="007E2E70"/>
    <w:rsid w:val="007F437A"/>
    <w:rsid w:val="00805628"/>
    <w:rsid w:val="0080788D"/>
    <w:rsid w:val="0081414C"/>
    <w:rsid w:val="00815496"/>
    <w:rsid w:val="00833393"/>
    <w:rsid w:val="00843C4A"/>
    <w:rsid w:val="008500DD"/>
    <w:rsid w:val="00861A88"/>
    <w:rsid w:val="00866D9D"/>
    <w:rsid w:val="00870E47"/>
    <w:rsid w:val="008B0157"/>
    <w:rsid w:val="008B225F"/>
    <w:rsid w:val="008B4F14"/>
    <w:rsid w:val="008B7ABA"/>
    <w:rsid w:val="008D29B7"/>
    <w:rsid w:val="008D2E68"/>
    <w:rsid w:val="008D3BD7"/>
    <w:rsid w:val="008D71E1"/>
    <w:rsid w:val="008D7A30"/>
    <w:rsid w:val="008D7B51"/>
    <w:rsid w:val="008F2E76"/>
    <w:rsid w:val="008F3390"/>
    <w:rsid w:val="00903584"/>
    <w:rsid w:val="009065C7"/>
    <w:rsid w:val="00920330"/>
    <w:rsid w:val="009231CA"/>
    <w:rsid w:val="00924DCC"/>
    <w:rsid w:val="00925193"/>
    <w:rsid w:val="00937119"/>
    <w:rsid w:val="00941002"/>
    <w:rsid w:val="00950919"/>
    <w:rsid w:val="0096133C"/>
    <w:rsid w:val="00965134"/>
    <w:rsid w:val="009660F2"/>
    <w:rsid w:val="009A561D"/>
    <w:rsid w:val="009B04F1"/>
    <w:rsid w:val="009B07EA"/>
    <w:rsid w:val="009B3228"/>
    <w:rsid w:val="009D151D"/>
    <w:rsid w:val="009F30D9"/>
    <w:rsid w:val="009F5B30"/>
    <w:rsid w:val="009F6E42"/>
    <w:rsid w:val="00A11AFE"/>
    <w:rsid w:val="00A20417"/>
    <w:rsid w:val="00A25FEA"/>
    <w:rsid w:val="00A260C6"/>
    <w:rsid w:val="00A26F75"/>
    <w:rsid w:val="00A36295"/>
    <w:rsid w:val="00A45856"/>
    <w:rsid w:val="00A537EA"/>
    <w:rsid w:val="00A55F04"/>
    <w:rsid w:val="00A61C96"/>
    <w:rsid w:val="00A650C9"/>
    <w:rsid w:val="00A8028E"/>
    <w:rsid w:val="00AB07EE"/>
    <w:rsid w:val="00AD6A56"/>
    <w:rsid w:val="00AE0FAA"/>
    <w:rsid w:val="00AE2507"/>
    <w:rsid w:val="00AF0F6A"/>
    <w:rsid w:val="00AF7D4D"/>
    <w:rsid w:val="00B14782"/>
    <w:rsid w:val="00B15242"/>
    <w:rsid w:val="00B251AB"/>
    <w:rsid w:val="00B257F0"/>
    <w:rsid w:val="00B2673A"/>
    <w:rsid w:val="00B309D4"/>
    <w:rsid w:val="00B4079D"/>
    <w:rsid w:val="00B40A6F"/>
    <w:rsid w:val="00B411FC"/>
    <w:rsid w:val="00B4217C"/>
    <w:rsid w:val="00B44844"/>
    <w:rsid w:val="00B52F27"/>
    <w:rsid w:val="00B80E8D"/>
    <w:rsid w:val="00B83072"/>
    <w:rsid w:val="00BA3BBA"/>
    <w:rsid w:val="00BB50AD"/>
    <w:rsid w:val="00BF45CD"/>
    <w:rsid w:val="00BF6176"/>
    <w:rsid w:val="00BF7377"/>
    <w:rsid w:val="00C54162"/>
    <w:rsid w:val="00C54669"/>
    <w:rsid w:val="00C612A4"/>
    <w:rsid w:val="00C71A3B"/>
    <w:rsid w:val="00C77704"/>
    <w:rsid w:val="00C82086"/>
    <w:rsid w:val="00C825F3"/>
    <w:rsid w:val="00C90E62"/>
    <w:rsid w:val="00C96E0E"/>
    <w:rsid w:val="00CB0C05"/>
    <w:rsid w:val="00CB32EC"/>
    <w:rsid w:val="00CD2579"/>
    <w:rsid w:val="00CD2BB0"/>
    <w:rsid w:val="00CD3D77"/>
    <w:rsid w:val="00CE14E1"/>
    <w:rsid w:val="00CE46FE"/>
    <w:rsid w:val="00CF4BEE"/>
    <w:rsid w:val="00D020FD"/>
    <w:rsid w:val="00D03E29"/>
    <w:rsid w:val="00D16C36"/>
    <w:rsid w:val="00D43295"/>
    <w:rsid w:val="00D61726"/>
    <w:rsid w:val="00D74303"/>
    <w:rsid w:val="00D91460"/>
    <w:rsid w:val="00D91487"/>
    <w:rsid w:val="00DB1A94"/>
    <w:rsid w:val="00DB7D90"/>
    <w:rsid w:val="00DC0B99"/>
    <w:rsid w:val="00DC7C5C"/>
    <w:rsid w:val="00DF4CFC"/>
    <w:rsid w:val="00DF6A84"/>
    <w:rsid w:val="00E00926"/>
    <w:rsid w:val="00E035E7"/>
    <w:rsid w:val="00E17710"/>
    <w:rsid w:val="00E20635"/>
    <w:rsid w:val="00E249BA"/>
    <w:rsid w:val="00E257CF"/>
    <w:rsid w:val="00E40BDE"/>
    <w:rsid w:val="00E4286E"/>
    <w:rsid w:val="00E44FA2"/>
    <w:rsid w:val="00E45122"/>
    <w:rsid w:val="00E61C1C"/>
    <w:rsid w:val="00E718A5"/>
    <w:rsid w:val="00E73FAB"/>
    <w:rsid w:val="00E762FB"/>
    <w:rsid w:val="00E82C6A"/>
    <w:rsid w:val="00E902A6"/>
    <w:rsid w:val="00E911DB"/>
    <w:rsid w:val="00E95946"/>
    <w:rsid w:val="00E95CEE"/>
    <w:rsid w:val="00E95FEB"/>
    <w:rsid w:val="00E97A8A"/>
    <w:rsid w:val="00EB0009"/>
    <w:rsid w:val="00EB3E7E"/>
    <w:rsid w:val="00EF5371"/>
    <w:rsid w:val="00EF6072"/>
    <w:rsid w:val="00EF653A"/>
    <w:rsid w:val="00EF7DDE"/>
    <w:rsid w:val="00F00A88"/>
    <w:rsid w:val="00F04C60"/>
    <w:rsid w:val="00F123E0"/>
    <w:rsid w:val="00F143C2"/>
    <w:rsid w:val="00F15722"/>
    <w:rsid w:val="00F52A65"/>
    <w:rsid w:val="00F54830"/>
    <w:rsid w:val="00F55BF5"/>
    <w:rsid w:val="00F75847"/>
    <w:rsid w:val="00F81224"/>
    <w:rsid w:val="00F834D7"/>
    <w:rsid w:val="00F86482"/>
    <w:rsid w:val="00F90E12"/>
    <w:rsid w:val="00FA3749"/>
    <w:rsid w:val="00FA64B4"/>
    <w:rsid w:val="00FB74ED"/>
    <w:rsid w:val="00FD23B4"/>
    <w:rsid w:val="00FF2D20"/>
    <w:rsid w:val="00FF6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F62A"/>
  <w15:chartTrackingRefBased/>
  <w15:docId w15:val="{F687AF73-B6D5-48AB-A9F9-AC31ECC1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1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1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1DB"/>
    <w:rPr>
      <w:rFonts w:eastAsiaTheme="majorEastAsia" w:cstheme="majorBidi"/>
      <w:color w:val="272727" w:themeColor="text1" w:themeTint="D8"/>
    </w:rPr>
  </w:style>
  <w:style w:type="paragraph" w:styleId="Title">
    <w:name w:val="Title"/>
    <w:basedOn w:val="Normal"/>
    <w:next w:val="Normal"/>
    <w:link w:val="TitleChar"/>
    <w:uiPriority w:val="10"/>
    <w:qFormat/>
    <w:rsid w:val="00E91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1DB"/>
    <w:pPr>
      <w:spacing w:before="160"/>
      <w:jc w:val="center"/>
    </w:pPr>
    <w:rPr>
      <w:i/>
      <w:iCs/>
      <w:color w:val="404040" w:themeColor="text1" w:themeTint="BF"/>
    </w:rPr>
  </w:style>
  <w:style w:type="character" w:customStyle="1" w:styleId="QuoteChar">
    <w:name w:val="Quote Char"/>
    <w:basedOn w:val="DefaultParagraphFont"/>
    <w:link w:val="Quote"/>
    <w:uiPriority w:val="29"/>
    <w:rsid w:val="00E911DB"/>
    <w:rPr>
      <w:i/>
      <w:iCs/>
      <w:color w:val="404040" w:themeColor="text1" w:themeTint="BF"/>
    </w:rPr>
  </w:style>
  <w:style w:type="paragraph" w:styleId="ListParagraph">
    <w:name w:val="List Paragraph"/>
    <w:basedOn w:val="Normal"/>
    <w:uiPriority w:val="34"/>
    <w:qFormat/>
    <w:rsid w:val="00E911DB"/>
    <w:pPr>
      <w:ind w:left="720"/>
      <w:contextualSpacing/>
    </w:pPr>
  </w:style>
  <w:style w:type="character" w:styleId="IntenseEmphasis">
    <w:name w:val="Intense Emphasis"/>
    <w:basedOn w:val="DefaultParagraphFont"/>
    <w:uiPriority w:val="21"/>
    <w:qFormat/>
    <w:rsid w:val="00E911DB"/>
    <w:rPr>
      <w:i/>
      <w:iCs/>
      <w:color w:val="0F4761" w:themeColor="accent1" w:themeShade="BF"/>
    </w:rPr>
  </w:style>
  <w:style w:type="paragraph" w:styleId="IntenseQuote">
    <w:name w:val="Intense Quote"/>
    <w:basedOn w:val="Normal"/>
    <w:next w:val="Normal"/>
    <w:link w:val="IntenseQuoteChar"/>
    <w:uiPriority w:val="30"/>
    <w:qFormat/>
    <w:rsid w:val="00E91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1DB"/>
    <w:rPr>
      <w:i/>
      <w:iCs/>
      <w:color w:val="0F4761" w:themeColor="accent1" w:themeShade="BF"/>
    </w:rPr>
  </w:style>
  <w:style w:type="character" w:styleId="IntenseReference">
    <w:name w:val="Intense Reference"/>
    <w:basedOn w:val="DefaultParagraphFont"/>
    <w:uiPriority w:val="32"/>
    <w:qFormat/>
    <w:rsid w:val="00E911DB"/>
    <w:rPr>
      <w:b/>
      <w:bCs/>
      <w:smallCaps/>
      <w:color w:val="0F4761" w:themeColor="accent1" w:themeShade="BF"/>
      <w:spacing w:val="5"/>
    </w:rPr>
  </w:style>
  <w:style w:type="paragraph" w:styleId="NoSpacing">
    <w:name w:val="No Spacing"/>
    <w:uiPriority w:val="1"/>
    <w:qFormat/>
    <w:rsid w:val="000876AB"/>
    <w:pPr>
      <w:spacing w:after="0" w:line="240" w:lineRule="auto"/>
    </w:pPr>
  </w:style>
  <w:style w:type="character" w:styleId="Emphasis">
    <w:name w:val="Emphasis"/>
    <w:basedOn w:val="DefaultParagraphFont"/>
    <w:uiPriority w:val="20"/>
    <w:qFormat/>
    <w:rsid w:val="00363809"/>
    <w:rPr>
      <w:i/>
      <w:iCs/>
    </w:rPr>
  </w:style>
  <w:style w:type="character" w:styleId="Hyperlink">
    <w:name w:val="Hyperlink"/>
    <w:basedOn w:val="DefaultParagraphFont"/>
    <w:uiPriority w:val="99"/>
    <w:unhideWhenUsed/>
    <w:rsid w:val="009F6E42"/>
    <w:rPr>
      <w:color w:val="467886" w:themeColor="hyperlink"/>
      <w:u w:val="single"/>
    </w:rPr>
  </w:style>
  <w:style w:type="character" w:styleId="UnresolvedMention">
    <w:name w:val="Unresolved Mention"/>
    <w:basedOn w:val="DefaultParagraphFont"/>
    <w:uiPriority w:val="99"/>
    <w:semiHidden/>
    <w:unhideWhenUsed/>
    <w:rsid w:val="009F6E42"/>
    <w:rPr>
      <w:color w:val="605E5C"/>
      <w:shd w:val="clear" w:color="auto" w:fill="E1DFDD"/>
    </w:rPr>
  </w:style>
  <w:style w:type="character" w:styleId="FollowedHyperlink">
    <w:name w:val="FollowedHyperlink"/>
    <w:basedOn w:val="DefaultParagraphFont"/>
    <w:uiPriority w:val="99"/>
    <w:semiHidden/>
    <w:unhideWhenUsed/>
    <w:rsid w:val="00D74303"/>
    <w:rPr>
      <w:color w:val="96607D" w:themeColor="followedHyperlink"/>
      <w:u w:val="single"/>
    </w:rPr>
  </w:style>
  <w:style w:type="character" w:styleId="BookTitle">
    <w:name w:val="Book Title"/>
    <w:basedOn w:val="DefaultParagraphFont"/>
    <w:uiPriority w:val="33"/>
    <w:qFormat/>
    <w:rsid w:val="007D7BC0"/>
    <w:rPr>
      <w:b/>
      <w:bCs/>
      <w:i/>
      <w:iCs/>
      <w:spacing w:val="5"/>
    </w:rPr>
  </w:style>
  <w:style w:type="character" w:styleId="CommentReference">
    <w:name w:val="annotation reference"/>
    <w:basedOn w:val="DefaultParagraphFont"/>
    <w:uiPriority w:val="99"/>
    <w:semiHidden/>
    <w:unhideWhenUsed/>
    <w:rsid w:val="00815496"/>
    <w:rPr>
      <w:sz w:val="16"/>
      <w:szCs w:val="16"/>
    </w:rPr>
  </w:style>
  <w:style w:type="paragraph" w:styleId="CommentText">
    <w:name w:val="annotation text"/>
    <w:basedOn w:val="Normal"/>
    <w:link w:val="CommentTextChar"/>
    <w:uiPriority w:val="99"/>
    <w:unhideWhenUsed/>
    <w:rsid w:val="00815496"/>
    <w:pPr>
      <w:spacing w:line="240" w:lineRule="auto"/>
    </w:pPr>
    <w:rPr>
      <w:sz w:val="20"/>
      <w:szCs w:val="20"/>
    </w:rPr>
  </w:style>
  <w:style w:type="character" w:customStyle="1" w:styleId="CommentTextChar">
    <w:name w:val="Comment Text Char"/>
    <w:basedOn w:val="DefaultParagraphFont"/>
    <w:link w:val="CommentText"/>
    <w:uiPriority w:val="99"/>
    <w:rsid w:val="00815496"/>
    <w:rPr>
      <w:sz w:val="20"/>
      <w:szCs w:val="20"/>
    </w:rPr>
  </w:style>
  <w:style w:type="paragraph" w:styleId="CommentSubject">
    <w:name w:val="annotation subject"/>
    <w:basedOn w:val="CommentText"/>
    <w:next w:val="CommentText"/>
    <w:link w:val="CommentSubjectChar"/>
    <w:uiPriority w:val="99"/>
    <w:semiHidden/>
    <w:unhideWhenUsed/>
    <w:rsid w:val="00815496"/>
    <w:rPr>
      <w:b/>
      <w:bCs/>
    </w:rPr>
  </w:style>
  <w:style w:type="character" w:customStyle="1" w:styleId="CommentSubjectChar">
    <w:name w:val="Comment Subject Char"/>
    <w:basedOn w:val="CommentTextChar"/>
    <w:link w:val="CommentSubject"/>
    <w:uiPriority w:val="99"/>
    <w:semiHidden/>
    <w:rsid w:val="00815496"/>
    <w:rPr>
      <w:b/>
      <w:bCs/>
      <w:sz w:val="20"/>
      <w:szCs w:val="20"/>
    </w:rPr>
  </w:style>
  <w:style w:type="paragraph" w:customStyle="1" w:styleId="Header1">
    <w:name w:val="Header1"/>
    <w:basedOn w:val="Heading1"/>
    <w:link w:val="HEADERChar"/>
    <w:qFormat/>
    <w:rsid w:val="00815496"/>
    <w:pPr>
      <w:spacing w:line="360" w:lineRule="auto"/>
    </w:pPr>
    <w:rPr>
      <w:rFonts w:ascii="Arial" w:hAnsi="Arial" w:cs="Calibri"/>
      <w:b/>
      <w:color w:val="747474" w:themeColor="background2" w:themeShade="80"/>
      <w:sz w:val="32"/>
    </w:rPr>
  </w:style>
  <w:style w:type="character" w:customStyle="1" w:styleId="HEADERChar">
    <w:name w:val="HEADER Char"/>
    <w:basedOn w:val="Heading1Char"/>
    <w:link w:val="Header1"/>
    <w:rsid w:val="00815496"/>
    <w:rPr>
      <w:rFonts w:ascii="Arial" w:eastAsiaTheme="majorEastAsia" w:hAnsi="Arial" w:cs="Calibri"/>
      <w:b/>
      <w:color w:val="747474" w:themeColor="background2" w:themeShade="80"/>
      <w:sz w:val="32"/>
      <w:szCs w:val="40"/>
    </w:rPr>
  </w:style>
  <w:style w:type="paragraph" w:styleId="Header">
    <w:name w:val="header"/>
    <w:basedOn w:val="Normal"/>
    <w:link w:val="HeaderChar0"/>
    <w:uiPriority w:val="99"/>
    <w:unhideWhenUsed/>
    <w:rsid w:val="00506F52"/>
    <w:pPr>
      <w:tabs>
        <w:tab w:val="center" w:pos="4536"/>
        <w:tab w:val="right" w:pos="9072"/>
      </w:tabs>
      <w:spacing w:after="0" w:line="240" w:lineRule="auto"/>
    </w:pPr>
  </w:style>
  <w:style w:type="character" w:customStyle="1" w:styleId="HeaderChar0">
    <w:name w:val="Header Char"/>
    <w:basedOn w:val="DefaultParagraphFont"/>
    <w:link w:val="Header"/>
    <w:uiPriority w:val="99"/>
    <w:rsid w:val="00506F52"/>
  </w:style>
  <w:style w:type="paragraph" w:styleId="Footer">
    <w:name w:val="footer"/>
    <w:basedOn w:val="Normal"/>
    <w:link w:val="FooterChar"/>
    <w:uiPriority w:val="99"/>
    <w:unhideWhenUsed/>
    <w:rsid w:val="00506F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F52"/>
  </w:style>
  <w:style w:type="paragraph" w:styleId="Caption">
    <w:name w:val="caption"/>
    <w:basedOn w:val="Normal"/>
    <w:next w:val="Normal"/>
    <w:uiPriority w:val="35"/>
    <w:unhideWhenUsed/>
    <w:qFormat/>
    <w:rsid w:val="00720E42"/>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720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808">
      <w:bodyDiv w:val="1"/>
      <w:marLeft w:val="0"/>
      <w:marRight w:val="0"/>
      <w:marTop w:val="0"/>
      <w:marBottom w:val="0"/>
      <w:divBdr>
        <w:top w:val="none" w:sz="0" w:space="0" w:color="auto"/>
        <w:left w:val="none" w:sz="0" w:space="0" w:color="auto"/>
        <w:bottom w:val="none" w:sz="0" w:space="0" w:color="auto"/>
        <w:right w:val="none" w:sz="0" w:space="0" w:color="auto"/>
      </w:divBdr>
    </w:div>
    <w:div w:id="52969710">
      <w:bodyDiv w:val="1"/>
      <w:marLeft w:val="0"/>
      <w:marRight w:val="0"/>
      <w:marTop w:val="0"/>
      <w:marBottom w:val="0"/>
      <w:divBdr>
        <w:top w:val="none" w:sz="0" w:space="0" w:color="auto"/>
        <w:left w:val="none" w:sz="0" w:space="0" w:color="auto"/>
        <w:bottom w:val="none" w:sz="0" w:space="0" w:color="auto"/>
        <w:right w:val="none" w:sz="0" w:space="0" w:color="auto"/>
      </w:divBdr>
    </w:div>
    <w:div w:id="64767957">
      <w:bodyDiv w:val="1"/>
      <w:marLeft w:val="0"/>
      <w:marRight w:val="0"/>
      <w:marTop w:val="0"/>
      <w:marBottom w:val="0"/>
      <w:divBdr>
        <w:top w:val="none" w:sz="0" w:space="0" w:color="auto"/>
        <w:left w:val="none" w:sz="0" w:space="0" w:color="auto"/>
        <w:bottom w:val="none" w:sz="0" w:space="0" w:color="auto"/>
        <w:right w:val="none" w:sz="0" w:space="0" w:color="auto"/>
      </w:divBdr>
    </w:div>
    <w:div w:id="127745022">
      <w:bodyDiv w:val="1"/>
      <w:marLeft w:val="0"/>
      <w:marRight w:val="0"/>
      <w:marTop w:val="0"/>
      <w:marBottom w:val="0"/>
      <w:divBdr>
        <w:top w:val="none" w:sz="0" w:space="0" w:color="auto"/>
        <w:left w:val="none" w:sz="0" w:space="0" w:color="auto"/>
        <w:bottom w:val="none" w:sz="0" w:space="0" w:color="auto"/>
        <w:right w:val="none" w:sz="0" w:space="0" w:color="auto"/>
      </w:divBdr>
    </w:div>
    <w:div w:id="381557467">
      <w:bodyDiv w:val="1"/>
      <w:marLeft w:val="0"/>
      <w:marRight w:val="0"/>
      <w:marTop w:val="0"/>
      <w:marBottom w:val="0"/>
      <w:divBdr>
        <w:top w:val="none" w:sz="0" w:space="0" w:color="auto"/>
        <w:left w:val="none" w:sz="0" w:space="0" w:color="auto"/>
        <w:bottom w:val="none" w:sz="0" w:space="0" w:color="auto"/>
        <w:right w:val="none" w:sz="0" w:space="0" w:color="auto"/>
      </w:divBdr>
    </w:div>
    <w:div w:id="390425949">
      <w:bodyDiv w:val="1"/>
      <w:marLeft w:val="0"/>
      <w:marRight w:val="0"/>
      <w:marTop w:val="0"/>
      <w:marBottom w:val="0"/>
      <w:divBdr>
        <w:top w:val="none" w:sz="0" w:space="0" w:color="auto"/>
        <w:left w:val="none" w:sz="0" w:space="0" w:color="auto"/>
        <w:bottom w:val="none" w:sz="0" w:space="0" w:color="auto"/>
        <w:right w:val="none" w:sz="0" w:space="0" w:color="auto"/>
      </w:divBdr>
    </w:div>
    <w:div w:id="491720475">
      <w:bodyDiv w:val="1"/>
      <w:marLeft w:val="0"/>
      <w:marRight w:val="0"/>
      <w:marTop w:val="0"/>
      <w:marBottom w:val="0"/>
      <w:divBdr>
        <w:top w:val="none" w:sz="0" w:space="0" w:color="auto"/>
        <w:left w:val="none" w:sz="0" w:space="0" w:color="auto"/>
        <w:bottom w:val="none" w:sz="0" w:space="0" w:color="auto"/>
        <w:right w:val="none" w:sz="0" w:space="0" w:color="auto"/>
      </w:divBdr>
    </w:div>
    <w:div w:id="494078431">
      <w:bodyDiv w:val="1"/>
      <w:marLeft w:val="0"/>
      <w:marRight w:val="0"/>
      <w:marTop w:val="0"/>
      <w:marBottom w:val="0"/>
      <w:divBdr>
        <w:top w:val="none" w:sz="0" w:space="0" w:color="auto"/>
        <w:left w:val="none" w:sz="0" w:space="0" w:color="auto"/>
        <w:bottom w:val="none" w:sz="0" w:space="0" w:color="auto"/>
        <w:right w:val="none" w:sz="0" w:space="0" w:color="auto"/>
      </w:divBdr>
    </w:div>
    <w:div w:id="531497388">
      <w:bodyDiv w:val="1"/>
      <w:marLeft w:val="0"/>
      <w:marRight w:val="0"/>
      <w:marTop w:val="0"/>
      <w:marBottom w:val="0"/>
      <w:divBdr>
        <w:top w:val="none" w:sz="0" w:space="0" w:color="auto"/>
        <w:left w:val="none" w:sz="0" w:space="0" w:color="auto"/>
        <w:bottom w:val="none" w:sz="0" w:space="0" w:color="auto"/>
        <w:right w:val="none" w:sz="0" w:space="0" w:color="auto"/>
      </w:divBdr>
    </w:div>
    <w:div w:id="541985675">
      <w:bodyDiv w:val="1"/>
      <w:marLeft w:val="0"/>
      <w:marRight w:val="0"/>
      <w:marTop w:val="0"/>
      <w:marBottom w:val="0"/>
      <w:divBdr>
        <w:top w:val="none" w:sz="0" w:space="0" w:color="auto"/>
        <w:left w:val="none" w:sz="0" w:space="0" w:color="auto"/>
        <w:bottom w:val="none" w:sz="0" w:space="0" w:color="auto"/>
        <w:right w:val="none" w:sz="0" w:space="0" w:color="auto"/>
      </w:divBdr>
    </w:div>
    <w:div w:id="1038697006">
      <w:bodyDiv w:val="1"/>
      <w:marLeft w:val="0"/>
      <w:marRight w:val="0"/>
      <w:marTop w:val="0"/>
      <w:marBottom w:val="0"/>
      <w:divBdr>
        <w:top w:val="none" w:sz="0" w:space="0" w:color="auto"/>
        <w:left w:val="none" w:sz="0" w:space="0" w:color="auto"/>
        <w:bottom w:val="none" w:sz="0" w:space="0" w:color="auto"/>
        <w:right w:val="none" w:sz="0" w:space="0" w:color="auto"/>
      </w:divBdr>
    </w:div>
    <w:div w:id="1168983183">
      <w:bodyDiv w:val="1"/>
      <w:marLeft w:val="0"/>
      <w:marRight w:val="0"/>
      <w:marTop w:val="0"/>
      <w:marBottom w:val="0"/>
      <w:divBdr>
        <w:top w:val="none" w:sz="0" w:space="0" w:color="auto"/>
        <w:left w:val="none" w:sz="0" w:space="0" w:color="auto"/>
        <w:bottom w:val="none" w:sz="0" w:space="0" w:color="auto"/>
        <w:right w:val="none" w:sz="0" w:space="0" w:color="auto"/>
      </w:divBdr>
    </w:div>
    <w:div w:id="1206407215">
      <w:bodyDiv w:val="1"/>
      <w:marLeft w:val="0"/>
      <w:marRight w:val="0"/>
      <w:marTop w:val="0"/>
      <w:marBottom w:val="0"/>
      <w:divBdr>
        <w:top w:val="none" w:sz="0" w:space="0" w:color="auto"/>
        <w:left w:val="none" w:sz="0" w:space="0" w:color="auto"/>
        <w:bottom w:val="none" w:sz="0" w:space="0" w:color="auto"/>
        <w:right w:val="none" w:sz="0" w:space="0" w:color="auto"/>
      </w:divBdr>
    </w:div>
    <w:div w:id="1226641932">
      <w:bodyDiv w:val="1"/>
      <w:marLeft w:val="0"/>
      <w:marRight w:val="0"/>
      <w:marTop w:val="0"/>
      <w:marBottom w:val="0"/>
      <w:divBdr>
        <w:top w:val="none" w:sz="0" w:space="0" w:color="auto"/>
        <w:left w:val="none" w:sz="0" w:space="0" w:color="auto"/>
        <w:bottom w:val="none" w:sz="0" w:space="0" w:color="auto"/>
        <w:right w:val="none" w:sz="0" w:space="0" w:color="auto"/>
      </w:divBdr>
    </w:div>
    <w:div w:id="1251966809">
      <w:bodyDiv w:val="1"/>
      <w:marLeft w:val="0"/>
      <w:marRight w:val="0"/>
      <w:marTop w:val="0"/>
      <w:marBottom w:val="0"/>
      <w:divBdr>
        <w:top w:val="none" w:sz="0" w:space="0" w:color="auto"/>
        <w:left w:val="none" w:sz="0" w:space="0" w:color="auto"/>
        <w:bottom w:val="none" w:sz="0" w:space="0" w:color="auto"/>
        <w:right w:val="none" w:sz="0" w:space="0" w:color="auto"/>
      </w:divBdr>
    </w:div>
    <w:div w:id="1278826669">
      <w:bodyDiv w:val="1"/>
      <w:marLeft w:val="0"/>
      <w:marRight w:val="0"/>
      <w:marTop w:val="0"/>
      <w:marBottom w:val="0"/>
      <w:divBdr>
        <w:top w:val="none" w:sz="0" w:space="0" w:color="auto"/>
        <w:left w:val="none" w:sz="0" w:space="0" w:color="auto"/>
        <w:bottom w:val="none" w:sz="0" w:space="0" w:color="auto"/>
        <w:right w:val="none" w:sz="0" w:space="0" w:color="auto"/>
      </w:divBdr>
      <w:divsChild>
        <w:div w:id="599489647">
          <w:marLeft w:val="-720"/>
          <w:marRight w:val="0"/>
          <w:marTop w:val="0"/>
          <w:marBottom w:val="0"/>
          <w:divBdr>
            <w:top w:val="none" w:sz="0" w:space="0" w:color="auto"/>
            <w:left w:val="none" w:sz="0" w:space="0" w:color="auto"/>
            <w:bottom w:val="none" w:sz="0" w:space="0" w:color="auto"/>
            <w:right w:val="none" w:sz="0" w:space="0" w:color="auto"/>
          </w:divBdr>
        </w:div>
      </w:divsChild>
    </w:div>
    <w:div w:id="1320116456">
      <w:bodyDiv w:val="1"/>
      <w:marLeft w:val="0"/>
      <w:marRight w:val="0"/>
      <w:marTop w:val="0"/>
      <w:marBottom w:val="0"/>
      <w:divBdr>
        <w:top w:val="none" w:sz="0" w:space="0" w:color="auto"/>
        <w:left w:val="none" w:sz="0" w:space="0" w:color="auto"/>
        <w:bottom w:val="none" w:sz="0" w:space="0" w:color="auto"/>
        <w:right w:val="none" w:sz="0" w:space="0" w:color="auto"/>
      </w:divBdr>
    </w:div>
    <w:div w:id="1338382017">
      <w:bodyDiv w:val="1"/>
      <w:marLeft w:val="0"/>
      <w:marRight w:val="0"/>
      <w:marTop w:val="0"/>
      <w:marBottom w:val="0"/>
      <w:divBdr>
        <w:top w:val="none" w:sz="0" w:space="0" w:color="auto"/>
        <w:left w:val="none" w:sz="0" w:space="0" w:color="auto"/>
        <w:bottom w:val="none" w:sz="0" w:space="0" w:color="auto"/>
        <w:right w:val="none" w:sz="0" w:space="0" w:color="auto"/>
      </w:divBdr>
    </w:div>
    <w:div w:id="1455828026">
      <w:bodyDiv w:val="1"/>
      <w:marLeft w:val="0"/>
      <w:marRight w:val="0"/>
      <w:marTop w:val="0"/>
      <w:marBottom w:val="0"/>
      <w:divBdr>
        <w:top w:val="none" w:sz="0" w:space="0" w:color="auto"/>
        <w:left w:val="none" w:sz="0" w:space="0" w:color="auto"/>
        <w:bottom w:val="none" w:sz="0" w:space="0" w:color="auto"/>
        <w:right w:val="none" w:sz="0" w:space="0" w:color="auto"/>
      </w:divBdr>
    </w:div>
    <w:div w:id="1475440613">
      <w:bodyDiv w:val="1"/>
      <w:marLeft w:val="0"/>
      <w:marRight w:val="0"/>
      <w:marTop w:val="0"/>
      <w:marBottom w:val="0"/>
      <w:divBdr>
        <w:top w:val="none" w:sz="0" w:space="0" w:color="auto"/>
        <w:left w:val="none" w:sz="0" w:space="0" w:color="auto"/>
        <w:bottom w:val="none" w:sz="0" w:space="0" w:color="auto"/>
        <w:right w:val="none" w:sz="0" w:space="0" w:color="auto"/>
      </w:divBdr>
    </w:div>
    <w:div w:id="1621566665">
      <w:bodyDiv w:val="1"/>
      <w:marLeft w:val="0"/>
      <w:marRight w:val="0"/>
      <w:marTop w:val="0"/>
      <w:marBottom w:val="0"/>
      <w:divBdr>
        <w:top w:val="none" w:sz="0" w:space="0" w:color="auto"/>
        <w:left w:val="none" w:sz="0" w:space="0" w:color="auto"/>
        <w:bottom w:val="none" w:sz="0" w:space="0" w:color="auto"/>
        <w:right w:val="none" w:sz="0" w:space="0" w:color="auto"/>
      </w:divBdr>
    </w:div>
    <w:div w:id="1719544496">
      <w:bodyDiv w:val="1"/>
      <w:marLeft w:val="0"/>
      <w:marRight w:val="0"/>
      <w:marTop w:val="0"/>
      <w:marBottom w:val="0"/>
      <w:divBdr>
        <w:top w:val="none" w:sz="0" w:space="0" w:color="auto"/>
        <w:left w:val="none" w:sz="0" w:space="0" w:color="auto"/>
        <w:bottom w:val="none" w:sz="0" w:space="0" w:color="auto"/>
        <w:right w:val="none" w:sz="0" w:space="0" w:color="auto"/>
      </w:divBdr>
    </w:div>
    <w:div w:id="1795562124">
      <w:bodyDiv w:val="1"/>
      <w:marLeft w:val="0"/>
      <w:marRight w:val="0"/>
      <w:marTop w:val="0"/>
      <w:marBottom w:val="0"/>
      <w:divBdr>
        <w:top w:val="none" w:sz="0" w:space="0" w:color="auto"/>
        <w:left w:val="none" w:sz="0" w:space="0" w:color="auto"/>
        <w:bottom w:val="none" w:sz="0" w:space="0" w:color="auto"/>
        <w:right w:val="none" w:sz="0" w:space="0" w:color="auto"/>
      </w:divBdr>
    </w:div>
    <w:div w:id="1865318234">
      <w:bodyDiv w:val="1"/>
      <w:marLeft w:val="0"/>
      <w:marRight w:val="0"/>
      <w:marTop w:val="0"/>
      <w:marBottom w:val="0"/>
      <w:divBdr>
        <w:top w:val="none" w:sz="0" w:space="0" w:color="auto"/>
        <w:left w:val="none" w:sz="0" w:space="0" w:color="auto"/>
        <w:bottom w:val="none" w:sz="0" w:space="0" w:color="auto"/>
        <w:right w:val="none" w:sz="0" w:space="0" w:color="auto"/>
      </w:divBdr>
    </w:div>
    <w:div w:id="1949389648">
      <w:bodyDiv w:val="1"/>
      <w:marLeft w:val="0"/>
      <w:marRight w:val="0"/>
      <w:marTop w:val="0"/>
      <w:marBottom w:val="0"/>
      <w:divBdr>
        <w:top w:val="none" w:sz="0" w:space="0" w:color="auto"/>
        <w:left w:val="none" w:sz="0" w:space="0" w:color="auto"/>
        <w:bottom w:val="none" w:sz="0" w:space="0" w:color="auto"/>
        <w:right w:val="none" w:sz="0" w:space="0" w:color="auto"/>
      </w:divBdr>
    </w:div>
    <w:div w:id="2028477493">
      <w:bodyDiv w:val="1"/>
      <w:marLeft w:val="0"/>
      <w:marRight w:val="0"/>
      <w:marTop w:val="0"/>
      <w:marBottom w:val="0"/>
      <w:divBdr>
        <w:top w:val="none" w:sz="0" w:space="0" w:color="auto"/>
        <w:left w:val="none" w:sz="0" w:space="0" w:color="auto"/>
        <w:bottom w:val="none" w:sz="0" w:space="0" w:color="auto"/>
        <w:right w:val="none" w:sz="0" w:space="0" w:color="auto"/>
      </w:divBdr>
    </w:div>
    <w:div w:id="2056927347">
      <w:bodyDiv w:val="1"/>
      <w:marLeft w:val="0"/>
      <w:marRight w:val="0"/>
      <w:marTop w:val="0"/>
      <w:marBottom w:val="0"/>
      <w:divBdr>
        <w:top w:val="none" w:sz="0" w:space="0" w:color="auto"/>
        <w:left w:val="none" w:sz="0" w:space="0" w:color="auto"/>
        <w:bottom w:val="none" w:sz="0" w:space="0" w:color="auto"/>
        <w:right w:val="none" w:sz="0" w:space="0" w:color="auto"/>
      </w:divBdr>
    </w:div>
    <w:div w:id="2126119310">
      <w:bodyDiv w:val="1"/>
      <w:marLeft w:val="0"/>
      <w:marRight w:val="0"/>
      <w:marTop w:val="0"/>
      <w:marBottom w:val="0"/>
      <w:divBdr>
        <w:top w:val="none" w:sz="0" w:space="0" w:color="auto"/>
        <w:left w:val="none" w:sz="0" w:space="0" w:color="auto"/>
        <w:bottom w:val="none" w:sz="0" w:space="0" w:color="auto"/>
        <w:right w:val="none" w:sz="0" w:space="0" w:color="auto"/>
      </w:divBdr>
    </w:div>
    <w:div w:id="212719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studata08\home\EC\Ece21ac\ManW10\Downloads\series-16042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udata08\home\EC\Ece21ac\ManW10\Downloads\series-160424.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data!$B$5</c:f>
              <c:strCache>
                <c:ptCount val="1"/>
                <c:pt idx="0">
                  <c:v>Real wage growth</c:v>
                </c:pt>
              </c:strCache>
            </c:strRef>
          </c:tx>
          <c:spPr>
            <a:ln w="28575" cap="rnd">
              <a:solidFill>
                <a:srgbClr val="FD4F3D"/>
              </a:solidFill>
              <a:round/>
            </a:ln>
            <a:effectLst/>
          </c:spPr>
          <c:marker>
            <c:symbol val="none"/>
          </c:marker>
          <c:cat>
            <c:strRef>
              <c:f>data!$A$6:$A$42</c:f>
              <c:strCache>
                <c:ptCount val="37"/>
                <c:pt idx="0">
                  <c:v>Jan-21</c:v>
                </c:pt>
                <c:pt idx="1">
                  <c:v>Feb</c:v>
                </c:pt>
                <c:pt idx="2">
                  <c:v>Mar</c:v>
                </c:pt>
                <c:pt idx="3">
                  <c:v>Apr</c:v>
                </c:pt>
                <c:pt idx="4">
                  <c:v>May</c:v>
                </c:pt>
                <c:pt idx="5">
                  <c:v>Jun</c:v>
                </c:pt>
                <c:pt idx="6">
                  <c:v>Jul</c:v>
                </c:pt>
                <c:pt idx="7">
                  <c:v>Aug</c:v>
                </c:pt>
                <c:pt idx="8">
                  <c:v>Sep</c:v>
                </c:pt>
                <c:pt idx="9">
                  <c:v>Oct</c:v>
                </c:pt>
                <c:pt idx="10">
                  <c:v>Nov</c:v>
                </c:pt>
                <c:pt idx="11">
                  <c:v>Dec</c:v>
                </c:pt>
                <c:pt idx="12">
                  <c:v>Jan-22</c:v>
                </c:pt>
                <c:pt idx="13">
                  <c:v>Feb</c:v>
                </c:pt>
                <c:pt idx="14">
                  <c:v>Mar</c:v>
                </c:pt>
                <c:pt idx="15">
                  <c:v>Apr</c:v>
                </c:pt>
                <c:pt idx="16">
                  <c:v>May</c:v>
                </c:pt>
                <c:pt idx="17">
                  <c:v>Jun</c:v>
                </c:pt>
                <c:pt idx="18">
                  <c:v>Jul</c:v>
                </c:pt>
                <c:pt idx="19">
                  <c:v>Aug</c:v>
                </c:pt>
                <c:pt idx="20">
                  <c:v>Sep</c:v>
                </c:pt>
                <c:pt idx="21">
                  <c:v>Oct</c:v>
                </c:pt>
                <c:pt idx="22">
                  <c:v>Nov</c:v>
                </c:pt>
                <c:pt idx="23">
                  <c:v>Dec</c:v>
                </c:pt>
                <c:pt idx="24">
                  <c:v>Jan-23</c:v>
                </c:pt>
                <c:pt idx="25">
                  <c:v>Feb</c:v>
                </c:pt>
                <c:pt idx="26">
                  <c:v>Mar</c:v>
                </c:pt>
                <c:pt idx="27">
                  <c:v>Apr</c:v>
                </c:pt>
                <c:pt idx="28">
                  <c:v>May</c:v>
                </c:pt>
                <c:pt idx="29">
                  <c:v>Jun</c:v>
                </c:pt>
                <c:pt idx="30">
                  <c:v>Jul</c:v>
                </c:pt>
                <c:pt idx="31">
                  <c:v>Aug</c:v>
                </c:pt>
                <c:pt idx="32">
                  <c:v>Sep</c:v>
                </c:pt>
                <c:pt idx="33">
                  <c:v>Oct</c:v>
                </c:pt>
                <c:pt idx="34">
                  <c:v>Nov</c:v>
                </c:pt>
                <c:pt idx="35">
                  <c:v>Dec</c:v>
                </c:pt>
                <c:pt idx="36">
                  <c:v>Jan-24</c:v>
                </c:pt>
              </c:strCache>
            </c:strRef>
          </c:cat>
          <c:val>
            <c:numRef>
              <c:f>data!$B$6:$B$42</c:f>
              <c:numCache>
                <c:formatCode>0.0</c:formatCode>
                <c:ptCount val="37"/>
                <c:pt idx="0">
                  <c:v>4.8</c:v>
                </c:pt>
                <c:pt idx="1">
                  <c:v>4.5</c:v>
                </c:pt>
                <c:pt idx="2">
                  <c:v>4.2</c:v>
                </c:pt>
                <c:pt idx="3">
                  <c:v>5.6</c:v>
                </c:pt>
                <c:pt idx="4">
                  <c:v>7.5</c:v>
                </c:pt>
                <c:pt idx="5">
                  <c:v>8.9</c:v>
                </c:pt>
                <c:pt idx="6">
                  <c:v>8.4</c:v>
                </c:pt>
                <c:pt idx="7">
                  <c:v>7.2</c:v>
                </c:pt>
                <c:pt idx="8">
                  <c:v>5.9</c:v>
                </c:pt>
                <c:pt idx="9">
                  <c:v>5</c:v>
                </c:pt>
                <c:pt idx="10">
                  <c:v>4.2</c:v>
                </c:pt>
                <c:pt idx="11">
                  <c:v>4.5999999999999996</c:v>
                </c:pt>
                <c:pt idx="12">
                  <c:v>4.8</c:v>
                </c:pt>
                <c:pt idx="13">
                  <c:v>5.6</c:v>
                </c:pt>
                <c:pt idx="14">
                  <c:v>7</c:v>
                </c:pt>
                <c:pt idx="15">
                  <c:v>6.9</c:v>
                </c:pt>
                <c:pt idx="16">
                  <c:v>6.4</c:v>
                </c:pt>
                <c:pt idx="17">
                  <c:v>5.0999999999999996</c:v>
                </c:pt>
                <c:pt idx="18">
                  <c:v>5.4</c:v>
                </c:pt>
                <c:pt idx="19">
                  <c:v>6</c:v>
                </c:pt>
                <c:pt idx="20">
                  <c:v>6</c:v>
                </c:pt>
                <c:pt idx="21">
                  <c:v>6.2</c:v>
                </c:pt>
                <c:pt idx="22">
                  <c:v>6.7</c:v>
                </c:pt>
                <c:pt idx="23">
                  <c:v>6.3</c:v>
                </c:pt>
                <c:pt idx="24">
                  <c:v>6.2</c:v>
                </c:pt>
                <c:pt idx="25">
                  <c:v>6.1</c:v>
                </c:pt>
                <c:pt idx="26">
                  <c:v>6.3</c:v>
                </c:pt>
                <c:pt idx="27">
                  <c:v>6.9</c:v>
                </c:pt>
                <c:pt idx="28">
                  <c:v>7.2</c:v>
                </c:pt>
                <c:pt idx="29">
                  <c:v>8.4</c:v>
                </c:pt>
                <c:pt idx="30">
                  <c:v>8.5</c:v>
                </c:pt>
                <c:pt idx="31">
                  <c:v>8.1999999999999993</c:v>
                </c:pt>
                <c:pt idx="32">
                  <c:v>8</c:v>
                </c:pt>
                <c:pt idx="33">
                  <c:v>7.2</c:v>
                </c:pt>
                <c:pt idx="34">
                  <c:v>6.7</c:v>
                </c:pt>
                <c:pt idx="35">
                  <c:v>5.8</c:v>
                </c:pt>
                <c:pt idx="36">
                  <c:v>5.6</c:v>
                </c:pt>
              </c:numCache>
            </c:numRef>
          </c:val>
          <c:smooth val="0"/>
          <c:extLst>
            <c:ext xmlns:c16="http://schemas.microsoft.com/office/drawing/2014/chart" uri="{C3380CC4-5D6E-409C-BE32-E72D297353CC}">
              <c16:uniqueId val="{00000000-99AC-4B42-964D-D36A76DF1AF1}"/>
            </c:ext>
          </c:extLst>
        </c:ser>
        <c:ser>
          <c:idx val="1"/>
          <c:order val="1"/>
          <c:tx>
            <c:strRef>
              <c:f>data!$C$5</c:f>
              <c:strCache>
                <c:ptCount val="1"/>
                <c:pt idx="0">
                  <c:v>CPI</c:v>
                </c:pt>
              </c:strCache>
            </c:strRef>
          </c:tx>
          <c:spPr>
            <a:ln w="28575" cap="rnd">
              <a:solidFill>
                <a:srgbClr val="A1CDF4"/>
              </a:solidFill>
              <a:round/>
            </a:ln>
            <a:effectLst/>
          </c:spPr>
          <c:marker>
            <c:symbol val="none"/>
          </c:marker>
          <c:cat>
            <c:strRef>
              <c:f>data!$A$6:$A$42</c:f>
              <c:strCache>
                <c:ptCount val="37"/>
                <c:pt idx="0">
                  <c:v>Jan-21</c:v>
                </c:pt>
                <c:pt idx="1">
                  <c:v>Feb</c:v>
                </c:pt>
                <c:pt idx="2">
                  <c:v>Mar</c:v>
                </c:pt>
                <c:pt idx="3">
                  <c:v>Apr</c:v>
                </c:pt>
                <c:pt idx="4">
                  <c:v>May</c:v>
                </c:pt>
                <c:pt idx="5">
                  <c:v>Jun</c:v>
                </c:pt>
                <c:pt idx="6">
                  <c:v>Jul</c:v>
                </c:pt>
                <c:pt idx="7">
                  <c:v>Aug</c:v>
                </c:pt>
                <c:pt idx="8">
                  <c:v>Sep</c:v>
                </c:pt>
                <c:pt idx="9">
                  <c:v>Oct</c:v>
                </c:pt>
                <c:pt idx="10">
                  <c:v>Nov</c:v>
                </c:pt>
                <c:pt idx="11">
                  <c:v>Dec</c:v>
                </c:pt>
                <c:pt idx="12">
                  <c:v>Jan-22</c:v>
                </c:pt>
                <c:pt idx="13">
                  <c:v>Feb</c:v>
                </c:pt>
                <c:pt idx="14">
                  <c:v>Mar</c:v>
                </c:pt>
                <c:pt idx="15">
                  <c:v>Apr</c:v>
                </c:pt>
                <c:pt idx="16">
                  <c:v>May</c:v>
                </c:pt>
                <c:pt idx="17">
                  <c:v>Jun</c:v>
                </c:pt>
                <c:pt idx="18">
                  <c:v>Jul</c:v>
                </c:pt>
                <c:pt idx="19">
                  <c:v>Aug</c:v>
                </c:pt>
                <c:pt idx="20">
                  <c:v>Sep</c:v>
                </c:pt>
                <c:pt idx="21">
                  <c:v>Oct</c:v>
                </c:pt>
                <c:pt idx="22">
                  <c:v>Nov</c:v>
                </c:pt>
                <c:pt idx="23">
                  <c:v>Dec</c:v>
                </c:pt>
                <c:pt idx="24">
                  <c:v>Jan-23</c:v>
                </c:pt>
                <c:pt idx="25">
                  <c:v>Feb</c:v>
                </c:pt>
                <c:pt idx="26">
                  <c:v>Mar</c:v>
                </c:pt>
                <c:pt idx="27">
                  <c:v>Apr</c:v>
                </c:pt>
                <c:pt idx="28">
                  <c:v>May</c:v>
                </c:pt>
                <c:pt idx="29">
                  <c:v>Jun</c:v>
                </c:pt>
                <c:pt idx="30">
                  <c:v>Jul</c:v>
                </c:pt>
                <c:pt idx="31">
                  <c:v>Aug</c:v>
                </c:pt>
                <c:pt idx="32">
                  <c:v>Sep</c:v>
                </c:pt>
                <c:pt idx="33">
                  <c:v>Oct</c:v>
                </c:pt>
                <c:pt idx="34">
                  <c:v>Nov</c:v>
                </c:pt>
                <c:pt idx="35">
                  <c:v>Dec</c:v>
                </c:pt>
                <c:pt idx="36">
                  <c:v>Jan-24</c:v>
                </c:pt>
              </c:strCache>
            </c:strRef>
          </c:cat>
          <c:val>
            <c:numRef>
              <c:f>data!$C$6:$C$42</c:f>
              <c:numCache>
                <c:formatCode>0.0</c:formatCode>
                <c:ptCount val="37"/>
                <c:pt idx="0">
                  <c:v>0.7</c:v>
                </c:pt>
                <c:pt idx="1">
                  <c:v>0.4</c:v>
                </c:pt>
                <c:pt idx="2">
                  <c:v>0.7</c:v>
                </c:pt>
                <c:pt idx="3">
                  <c:v>1.5</c:v>
                </c:pt>
                <c:pt idx="4">
                  <c:v>2.1</c:v>
                </c:pt>
                <c:pt idx="5">
                  <c:v>2.5</c:v>
                </c:pt>
                <c:pt idx="6">
                  <c:v>2</c:v>
                </c:pt>
                <c:pt idx="7">
                  <c:v>3.2</c:v>
                </c:pt>
                <c:pt idx="8">
                  <c:v>3.1</c:v>
                </c:pt>
                <c:pt idx="9">
                  <c:v>4.2</c:v>
                </c:pt>
                <c:pt idx="10">
                  <c:v>5.0999999999999996</c:v>
                </c:pt>
                <c:pt idx="11">
                  <c:v>5.4</c:v>
                </c:pt>
                <c:pt idx="12">
                  <c:v>5.5</c:v>
                </c:pt>
                <c:pt idx="13">
                  <c:v>6.2</c:v>
                </c:pt>
                <c:pt idx="14">
                  <c:v>7</c:v>
                </c:pt>
                <c:pt idx="15">
                  <c:v>9</c:v>
                </c:pt>
                <c:pt idx="16">
                  <c:v>9.1</c:v>
                </c:pt>
                <c:pt idx="17">
                  <c:v>9.4</c:v>
                </c:pt>
                <c:pt idx="18">
                  <c:v>10.1</c:v>
                </c:pt>
                <c:pt idx="19">
                  <c:v>9.9</c:v>
                </c:pt>
                <c:pt idx="20">
                  <c:v>10.1</c:v>
                </c:pt>
                <c:pt idx="21">
                  <c:v>11.1</c:v>
                </c:pt>
                <c:pt idx="22">
                  <c:v>10.7</c:v>
                </c:pt>
                <c:pt idx="23">
                  <c:v>10.5</c:v>
                </c:pt>
                <c:pt idx="24">
                  <c:v>10.1</c:v>
                </c:pt>
                <c:pt idx="25">
                  <c:v>10.4</c:v>
                </c:pt>
                <c:pt idx="26">
                  <c:v>10.1</c:v>
                </c:pt>
                <c:pt idx="27">
                  <c:v>8.6999999999999993</c:v>
                </c:pt>
                <c:pt idx="28">
                  <c:v>8.6999999999999993</c:v>
                </c:pt>
                <c:pt idx="29">
                  <c:v>7.9</c:v>
                </c:pt>
                <c:pt idx="30">
                  <c:v>6.8</c:v>
                </c:pt>
                <c:pt idx="31">
                  <c:v>6.7</c:v>
                </c:pt>
                <c:pt idx="32">
                  <c:v>6.7</c:v>
                </c:pt>
                <c:pt idx="33">
                  <c:v>4.5999999999999996</c:v>
                </c:pt>
                <c:pt idx="34">
                  <c:v>3.9</c:v>
                </c:pt>
                <c:pt idx="35">
                  <c:v>4</c:v>
                </c:pt>
                <c:pt idx="36">
                  <c:v>4</c:v>
                </c:pt>
              </c:numCache>
            </c:numRef>
          </c:val>
          <c:smooth val="0"/>
          <c:extLst>
            <c:ext xmlns:c16="http://schemas.microsoft.com/office/drawing/2014/chart" uri="{C3380CC4-5D6E-409C-BE32-E72D297353CC}">
              <c16:uniqueId val="{00000001-99AC-4B42-964D-D36A76DF1AF1}"/>
            </c:ext>
          </c:extLst>
        </c:ser>
        <c:ser>
          <c:idx val="2"/>
          <c:order val="2"/>
          <c:tx>
            <c:strRef>
              <c:f>data!$D$5</c:f>
              <c:strCache>
                <c:ptCount val="1"/>
                <c:pt idx="0">
                  <c:v>Housing</c:v>
                </c:pt>
              </c:strCache>
            </c:strRef>
          </c:tx>
          <c:spPr>
            <a:ln w="28575" cap="rnd">
              <a:solidFill>
                <a:srgbClr val="A9AFD1"/>
              </a:solidFill>
              <a:round/>
            </a:ln>
            <a:effectLst/>
          </c:spPr>
          <c:marker>
            <c:symbol val="none"/>
          </c:marker>
          <c:cat>
            <c:strRef>
              <c:f>data!$A$6:$A$42</c:f>
              <c:strCache>
                <c:ptCount val="37"/>
                <c:pt idx="0">
                  <c:v>Jan-21</c:v>
                </c:pt>
                <c:pt idx="1">
                  <c:v>Feb</c:v>
                </c:pt>
                <c:pt idx="2">
                  <c:v>Mar</c:v>
                </c:pt>
                <c:pt idx="3">
                  <c:v>Apr</c:v>
                </c:pt>
                <c:pt idx="4">
                  <c:v>May</c:v>
                </c:pt>
                <c:pt idx="5">
                  <c:v>Jun</c:v>
                </c:pt>
                <c:pt idx="6">
                  <c:v>Jul</c:v>
                </c:pt>
                <c:pt idx="7">
                  <c:v>Aug</c:v>
                </c:pt>
                <c:pt idx="8">
                  <c:v>Sep</c:v>
                </c:pt>
                <c:pt idx="9">
                  <c:v>Oct</c:v>
                </c:pt>
                <c:pt idx="10">
                  <c:v>Nov</c:v>
                </c:pt>
                <c:pt idx="11">
                  <c:v>Dec</c:v>
                </c:pt>
                <c:pt idx="12">
                  <c:v>Jan-22</c:v>
                </c:pt>
                <c:pt idx="13">
                  <c:v>Feb</c:v>
                </c:pt>
                <c:pt idx="14">
                  <c:v>Mar</c:v>
                </c:pt>
                <c:pt idx="15">
                  <c:v>Apr</c:v>
                </c:pt>
                <c:pt idx="16">
                  <c:v>May</c:v>
                </c:pt>
                <c:pt idx="17">
                  <c:v>Jun</c:v>
                </c:pt>
                <c:pt idx="18">
                  <c:v>Jul</c:v>
                </c:pt>
                <c:pt idx="19">
                  <c:v>Aug</c:v>
                </c:pt>
                <c:pt idx="20">
                  <c:v>Sep</c:v>
                </c:pt>
                <c:pt idx="21">
                  <c:v>Oct</c:v>
                </c:pt>
                <c:pt idx="22">
                  <c:v>Nov</c:v>
                </c:pt>
                <c:pt idx="23">
                  <c:v>Dec</c:v>
                </c:pt>
                <c:pt idx="24">
                  <c:v>Jan-23</c:v>
                </c:pt>
                <c:pt idx="25">
                  <c:v>Feb</c:v>
                </c:pt>
                <c:pt idx="26">
                  <c:v>Mar</c:v>
                </c:pt>
                <c:pt idx="27">
                  <c:v>Apr</c:v>
                </c:pt>
                <c:pt idx="28">
                  <c:v>May</c:v>
                </c:pt>
                <c:pt idx="29">
                  <c:v>Jun</c:v>
                </c:pt>
                <c:pt idx="30">
                  <c:v>Jul</c:v>
                </c:pt>
                <c:pt idx="31">
                  <c:v>Aug</c:v>
                </c:pt>
                <c:pt idx="32">
                  <c:v>Sep</c:v>
                </c:pt>
                <c:pt idx="33">
                  <c:v>Oct</c:v>
                </c:pt>
                <c:pt idx="34">
                  <c:v>Nov</c:v>
                </c:pt>
                <c:pt idx="35">
                  <c:v>Dec</c:v>
                </c:pt>
                <c:pt idx="36">
                  <c:v>Jan-24</c:v>
                </c:pt>
              </c:strCache>
            </c:strRef>
          </c:cat>
          <c:val>
            <c:numRef>
              <c:f>data!$D$6:$D$42</c:f>
              <c:numCache>
                <c:formatCode>General</c:formatCode>
                <c:ptCount val="37"/>
                <c:pt idx="0">
                  <c:v>1.3</c:v>
                </c:pt>
                <c:pt idx="1">
                  <c:v>1.35</c:v>
                </c:pt>
                <c:pt idx="2">
                  <c:v>1.3</c:v>
                </c:pt>
                <c:pt idx="3">
                  <c:v>1.2999999999999998</c:v>
                </c:pt>
                <c:pt idx="4">
                  <c:v>1.35</c:v>
                </c:pt>
                <c:pt idx="5">
                  <c:v>1.4</c:v>
                </c:pt>
                <c:pt idx="6">
                  <c:v>1.4500000000000002</c:v>
                </c:pt>
                <c:pt idx="7">
                  <c:v>1.5</c:v>
                </c:pt>
                <c:pt idx="8">
                  <c:v>1.6</c:v>
                </c:pt>
                <c:pt idx="9">
                  <c:v>1.75</c:v>
                </c:pt>
                <c:pt idx="10">
                  <c:v>1.9</c:v>
                </c:pt>
                <c:pt idx="11">
                  <c:v>2.0499999999999998</c:v>
                </c:pt>
                <c:pt idx="12">
                  <c:v>2.25</c:v>
                </c:pt>
                <c:pt idx="13">
                  <c:v>2.35</c:v>
                </c:pt>
                <c:pt idx="14">
                  <c:v>2.5</c:v>
                </c:pt>
                <c:pt idx="15">
                  <c:v>2.75</c:v>
                </c:pt>
                <c:pt idx="16">
                  <c:v>2.9</c:v>
                </c:pt>
                <c:pt idx="17">
                  <c:v>3.1</c:v>
                </c:pt>
                <c:pt idx="18">
                  <c:v>3.3499999999999996</c:v>
                </c:pt>
                <c:pt idx="19">
                  <c:v>3.5</c:v>
                </c:pt>
                <c:pt idx="20">
                  <c:v>3.6</c:v>
                </c:pt>
                <c:pt idx="21">
                  <c:v>3.7</c:v>
                </c:pt>
                <c:pt idx="22">
                  <c:v>3.85</c:v>
                </c:pt>
                <c:pt idx="23">
                  <c:v>4</c:v>
                </c:pt>
                <c:pt idx="24">
                  <c:v>4.0999999999999996</c:v>
                </c:pt>
                <c:pt idx="25">
                  <c:v>4.25</c:v>
                </c:pt>
                <c:pt idx="26">
                  <c:v>4.4000000000000004</c:v>
                </c:pt>
                <c:pt idx="27">
                  <c:v>4.45</c:v>
                </c:pt>
                <c:pt idx="28">
                  <c:v>4.5999999999999996</c:v>
                </c:pt>
                <c:pt idx="29">
                  <c:v>4.8000000000000007</c:v>
                </c:pt>
                <c:pt idx="30">
                  <c:v>4.9000000000000004</c:v>
                </c:pt>
                <c:pt idx="31">
                  <c:v>5.1999999999999993</c:v>
                </c:pt>
                <c:pt idx="32">
                  <c:v>5.35</c:v>
                </c:pt>
                <c:pt idx="33">
                  <c:v>5.75</c:v>
                </c:pt>
                <c:pt idx="34">
                  <c:v>5.75</c:v>
                </c:pt>
                <c:pt idx="35">
                  <c:v>5.75</c:v>
                </c:pt>
                <c:pt idx="36">
                  <c:v>5.8000000000000007</c:v>
                </c:pt>
              </c:numCache>
            </c:numRef>
          </c:val>
          <c:smooth val="0"/>
          <c:extLst>
            <c:ext xmlns:c16="http://schemas.microsoft.com/office/drawing/2014/chart" uri="{C3380CC4-5D6E-409C-BE32-E72D297353CC}">
              <c16:uniqueId val="{00000002-99AC-4B42-964D-D36A76DF1AF1}"/>
            </c:ext>
          </c:extLst>
        </c:ser>
        <c:dLbls>
          <c:showLegendKey val="0"/>
          <c:showVal val="0"/>
          <c:showCatName val="0"/>
          <c:showSerName val="0"/>
          <c:showPercent val="0"/>
          <c:showBubbleSize val="0"/>
        </c:dLbls>
        <c:smooth val="0"/>
        <c:axId val="1706228448"/>
        <c:axId val="1531855664"/>
      </c:lineChart>
      <c:catAx>
        <c:axId val="1706228448"/>
        <c:scaling>
          <c:orientation val="minMax"/>
        </c:scaling>
        <c:delete val="0"/>
        <c:axPos val="b"/>
        <c:numFmt formatCode="General" sourceLinked="1"/>
        <c:majorTickMark val="out"/>
        <c:minorTickMark val="none"/>
        <c:tickLblPos val="nextTo"/>
        <c:spPr>
          <a:noFill/>
          <a:ln w="1905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855664"/>
        <c:crosses val="autoZero"/>
        <c:auto val="1"/>
        <c:lblAlgn val="ctr"/>
        <c:lblOffset val="100"/>
        <c:tickLblSkip val="4"/>
        <c:tickMarkSkip val="4"/>
        <c:noMultiLvlLbl val="0"/>
      </c:catAx>
      <c:valAx>
        <c:axId val="153185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Price</a:t>
                </a:r>
                <a:r>
                  <a:rPr lang="en-GB" baseline="0"/>
                  <a:t> level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228448"/>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data!$N$50</c:f>
              <c:strCache>
                <c:ptCount val="1"/>
                <c:pt idx="0">
                  <c:v>% of median income</c:v>
                </c:pt>
              </c:strCache>
            </c:strRef>
          </c:tx>
          <c:spPr>
            <a:ln w="28575" cap="rnd">
              <a:solidFill>
                <a:schemeClr val="accent1"/>
              </a:solidFill>
              <a:round/>
            </a:ln>
            <a:effectLst/>
          </c:spPr>
          <c:marker>
            <c:symbol val="none"/>
          </c:marker>
          <c:dLbls>
            <c:delete val="1"/>
          </c:dLbls>
          <c:cat>
            <c:numRef>
              <c:f>data!$H$51:$H$59</c:f>
              <c:numCache>
                <c:formatCode>General</c:formatCode>
                <c:ptCount val="9"/>
                <c:pt idx="0">
                  <c:v>2014</c:v>
                </c:pt>
                <c:pt idx="1">
                  <c:v>2015</c:v>
                </c:pt>
                <c:pt idx="2">
                  <c:v>2016</c:v>
                </c:pt>
                <c:pt idx="3">
                  <c:v>2017</c:v>
                </c:pt>
                <c:pt idx="4">
                  <c:v>2018</c:v>
                </c:pt>
                <c:pt idx="5">
                  <c:v>2019</c:v>
                </c:pt>
                <c:pt idx="6">
                  <c:v>2020</c:v>
                </c:pt>
                <c:pt idx="7">
                  <c:v>2021</c:v>
                </c:pt>
                <c:pt idx="8">
                  <c:v>2022</c:v>
                </c:pt>
              </c:numCache>
            </c:numRef>
          </c:cat>
          <c:val>
            <c:numRef>
              <c:f>data!$N$51:$N$59</c:f>
              <c:numCache>
                <c:formatCode>0.00</c:formatCode>
                <c:ptCount val="9"/>
                <c:pt idx="0">
                  <c:v>22.11322869955157</c:v>
                </c:pt>
                <c:pt idx="1">
                  <c:v>21.129541333691488</c:v>
                </c:pt>
                <c:pt idx="2">
                  <c:v>20.481140481140482</c:v>
                </c:pt>
                <c:pt idx="3">
                  <c:v>20.143311590244529</c:v>
                </c:pt>
                <c:pt idx="4">
                  <c:v>21.6795601935675</c:v>
                </c:pt>
                <c:pt idx="5">
                  <c:v>22.146612244897959</c:v>
                </c:pt>
                <c:pt idx="6">
                  <c:v>22.085751027193172</c:v>
                </c:pt>
                <c:pt idx="7">
                  <c:v>22.694826155123124</c:v>
                </c:pt>
                <c:pt idx="8">
                  <c:v>22.24241862190485</c:v>
                </c:pt>
              </c:numCache>
            </c:numRef>
          </c:val>
          <c:smooth val="0"/>
          <c:extLst>
            <c:ext xmlns:c16="http://schemas.microsoft.com/office/drawing/2014/chart" uri="{C3380CC4-5D6E-409C-BE32-E72D297353CC}">
              <c16:uniqueId val="{00000000-3A0F-49EF-9952-CDF104D00345}"/>
            </c:ext>
          </c:extLst>
        </c:ser>
        <c:dLbls>
          <c:dLblPos val="t"/>
          <c:showLegendKey val="0"/>
          <c:showVal val="1"/>
          <c:showCatName val="0"/>
          <c:showSerName val="0"/>
          <c:showPercent val="0"/>
          <c:showBubbleSize val="0"/>
        </c:dLbls>
        <c:smooth val="0"/>
        <c:axId val="1536093632"/>
        <c:axId val="1412076304"/>
      </c:lineChart>
      <c:catAx>
        <c:axId val="1536093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076304"/>
        <c:crosses val="autoZero"/>
        <c:auto val="1"/>
        <c:lblAlgn val="ctr"/>
        <c:lblOffset val="100"/>
        <c:tickLblSkip val="2"/>
        <c:noMultiLvlLbl val="0"/>
      </c:catAx>
      <c:valAx>
        <c:axId val="1412076304"/>
        <c:scaling>
          <c:orientation val="minMax"/>
          <c:max val="24"/>
          <c:min val="2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093632"/>
        <c:crossesAt val="1"/>
        <c:crossBetween val="between"/>
        <c:majorUnit val="1"/>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Ins21</b:Tag>
    <b:SourceType>DocumentFromInternetSite</b:SourceType>
    <b:Guid>{D7745149-BC9E-402D-B9C7-9596ACCA4073}</b:Guid>
    <b:Author>
      <b:Author>
        <b:Corporate>Institute for Economic Justice</b:Corporate>
      </b:Author>
    </b:Author>
    <b:Title>Institute for Economic Justice</b:Title>
    <b:Year>2021</b:Year>
    <b:Month>March</b:Month>
    <b:Day>16</b:Day>
    <b:YearAccessed>2024</b:YearAccessed>
    <b:MonthAccessed>April</b:MonthAccessed>
    <b:DayAccessed>15</b:DayAccessed>
    <b:URL>https://www.iej.org.za/introducing-a-universal-basic-income-guarantee-for-south-africa/</b:URL>
    <b:RefOrder>8</b:RefOrder>
  </b:Source>
  <b:Source>
    <b:Tag>Kan19</b:Tag>
    <b:SourceType>Report</b:SourceType>
    <b:Guid>{8C36B0D4-4B4F-4CFF-9B28-91ADF1BB9740}</b:Guid>
    <b:Title>The basic income experiment 2017–2018 in Finland : Preliminary results</b:Title>
    <b:Year>2019</b:Year>
    <b:Publisher>Ministry of Social Affairs and Health</b:Publisher>
    <b:City>Helsinki</b:City>
    <b:Author>
      <b:Author>
        <b:NameList>
          <b:Person>
            <b:Last>Kangas</b:Last>
            <b:First>Olli</b:First>
          </b:Person>
          <b:Person>
            <b:Last>Jauhiainen</b:Last>
            <b:First>Signe</b:First>
          </b:Person>
          <b:Person>
            <b:Last>Simanainen</b:Last>
            <b:First>Miska</b:First>
          </b:Person>
          <b:Person>
            <b:Last>Ylikännö</b:Last>
            <b:First>Minna</b:First>
          </b:Person>
        </b:NameList>
      </b:Author>
    </b:Author>
    <b:RefOrder>1</b:RefOrder>
  </b:Source>
  <b:Source>
    <b:Tag>Lac17</b:Tag>
    <b:SourceType>JournalArticle</b:SourceType>
    <b:Guid>{F51BD549-B002-49CD-8A98-D8B2283E6D44}</b:Guid>
    <b:Title>Universal basic income as development solution?</b:Title>
    <b:Year>2017</b:Year>
    <b:JournalName>Global Social Policy</b:JournalName>
    <b:Pages>93-97</b:Pages>
    <b:Volume>17</b:Volume>
    <b:Issue>1</b:Issue>
    <b:Author>
      <b:Author>
        <b:NameList>
          <b:Person>
            <b:Last>Lacey</b:Last>
            <b:First>Anita</b:First>
          </b:Person>
        </b:NameList>
      </b:Author>
    </b:Author>
    <b:YearAccessed>2024</b:YearAccessed>
    <b:MonthAccessed>April</b:MonthAccessed>
    <b:DayAccessed>15</b:DayAccessed>
    <b:URL>https://journals.sagepub.com/doi/10.1177/1468018116684269</b:URL>
    <b:RefOrder>2</b:RefOrder>
  </b:Source>
  <b:Source>
    <b:Tag>Mac20</b:Tag>
    <b:SourceType>Report</b:SourceType>
    <b:Guid>{C5062E53-133F-40A2-A9B4-51B112CB59C8}</b:Guid>
    <b:Title>The Introduction of a Universal Basic Income</b:Title>
    <b:Year>2020</b:Year>
    <b:Publisher>House of Commons Library</b:Publisher>
    <b:City>London</b:City>
    <b:Author>
      <b:Author>
        <b:NameList>
          <b:Person>
            <b:Last>Mackley</b:Last>
            <b:First>Andrew</b:First>
          </b:Person>
          <b:Person>
            <b:Last>Hobson</b:Last>
            <b:First>Francis</b:First>
          </b:Person>
          <b:Person>
            <b:Last>Loft</b:Last>
            <b:First>Philip</b:First>
          </b:Person>
          <b:Person>
            <b:Last>Kennedy</b:Last>
            <b:First>Steven</b:First>
          </b:Person>
        </b:NameList>
      </b:Author>
    </b:Author>
    <b:YearAccessed>2024</b:YearAccessed>
    <b:MonthAccessed>April</b:MonthAccessed>
    <b:DayAccessed>15</b:DayAccessed>
    <b:URL>https://commonslibrary.parliament.uk/research-briefings/cdp-2020-0096/</b:URL>
    <b:RefOrder>9</b:RefOrder>
  </b:Source>
  <b:Source>
    <b:Tag>Off24</b:Tag>
    <b:SourceType>InternetSite</b:SourceType>
    <b:Guid>{24F99345-0B73-4A4E-8B63-EC43DFA2AA3B}</b:Guid>
    <b:Author>
      <b:Author>
        <b:Corporate>Office for National Statistics</b:Corporate>
      </b:Author>
    </b:Author>
    <b:Title>Consumer Price Inflation, UK: January 2024</b:Title>
    <b:Publisher>The Office for National Statistics</b:Publisher>
    <b:Year>2024</b:Year>
    <b:YearAccessed>2024</b:YearAccessed>
    <b:MonthAccessed>April</b:MonthAccessed>
    <b:DayAccessed>15</b:DayAccessed>
    <b:URL>https://www.ons.gov.uk/economy/inflationandpriceindices/bulletins/consumerpriceinflation/january2024</b:URL>
    <b:RefOrder>10</b:RefOrder>
  </b:Source>
  <b:Source>
    <b:Tag>Off20</b:Tag>
    <b:SourceType>InternetSite</b:SourceType>
    <b:Guid>{AEC4DC70-AF03-4AAE-8BD1-64AFAEE1A659}</b:Guid>
    <b:Title>Measures of owner occupiers' housing costs, UK: October to December 2019</b:Title>
    <b:Year>2020</b:Year>
    <b:Publisher>The Office for National Statistics</b:Publisher>
    <b:Author>
      <b:Author>
        <b:Corporate>Office for National Statistics</b:Corporate>
      </b:Author>
    </b:Author>
    <b:Month>March</b:Month>
    <b:Day>25</b:Day>
    <b:YearAccessed>2024</b:YearAccessed>
    <b:MonthAccessed>April</b:MonthAccessed>
    <b:DayAccessed>15</b:DayAccessed>
    <b:URL>https://www.ons.gov.uk/economy/inflationandpriceindices/articles/understandingthedifferentapproachesofmeasuringowneroccupiershousingcosts/octobertodecember2019</b:URL>
    <b:RefOrder>11</b:RefOrder>
  </b:Source>
  <b:Source>
    <b:Tag>Off241</b:Tag>
    <b:SourceType>InternetSite</b:SourceType>
    <b:Guid>{B3B06728-1039-4F43-A8BF-E9F6E547F4F0}</b:Guid>
    <b:Author>
      <b:Author>
        <b:Corporate>Office for National Statistics</b:Corporate>
      </b:Author>
    </b:Author>
    <b:Title>CPIH ANNUAL RATE 00: ALL ITEMS 2015=100</b:Title>
    <b:Year>2024</b:Year>
    <b:YearAccessed>2024</b:YearAccessed>
    <b:MonthAccessed>April</b:MonthAccessed>
    <b:DayAccessed>15</b:DayAccessed>
    <b:URL>https://www.ons.gov.uk/economy/inflationandpriceindices/timeseries/l55o/mm23</b:URL>
    <b:RefOrder>12</b:RefOrder>
  </b:Source>
  <b:Source>
    <b:Tag>Off242</b:Tag>
    <b:SourceType>InternetSite</b:SourceType>
    <b:Guid>{B8E80814-680C-4C10-9DF0-DCD808BF004A}</b:Guid>
    <b:Author>
      <b:Author>
        <b:Corporate>Office for National Statistics</b:Corporate>
      </b:Author>
    </b:Author>
    <b:Title>Gross Domestic Product: chained volume measures: Seasonally adjusted £m</b:Title>
    <b:Year>2024</b:Year>
    <b:YearAccessed>2024</b:YearAccessed>
    <b:MonthAccessed>April</b:MonthAccessed>
    <b:DayAccessed>15</b:DayAccessed>
    <b:URL>https://www.ons.gov.uk/economy/grossdomesticproductgdp/timeseries/abmi/ukea</b:URL>
    <b:RefOrder>13</b:RefOrder>
  </b:Source>
  <b:Source>
    <b:Tag>Off243</b:Tag>
    <b:SourceType>InternetSite</b:SourceType>
    <b:Guid>{49A5BFBB-ADAC-45A4-A019-6392C8357449}</b:Guid>
    <b:Author>
      <b:Author>
        <b:Corporate>Office for National Statistics</b:Corporate>
      </b:Author>
    </b:Author>
    <b:Title>Index of Private Housing Rental Prices, UK: January 2024</b:Title>
    <b:Year>2024</b:Year>
    <b:YearAccessed>2024</b:YearAccessed>
    <b:MonthAccessed>April</b:MonthAccessed>
    <b:DayAccessed>15</b:DayAccessed>
    <b:URL>https://www.ons.gov.uk/economy/inflationandpriceindices/bulletins/indexofprivatehousingrentalprices/latest</b:URL>
    <b:RefOrder>14</b:RefOrder>
  </b:Source>
  <b:Source>
    <b:Tag>Off244</b:Tag>
    <b:SourceType>InternetSite</b:SourceType>
    <b:Guid>{AEA49C7D-D865-4D3F-9119-86E80EBECBED}</b:Guid>
    <b:Author>
      <b:Author>
        <b:Corporate>Office for National Statistics</b:Corporate>
      </b:Author>
    </b:Author>
    <b:Title>Monthly gross domestic product by gross value added</b:Title>
    <b:Year>2024</b:Year>
    <b:YearAccessed>2024</b:YearAccessed>
    <b:MonthAccessed>April</b:MonthAccessed>
    <b:DayAccessed>15</b:DayAccessed>
    <b:URL>https://www.ons.gov.uk/economy/grossdomesticproductgdp/datasets/monthlygrossdomesticproductbygrossvalueadded</b:URL>
    <b:RefOrder>15</b:RefOrder>
  </b:Source>
  <b:Source>
    <b:Tag>Off245</b:Tag>
    <b:SourceType>InternetSite</b:SourceType>
    <b:Guid>{462648C4-E94E-43F4-BDCD-7F1DE3BD76FD}</b:Guid>
    <b:Author>
      <b:Author>
        <b:Corporate>Office for National Statistics</b:Corporate>
      </b:Author>
    </b:Author>
    <b:Title>AWE: Whole Economy Year on Year Three Month Average Growth (%): Seasonally Adjusted Total Pay Excluding Arrears</b:Title>
    <b:Year>2024</b:Year>
    <b:YearAccessed>2024</b:YearAccessed>
    <b:MonthAccessed>April</b:MonthAccessed>
    <b:DayAccessed>15</b:DayAccessed>
    <b:URL>https://www.ons.gov.uk/employmentandlabourmarket/peopleinwork/earningsandworkinghours/timeseries/kac3/lms</b:URL>
    <b:RefOrder>16</b:RefOrder>
  </b:Source>
  <b:Source>
    <b:Tag>Red21</b:Tag>
    <b:SourceType>InternetSite</b:SourceType>
    <b:Guid>{2DE9EAF2-98F0-4E30-978D-9E9AA9BF77B4}</b:Guid>
    <b:Author>
      <b:Author>
        <b:Corporate>Redfield and Wilton Strategies Research Team</b:Corporate>
      </b:Author>
    </b:Author>
    <b:Title>Universal Basic Income Supported by a Majority of British Public</b:Title>
    <b:Year>2021</b:Year>
    <b:YearAccessed>2024</b:YearAccessed>
    <b:MonthAccessed>April</b:MonthAccessed>
    <b:DayAccessed>15</b:DayAccessed>
    <b:URL>https://redfieldandwiltonstrategies.com/universal-basic-income-supported-by-a-majority-of-british-public/</b:URL>
    <b:RefOrder>17</b:RefOrder>
  </b:Source>
  <b:Source>
    <b:Tag>Soa10</b:Tag>
    <b:SourceType>JournalArticle</b:SourceType>
    <b:Guid>{68661066-570D-4C6E-BD04-60BC20B16A4C}</b:Guid>
    <b:Title>EVALUATING THE IMPACT OF BRAZIL'S BOLSA FAMÍLIA: Cash Transfer Programs in Comparative Perspective</b:Title>
    <b:Year>2010</b:Year>
    <b:URL>https://www.jstor.org/stable/27919200</b:URL>
    <b:JournalName>Latin American Research Review</b:JournalName>
    <b:Pages>173-190</b:Pages>
    <b:Volume>45</b:Volume>
    <b:Issue>2</b:Issue>
    <b:Author>
      <b:Author>
        <b:NameList>
          <b:Person>
            <b:Last>Soares</b:Last>
            <b:First>Fábio </b:First>
          </b:Person>
          <b:Person>
            <b:Last>Ribas </b:Last>
            <b:First>Rafael </b:First>
          </b:Person>
          <b:Person>
            <b:Last>Osório</b:Last>
            <b:First>Rafael </b:First>
          </b:Person>
        </b:NameList>
      </b:Author>
    </b:Author>
    <b:Publisher>The Latin American Studies Association</b:Publisher>
    <b:RefOrder>3</b:RefOrder>
  </b:Source>
  <b:Source>
    <b:Tag>Phi17</b:Tag>
    <b:SourceType>Report</b:SourceType>
    <b:Guid>{A776C73C-0ACC-481A-8043-E97564A969D2}</b:Guid>
    <b:Title>Falling through the cracks</b:Title>
    <b:Year>2017</b:Year>
    <b:Author>
      <b:Author>
        <b:NameList>
          <b:Person>
            <b:Last>Phillips</b:Last>
            <b:First>Toby</b:First>
          </b:Person>
        </b:NameList>
      </b:Author>
    </b:Author>
    <b:Publisher>Resolution Foundation</b:Publisher>
    <b:City>London</b:City>
    <b:RefOrder>4</b:RefOrder>
  </b:Source>
  <b:Source>
    <b:Tag>You22</b:Tag>
    <b:SourceType>Report</b:SourceType>
    <b:Guid>{23F28F05-E319-4D95-A9F7-621C0D80DF8D}</b:Guid>
    <b:Author>
      <b:Author>
        <b:Corporate>YouGov</b:Corporate>
      </b:Author>
    </b:Author>
    <b:Title>UBI in the UK</b:Title>
    <b:Year>2022</b:Year>
    <b:Publisher>YouGov</b:Publisher>
    <b:RefOrder>6</b:RefOrder>
  </b:Source>
  <b:Source>
    <b:Tag>Off246</b:Tag>
    <b:SourceType>InternetSite</b:SourceType>
    <b:Guid>{910566FF-571F-4707-811C-28839DF9B194}</b:Guid>
    <b:Author>
      <b:Author>
        <b:Corporate>Office for National Statistics</b:Corporate>
      </b:Author>
    </b:Author>
    <b:Title>Public opinions and social trends, Great Britain: 13 to 24 March 2024</b:Title>
    <b:Year>2024</b:Year>
    <b:YearAccessed>2024</b:YearAccessed>
    <b:MonthAccessed>April</b:MonthAccessed>
    <b:DayAccessed>15</b:DayAccessed>
    <b:URL>https://www.ons.gov.uk/peoplepopulationandcommunity/wellbeing/bulletins/publicopinionsandsocialtrendsgreatbritain/13to24march2024#:~:text=The%20following%20information%20is%20for,and%20the%20economy%20(70%25).</b:URL>
    <b:RefOrder>5</b:RefOrder>
  </b:Source>
  <b:Source>
    <b:Tag>HMT23</b:Tag>
    <b:SourceType>Report</b:SourceType>
    <b:Guid>{1FF73EB9-1C57-4A6E-A416-6AB2F79BE629}</b:Guid>
    <b:Title>Public Expenditure</b:Title>
    <b:Year>2023</b:Year>
    <b:Author>
      <b:Author>
        <b:Corporate>HM Treasury</b:Corporate>
      </b:Author>
    </b:Author>
    <b:Publisher>Open Government Licence</b:Publisher>
    <b:City>London</b:City>
    <b:RefOrder>7</b:RefOrder>
  </b:Source>
</b:Sources>
</file>

<file path=customXml/itemProps1.xml><?xml version="1.0" encoding="utf-8"?>
<ds:datastoreItem xmlns:ds="http://schemas.openxmlformats.org/officeDocument/2006/customXml" ds:itemID="{57392975-6522-4706-AFF4-F37FD192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12608</TotalTime>
  <Pages>5</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Christensen</dc:creator>
  <cp:keywords/>
  <dc:description/>
  <cp:lastModifiedBy>Armando Christensen</cp:lastModifiedBy>
  <cp:revision>263</cp:revision>
  <dcterms:created xsi:type="dcterms:W3CDTF">2024-03-28T13:00:00Z</dcterms:created>
  <dcterms:modified xsi:type="dcterms:W3CDTF">2024-04-20T23:59:00Z</dcterms:modified>
</cp:coreProperties>
</file>