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8AB1E" w14:textId="29091FEA" w:rsidR="00646A91" w:rsidRDefault="00646A91" w:rsidP="00742F72">
      <w:pPr>
        <w:tabs>
          <w:tab w:val="left" w:pos="4680"/>
        </w:tabs>
        <w:spacing w:line="360" w:lineRule="auto"/>
        <w:rPr>
          <w:rFonts w:cs="Calibri"/>
        </w:rPr>
      </w:pPr>
      <w:r>
        <w:rPr>
          <w:rFonts w:cs="Calibri"/>
        </w:rPr>
        <w:t>Methods:</w:t>
      </w:r>
    </w:p>
    <w:p w14:paraId="5E1A0B9A" w14:textId="4359420D" w:rsidR="00F91D9C" w:rsidRDefault="00F91D9C" w:rsidP="00742F72">
      <w:pPr>
        <w:tabs>
          <w:tab w:val="left" w:pos="4680"/>
        </w:tabs>
        <w:spacing w:line="360" w:lineRule="auto"/>
        <w:rPr>
          <w:rFonts w:cs="Calibri"/>
        </w:rPr>
      </w:pPr>
      <w:r>
        <w:t>The </w:t>
      </w:r>
      <w:r>
        <w:rPr>
          <w:rStyle w:val="nfasis"/>
          <w:color w:val="0E101A"/>
        </w:rPr>
        <w:t>glm</w:t>
      </w:r>
      <w:r>
        <w:t> package (v 3.6.2) was applied to run a binary logistic regression model to evaluate the influence of complications in long COVID syndrome and its association in patients with lupus erythematosus and arthritis patients by calculating relative risk (RR). The model was adjusted to age and gender. Results are presented as relative risk (RR) with corresponding 95% Confidence intervals (CI) with statistical significance levels set to 0.05, p-value, and z score. The plots were generated by the</w:t>
      </w:r>
      <w:r>
        <w:rPr>
          <w:rStyle w:val="nfasis"/>
          <w:color w:val="0E101A"/>
        </w:rPr>
        <w:t> ggplot2</w:t>
      </w:r>
      <w:r>
        <w:t> package (v 3.3.5). Finally, the statistical analysis was performed by the R software version 4.</w:t>
      </w:r>
      <w:r w:rsidR="009856DA">
        <w:t>2</w:t>
      </w:r>
      <w:r>
        <w:t>.</w:t>
      </w:r>
      <w:r w:rsidR="009856DA">
        <w:t>1</w:t>
      </w:r>
      <w:r>
        <w:t>.</w:t>
      </w:r>
    </w:p>
    <w:p w14:paraId="608F93D2" w14:textId="46DE470D" w:rsidR="00742F72" w:rsidRDefault="00742F72" w:rsidP="00742F72">
      <w:pPr>
        <w:tabs>
          <w:tab w:val="left" w:pos="4680"/>
        </w:tabs>
        <w:spacing w:line="360" w:lineRule="auto"/>
        <w:rPr>
          <w:rFonts w:cs="Calibri"/>
        </w:rPr>
      </w:pPr>
      <w:r>
        <w:rPr>
          <w:rFonts w:cs="Calibri"/>
        </w:rPr>
        <w:t>Results:</w:t>
      </w:r>
    </w:p>
    <w:p w14:paraId="764C7945" w14:textId="682B66AF" w:rsidR="00742F72" w:rsidRDefault="00742F72" w:rsidP="00742F72">
      <w:pPr>
        <w:spacing w:line="360" w:lineRule="auto"/>
        <w:jc w:val="both"/>
      </w:pPr>
      <w:r>
        <w:t>The relative risk of presenting post-COVID complications in patients with</w:t>
      </w:r>
      <w:r w:rsidR="000F48A0">
        <w:t xml:space="preserve"> lupus erythematosus,</w:t>
      </w:r>
      <w:r>
        <w:t xml:space="preserve"> rheumatoid arthritis, and miscellaneous was estimated. The obtained results are shown next.</w:t>
      </w:r>
    </w:p>
    <w:p w14:paraId="748E3646" w14:textId="1DCE6121" w:rsidR="00742F72" w:rsidRDefault="00742F72" w:rsidP="00742F72">
      <w:pPr>
        <w:tabs>
          <w:tab w:val="left" w:pos="4680"/>
        </w:tabs>
        <w:spacing w:line="360" w:lineRule="auto"/>
        <w:jc w:val="both"/>
      </w:pPr>
      <w:r>
        <w:t>The relative risk of presenting manifestations in the long COVID syndrome is shown</w:t>
      </w:r>
      <w:r w:rsidR="00D93621">
        <w:t xml:space="preserve"> </w:t>
      </w:r>
      <w:r>
        <w:t>comparing patients with</w:t>
      </w:r>
      <w:r w:rsidR="00D93621">
        <w:t xml:space="preserve"> lupus erythematosus and</w:t>
      </w:r>
      <w:r>
        <w:t xml:space="preserve"> rheumatoid arthritis (Figure 1). The results obtained describe that there is a </w:t>
      </w:r>
      <w:r w:rsidR="00D93621">
        <w:t>lower</w:t>
      </w:r>
      <w:r>
        <w:t xml:space="preserve"> risk of presenting </w:t>
      </w:r>
      <w:r w:rsidR="00D93621">
        <w:t>fatigue</w:t>
      </w:r>
      <w:r>
        <w:t xml:space="preserve"> (</w:t>
      </w:r>
      <w:r w:rsidR="00D93621">
        <w:t>RR</w:t>
      </w:r>
      <w:r>
        <w:t xml:space="preserve"> </w:t>
      </w:r>
      <w:r w:rsidR="00D93621">
        <w:t>0.55</w:t>
      </w:r>
      <w:r>
        <w:t xml:space="preserve">, 95% CI </w:t>
      </w:r>
      <w:r w:rsidR="00D93621">
        <w:t>0.44</w:t>
      </w:r>
      <w:r>
        <w:t>-</w:t>
      </w:r>
      <w:r w:rsidR="00D93621">
        <w:t>0.69</w:t>
      </w:r>
      <w:r>
        <w:t>)</w:t>
      </w:r>
      <w:r w:rsidR="000C168B">
        <w:t xml:space="preserve"> in patients with </w:t>
      </w:r>
      <w:r w:rsidR="00817C88">
        <w:t>SLE</w:t>
      </w:r>
      <w:r w:rsidR="00D93621">
        <w:t xml:space="preserve">. </w:t>
      </w:r>
      <w:r>
        <w:t>No significant differences were observed in the rest of the symptoms.</w:t>
      </w:r>
    </w:p>
    <w:p w14:paraId="1170E444" w14:textId="428419E9" w:rsidR="006234FE" w:rsidRDefault="006234FE" w:rsidP="00742F72">
      <w:pPr>
        <w:tabs>
          <w:tab w:val="left" w:pos="4680"/>
        </w:tabs>
        <w:spacing w:line="360" w:lineRule="auto"/>
        <w:jc w:val="both"/>
      </w:pPr>
      <w:r>
        <w:t>Discussion</w:t>
      </w:r>
      <w:r w:rsidR="00CB7268">
        <w:t>:</w:t>
      </w:r>
    </w:p>
    <w:p w14:paraId="2E945295" w14:textId="77777777" w:rsidR="006234FE" w:rsidRDefault="006234FE" w:rsidP="006234FE">
      <w:pPr>
        <w:tabs>
          <w:tab w:val="left" w:pos="4680"/>
        </w:tabs>
        <w:spacing w:line="360" w:lineRule="auto"/>
      </w:pPr>
      <w:r>
        <w:rPr>
          <w:rFonts w:cs="Calibri"/>
        </w:rPr>
        <w:t>As reported in a previously published meta-analysis of the prevalence and characteristics of post-covid symptoms</w:t>
      </w:r>
      <w:r>
        <w:fldChar w:fldCharType="begin"/>
      </w:r>
      <w:r>
        <w:instrText>ADDIN CSL_CITATION {"citationItems":[{"id":"ITEM-1","itemData":{"DOI":"10.1038/s41598-021-95565-8","ISBN":"0123456789","ISSN":"20452322","PMID":"34373540","abstract":"COVID-19 can involve persistence, sequelae, and other medical complications that last weeks to months after initial recovery. This systematic review and meta-analysis aims to identify studies assessing the long-term effects of COVID-19. LitCOVID and Embase were searched to identify articles with original data published before the 1st of January 2021, with a minimum of 100 patients. For effects reported in two or more studies, meta-analyses using a random-effects model were performed using the MetaXL software to estimate the pooled prevalence with 95% CI. PRISMA guidelines were followed. A total of 18,251 publications were identified, of which 15 met the inclusion criteria. The prevalence of 55 long-term effects was estimated, 21 meta-analyses were performed, and 47,910 patients were included (age 17–87 years). The included studies defined long-COVID as ranging from 14 to 110 days post-viral infection. It was estimated that 80% of the infected patients with SARS-CoV-2 developed one or more long-term symptoms. The five most common symptoms were fatigue (58%), headache (44%), attention disorder (27%), hair loss (25%), and dyspnea (24%). Multi-disciplinary teams are crucial to developing preventive measures, rehabilitation techniques, and clinical management strategies with whole-patient perspectives designed to address long COVID-19 care.","author":[{"dropping-particle":"","family":"Lopez-Leon","given":"Sandra","non-dropping-particle":"","parse-names":false,"suffix":""},{"dropping-particle":"","family":"Wegman-Ostrosky","given":"Talia","non-dropping-particle":"","parse-names":false,"suffix":""},{"dropping-particle":"","family":"Perelman","given":"Carol","non-dropping-particle":"","parse-names":false,"suffix":""},{"dropping-particle":"","family":"Sepulveda","given":"Rosalinda","non-dropping-particle":"","parse-names":false,"suffix":""},{"dropping-particle":"","family":"Rebolledo","given":"Paulina A.","non-dropping-particle":"","parse-names":false,"suffix":""},{"dropping-particle":"","family":"Cuapio","given":"Angelica","non-dropping-particle":"","parse-names":false,"suffix":""},{"dropping-particle":"","family":"Villapol","given":"Sonia","non-dropping-particle":"","parse-names":false,"suffix":""}],"container-title":"Scientific Reports","id":"ITEM-1","issue":"1","issued":{"date-parts":[["2021"]]},"page":"1-12","publisher":"Nature Publishing Group UK","title":"More than 50 long-term effects of COVID-19: a systematic review and meta-analysis","type":"article-journal","volume":"11"},"uris":["http://www.mendeley.com/documents/?uuid=6644ba6a-c7c6-49a1-8831-b1c7e1929d3d"]}],"mendeley":{"formattedCitation":"(33)","plainTextFormattedCitation":"(33)","previouslyFormattedCitation":"(33)"},"properties":{"noteIndex":0},"schema":"https://github.com/citation-style-language/schema/raw/master/csl-citation.json"}</w:instrText>
      </w:r>
      <w:r>
        <w:fldChar w:fldCharType="separate"/>
      </w:r>
      <w:r>
        <w:rPr>
          <w:rFonts w:cs="Calibri"/>
        </w:rPr>
        <w:t>(33)</w:t>
      </w:r>
      <w:r>
        <w:fldChar w:fldCharType="end"/>
      </w:r>
      <w:r>
        <w:rPr>
          <w:rFonts w:cs="Calibri"/>
        </w:rPr>
        <w:t xml:space="preserve"> the prevalence of these symptoms after the infectious event does not differ between patients with or without rheumatological diseases when compared with our results (34).</w:t>
      </w:r>
    </w:p>
    <w:p w14:paraId="0E6AB451" w14:textId="3E1E8E5D" w:rsidR="006234FE" w:rsidRPr="006234FE" w:rsidRDefault="006234FE" w:rsidP="006234FE">
      <w:pPr>
        <w:tabs>
          <w:tab w:val="left" w:pos="4680"/>
        </w:tabs>
        <w:spacing w:line="360" w:lineRule="auto"/>
        <w:rPr>
          <w:rFonts w:cs="Calibri"/>
        </w:rPr>
      </w:pPr>
      <w:r>
        <w:rPr>
          <w:rFonts w:cs="Calibri"/>
        </w:rPr>
        <w:t>However, we found a lower</w:t>
      </w:r>
      <w:r w:rsidR="006C5AC2">
        <w:rPr>
          <w:rFonts w:cs="Calibri"/>
        </w:rPr>
        <w:t xml:space="preserve"> relative risk of fatigue in patients with SLE compared</w:t>
      </w:r>
      <w:r>
        <w:rPr>
          <w:rFonts w:cs="Calibri"/>
        </w:rPr>
        <w:t xml:space="preserve"> to other rheumatological diseases. </w:t>
      </w:r>
    </w:p>
    <w:tbl>
      <w:tblPr>
        <w:tblStyle w:val="Tablaconcuadrcula"/>
        <w:tblW w:w="0" w:type="auto"/>
        <w:tblLook w:val="04A0" w:firstRow="1" w:lastRow="0" w:firstColumn="1" w:lastColumn="0" w:noHBand="0" w:noVBand="1"/>
      </w:tblPr>
      <w:tblGrid>
        <w:gridCol w:w="3045"/>
        <w:gridCol w:w="780"/>
        <w:gridCol w:w="1223"/>
        <w:gridCol w:w="999"/>
        <w:gridCol w:w="1036"/>
        <w:gridCol w:w="1745"/>
      </w:tblGrid>
      <w:tr w:rsidR="004D01D5" w14:paraId="7FBB52FE" w14:textId="3784A863" w:rsidTr="004D01D5">
        <w:tc>
          <w:tcPr>
            <w:tcW w:w="3045" w:type="dxa"/>
            <w:vAlign w:val="bottom"/>
          </w:tcPr>
          <w:p w14:paraId="71BBD532" w14:textId="538D89C4" w:rsidR="004D01D5" w:rsidRDefault="004D01D5" w:rsidP="00C27BD8">
            <w:r>
              <w:rPr>
                <w:rFonts w:eastAsia="Times New Roman" w:cs="Calibri"/>
                <w:color w:val="000000"/>
                <w:lang w:eastAsia="es-MX"/>
              </w:rPr>
              <w:t>Symptom</w:t>
            </w:r>
          </w:p>
        </w:tc>
        <w:tc>
          <w:tcPr>
            <w:tcW w:w="780" w:type="dxa"/>
            <w:vAlign w:val="bottom"/>
          </w:tcPr>
          <w:p w14:paraId="4DEEE450" w14:textId="77EAF679" w:rsidR="004D01D5" w:rsidRDefault="004D01D5" w:rsidP="00C27BD8">
            <w:r>
              <w:rPr>
                <w:rFonts w:eastAsia="Times New Roman" w:cs="Calibri"/>
                <w:color w:val="000000"/>
                <w:lang w:eastAsia="es-MX"/>
              </w:rPr>
              <w:t>RR</w:t>
            </w:r>
          </w:p>
        </w:tc>
        <w:tc>
          <w:tcPr>
            <w:tcW w:w="1223" w:type="dxa"/>
            <w:vAlign w:val="bottom"/>
          </w:tcPr>
          <w:p w14:paraId="60B9A25C" w14:textId="474D4FD1" w:rsidR="004D01D5" w:rsidRDefault="004D01D5" w:rsidP="00C27BD8">
            <w:r>
              <w:rPr>
                <w:rFonts w:eastAsia="Times New Roman" w:cs="Calibri"/>
                <w:color w:val="000000"/>
                <w:lang w:eastAsia="es-MX"/>
              </w:rPr>
              <w:t>95% CI</w:t>
            </w:r>
          </w:p>
        </w:tc>
        <w:tc>
          <w:tcPr>
            <w:tcW w:w="999" w:type="dxa"/>
          </w:tcPr>
          <w:p w14:paraId="4C968055" w14:textId="2EDF1E10" w:rsidR="004D01D5" w:rsidRDefault="004D01D5" w:rsidP="00C27BD8">
            <w:r>
              <w:t>P value</w:t>
            </w:r>
          </w:p>
        </w:tc>
        <w:tc>
          <w:tcPr>
            <w:tcW w:w="1036" w:type="dxa"/>
          </w:tcPr>
          <w:p w14:paraId="44C61FB6" w14:textId="78C68249" w:rsidR="004D01D5" w:rsidRDefault="004D01D5" w:rsidP="00C27BD8">
            <w:r>
              <w:t>Z score</w:t>
            </w:r>
          </w:p>
        </w:tc>
        <w:tc>
          <w:tcPr>
            <w:tcW w:w="1745" w:type="dxa"/>
          </w:tcPr>
          <w:p w14:paraId="773CA572" w14:textId="2D09DBE4" w:rsidR="004D01D5" w:rsidRDefault="004D01D5" w:rsidP="00C27BD8">
            <w:r>
              <w:t>SLE vs RA</w:t>
            </w:r>
          </w:p>
        </w:tc>
      </w:tr>
      <w:tr w:rsidR="004D01D5" w14:paraId="292CB8A5" w14:textId="6CA3EB31" w:rsidTr="004D01D5">
        <w:tc>
          <w:tcPr>
            <w:tcW w:w="3045" w:type="dxa"/>
            <w:vAlign w:val="bottom"/>
          </w:tcPr>
          <w:p w14:paraId="506BDE39" w14:textId="55CA9188" w:rsidR="004D01D5" w:rsidRDefault="004D01D5" w:rsidP="00B63882">
            <w:r>
              <w:rPr>
                <w:rFonts w:ascii="Calibri" w:hAnsi="Calibri" w:cs="Calibri"/>
                <w:color w:val="000000"/>
              </w:rPr>
              <w:t>Fatigue</w:t>
            </w:r>
          </w:p>
        </w:tc>
        <w:tc>
          <w:tcPr>
            <w:tcW w:w="780" w:type="dxa"/>
            <w:vAlign w:val="bottom"/>
          </w:tcPr>
          <w:p w14:paraId="5539059A" w14:textId="146CA1FB" w:rsidR="004D01D5" w:rsidRDefault="004D01D5" w:rsidP="00B63882">
            <w:r>
              <w:rPr>
                <w:rFonts w:ascii="Calibri" w:hAnsi="Calibri" w:cs="Calibri"/>
                <w:color w:val="000000"/>
              </w:rPr>
              <w:t>0.55</w:t>
            </w:r>
          </w:p>
        </w:tc>
        <w:tc>
          <w:tcPr>
            <w:tcW w:w="1223" w:type="dxa"/>
            <w:vAlign w:val="bottom"/>
          </w:tcPr>
          <w:p w14:paraId="0798B712" w14:textId="08E95FE2" w:rsidR="004D01D5" w:rsidRDefault="004D01D5" w:rsidP="00B63882">
            <w:r>
              <w:rPr>
                <w:rFonts w:ascii="Calibri" w:hAnsi="Calibri" w:cs="Calibri"/>
                <w:color w:val="000000"/>
              </w:rPr>
              <w:t>(0.44-0.69)</w:t>
            </w:r>
          </w:p>
        </w:tc>
        <w:tc>
          <w:tcPr>
            <w:tcW w:w="999" w:type="dxa"/>
            <w:vAlign w:val="bottom"/>
          </w:tcPr>
          <w:p w14:paraId="08B3E404" w14:textId="7ACBDA1C" w:rsidR="004D01D5" w:rsidRDefault="004D01D5" w:rsidP="00B63882">
            <w:r>
              <w:rPr>
                <w:rFonts w:ascii="Calibri" w:hAnsi="Calibri" w:cs="Calibri"/>
                <w:color w:val="000000"/>
              </w:rPr>
              <w:t>0.02</w:t>
            </w:r>
          </w:p>
        </w:tc>
        <w:tc>
          <w:tcPr>
            <w:tcW w:w="1036" w:type="dxa"/>
          </w:tcPr>
          <w:p w14:paraId="783F22F3" w14:textId="2E5DA094" w:rsidR="004D01D5" w:rsidRDefault="004D01D5" w:rsidP="00B63882">
            <w:r>
              <w:t>0.07</w:t>
            </w:r>
          </w:p>
        </w:tc>
        <w:tc>
          <w:tcPr>
            <w:tcW w:w="1745" w:type="dxa"/>
          </w:tcPr>
          <w:p w14:paraId="67829C7A" w14:textId="567B4B0A" w:rsidR="004D01D5" w:rsidRDefault="004D01D5" w:rsidP="00B63882">
            <w:r>
              <w:t>Decrease risk</w:t>
            </w:r>
          </w:p>
        </w:tc>
      </w:tr>
      <w:tr w:rsidR="004D01D5" w14:paraId="7A54D2C2" w14:textId="18B9E0E5" w:rsidTr="004D01D5">
        <w:tc>
          <w:tcPr>
            <w:tcW w:w="3045" w:type="dxa"/>
            <w:vAlign w:val="bottom"/>
          </w:tcPr>
          <w:p w14:paraId="33B448DD" w14:textId="573E0338" w:rsidR="004D01D5" w:rsidRDefault="004D01D5" w:rsidP="00B63882">
            <w:r>
              <w:rPr>
                <w:rFonts w:ascii="Calibri" w:hAnsi="Calibri" w:cs="Calibri"/>
                <w:color w:val="000000"/>
              </w:rPr>
              <w:t>Headache</w:t>
            </w:r>
          </w:p>
        </w:tc>
        <w:tc>
          <w:tcPr>
            <w:tcW w:w="780" w:type="dxa"/>
            <w:vAlign w:val="bottom"/>
          </w:tcPr>
          <w:p w14:paraId="265C2599" w14:textId="268EE770" w:rsidR="004D01D5" w:rsidRDefault="004D01D5" w:rsidP="00B63882">
            <w:r>
              <w:rPr>
                <w:rFonts w:ascii="Calibri" w:hAnsi="Calibri" w:cs="Calibri"/>
                <w:color w:val="000000"/>
              </w:rPr>
              <w:t>0.58</w:t>
            </w:r>
          </w:p>
        </w:tc>
        <w:tc>
          <w:tcPr>
            <w:tcW w:w="1223" w:type="dxa"/>
            <w:vAlign w:val="bottom"/>
          </w:tcPr>
          <w:p w14:paraId="381B13DB" w14:textId="5594027E" w:rsidR="004D01D5" w:rsidRDefault="004D01D5" w:rsidP="00B63882">
            <w:r>
              <w:rPr>
                <w:rFonts w:ascii="Calibri" w:hAnsi="Calibri" w:cs="Calibri"/>
                <w:color w:val="000000"/>
              </w:rPr>
              <w:t>(0.43-0.78)</w:t>
            </w:r>
          </w:p>
        </w:tc>
        <w:tc>
          <w:tcPr>
            <w:tcW w:w="999" w:type="dxa"/>
            <w:vAlign w:val="bottom"/>
          </w:tcPr>
          <w:p w14:paraId="01D59805" w14:textId="797B4CFE" w:rsidR="004D01D5" w:rsidRDefault="004D01D5" w:rsidP="00B63882">
            <w:r>
              <w:rPr>
                <w:rFonts w:ascii="Calibri" w:hAnsi="Calibri" w:cs="Calibri"/>
                <w:color w:val="000000"/>
              </w:rPr>
              <w:t>0.05</w:t>
            </w:r>
          </w:p>
        </w:tc>
        <w:tc>
          <w:tcPr>
            <w:tcW w:w="1036" w:type="dxa"/>
          </w:tcPr>
          <w:p w14:paraId="7A35BB06" w14:textId="2AA3676B" w:rsidR="004D01D5" w:rsidRDefault="004D01D5" w:rsidP="00B63882">
            <w:r>
              <w:t>0.69</w:t>
            </w:r>
          </w:p>
        </w:tc>
        <w:tc>
          <w:tcPr>
            <w:tcW w:w="1745" w:type="dxa"/>
          </w:tcPr>
          <w:p w14:paraId="2DF56C3D" w14:textId="5437F7AF" w:rsidR="004D01D5" w:rsidRDefault="004D01D5" w:rsidP="00B63882">
            <w:r>
              <w:t>*No significance</w:t>
            </w:r>
          </w:p>
        </w:tc>
      </w:tr>
      <w:tr w:rsidR="004D01D5" w14:paraId="4D388FF6" w14:textId="3B4618BB" w:rsidTr="004D01D5">
        <w:tc>
          <w:tcPr>
            <w:tcW w:w="3045" w:type="dxa"/>
            <w:vAlign w:val="bottom"/>
          </w:tcPr>
          <w:p w14:paraId="23265DE1" w14:textId="010E5C01" w:rsidR="004D01D5" w:rsidRDefault="004D01D5" w:rsidP="00B63882">
            <w:r>
              <w:rPr>
                <w:rFonts w:ascii="Calibri" w:hAnsi="Calibri" w:cs="Calibri"/>
                <w:color w:val="000000"/>
              </w:rPr>
              <w:t>Arthralgias</w:t>
            </w:r>
          </w:p>
        </w:tc>
        <w:tc>
          <w:tcPr>
            <w:tcW w:w="780" w:type="dxa"/>
            <w:vAlign w:val="bottom"/>
          </w:tcPr>
          <w:p w14:paraId="11EC4EE4" w14:textId="53517194" w:rsidR="004D01D5" w:rsidRDefault="004D01D5" w:rsidP="00B63882">
            <w:r>
              <w:rPr>
                <w:rFonts w:ascii="Calibri" w:hAnsi="Calibri" w:cs="Calibri"/>
                <w:color w:val="000000"/>
              </w:rPr>
              <w:t>0.7</w:t>
            </w:r>
          </w:p>
        </w:tc>
        <w:tc>
          <w:tcPr>
            <w:tcW w:w="1223" w:type="dxa"/>
            <w:vAlign w:val="bottom"/>
          </w:tcPr>
          <w:p w14:paraId="319B459D" w14:textId="7E699BAE" w:rsidR="004D01D5" w:rsidRDefault="004D01D5" w:rsidP="00B63882">
            <w:r>
              <w:rPr>
                <w:rFonts w:ascii="Calibri" w:hAnsi="Calibri" w:cs="Calibri"/>
                <w:color w:val="000000"/>
              </w:rPr>
              <w:t>(0.5-0.99)</w:t>
            </w:r>
          </w:p>
        </w:tc>
        <w:tc>
          <w:tcPr>
            <w:tcW w:w="999" w:type="dxa"/>
            <w:vAlign w:val="bottom"/>
          </w:tcPr>
          <w:p w14:paraId="2CCA6823" w14:textId="0A45B0FA" w:rsidR="004D01D5" w:rsidRDefault="004D01D5" w:rsidP="00B63882">
            <w:r>
              <w:rPr>
                <w:rFonts w:ascii="Calibri" w:hAnsi="Calibri" w:cs="Calibri"/>
                <w:color w:val="000000"/>
              </w:rPr>
              <w:t>0.18</w:t>
            </w:r>
          </w:p>
        </w:tc>
        <w:tc>
          <w:tcPr>
            <w:tcW w:w="1036" w:type="dxa"/>
          </w:tcPr>
          <w:p w14:paraId="6C09C0DB" w14:textId="3BB430E4" w:rsidR="004D01D5" w:rsidRDefault="004D01D5" w:rsidP="00B63882">
            <w:r>
              <w:t>0.43</w:t>
            </w:r>
          </w:p>
        </w:tc>
        <w:tc>
          <w:tcPr>
            <w:tcW w:w="1745" w:type="dxa"/>
          </w:tcPr>
          <w:p w14:paraId="0B2F9D19" w14:textId="2EEC776F" w:rsidR="004D01D5" w:rsidRDefault="004D01D5" w:rsidP="00B63882">
            <w:r>
              <w:t>*No significance</w:t>
            </w:r>
          </w:p>
        </w:tc>
      </w:tr>
      <w:tr w:rsidR="004D01D5" w14:paraId="1A9557E7" w14:textId="3CAA6F6B" w:rsidTr="004D01D5">
        <w:tc>
          <w:tcPr>
            <w:tcW w:w="3045" w:type="dxa"/>
            <w:vAlign w:val="bottom"/>
          </w:tcPr>
          <w:p w14:paraId="243E937F" w14:textId="6B11C5D3" w:rsidR="004D01D5" w:rsidRDefault="004D01D5" w:rsidP="00B63882">
            <w:r>
              <w:rPr>
                <w:rFonts w:ascii="Calibri" w:hAnsi="Calibri" w:cs="Calibri"/>
                <w:color w:val="000000"/>
              </w:rPr>
              <w:t>Myalgias</w:t>
            </w:r>
          </w:p>
        </w:tc>
        <w:tc>
          <w:tcPr>
            <w:tcW w:w="780" w:type="dxa"/>
            <w:vAlign w:val="bottom"/>
          </w:tcPr>
          <w:p w14:paraId="0FAD417C" w14:textId="047A0DA8" w:rsidR="004D01D5" w:rsidRDefault="004D01D5" w:rsidP="00B63882">
            <w:r>
              <w:rPr>
                <w:rFonts w:ascii="Calibri" w:hAnsi="Calibri" w:cs="Calibri"/>
                <w:color w:val="000000"/>
              </w:rPr>
              <w:t>0.82</w:t>
            </w:r>
          </w:p>
        </w:tc>
        <w:tc>
          <w:tcPr>
            <w:tcW w:w="1223" w:type="dxa"/>
            <w:vAlign w:val="bottom"/>
          </w:tcPr>
          <w:p w14:paraId="04B5FD6E" w14:textId="7176511C" w:rsidR="004D01D5" w:rsidRDefault="004D01D5" w:rsidP="00B63882">
            <w:r>
              <w:rPr>
                <w:rFonts w:ascii="Calibri" w:hAnsi="Calibri" w:cs="Calibri"/>
                <w:color w:val="000000"/>
              </w:rPr>
              <w:t>(0.62-1.07</w:t>
            </w:r>
          </w:p>
        </w:tc>
        <w:tc>
          <w:tcPr>
            <w:tcW w:w="999" w:type="dxa"/>
            <w:vAlign w:val="bottom"/>
          </w:tcPr>
          <w:p w14:paraId="54C80E18" w14:textId="4068BBF9" w:rsidR="004D01D5" w:rsidRDefault="004D01D5" w:rsidP="00B63882">
            <w:r>
              <w:rPr>
                <w:rFonts w:ascii="Calibri" w:hAnsi="Calibri" w:cs="Calibri"/>
                <w:color w:val="000000"/>
              </w:rPr>
              <w:t>0.291</w:t>
            </w:r>
          </w:p>
        </w:tc>
        <w:tc>
          <w:tcPr>
            <w:tcW w:w="1036" w:type="dxa"/>
          </w:tcPr>
          <w:p w14:paraId="19D1A435" w14:textId="249331F4" w:rsidR="004D01D5" w:rsidRDefault="004D01D5" w:rsidP="00B63882">
            <w:r>
              <w:t>0.18</w:t>
            </w:r>
          </w:p>
        </w:tc>
        <w:tc>
          <w:tcPr>
            <w:tcW w:w="1745" w:type="dxa"/>
          </w:tcPr>
          <w:p w14:paraId="71814392" w14:textId="40AEAC13" w:rsidR="004D01D5" w:rsidRDefault="004D01D5" w:rsidP="00B63882">
            <w:r>
              <w:t>*No significance</w:t>
            </w:r>
          </w:p>
        </w:tc>
      </w:tr>
      <w:tr w:rsidR="004D01D5" w14:paraId="04A912F8" w14:textId="070A20DE" w:rsidTr="004D01D5">
        <w:tc>
          <w:tcPr>
            <w:tcW w:w="3045" w:type="dxa"/>
            <w:vAlign w:val="bottom"/>
          </w:tcPr>
          <w:p w14:paraId="6E59F9CE" w14:textId="23DF2B79" w:rsidR="004D01D5" w:rsidRDefault="004D01D5" w:rsidP="00B63882">
            <w:r>
              <w:rPr>
                <w:rFonts w:ascii="Calibri" w:hAnsi="Calibri" w:cs="Calibri"/>
                <w:color w:val="000000"/>
              </w:rPr>
              <w:t>Palpitations</w:t>
            </w:r>
          </w:p>
        </w:tc>
        <w:tc>
          <w:tcPr>
            <w:tcW w:w="780" w:type="dxa"/>
            <w:vAlign w:val="bottom"/>
          </w:tcPr>
          <w:p w14:paraId="0CD13938" w14:textId="596A9B9B" w:rsidR="004D01D5" w:rsidRDefault="004D01D5" w:rsidP="00B63882">
            <w:r>
              <w:rPr>
                <w:rFonts w:ascii="Calibri" w:hAnsi="Calibri" w:cs="Calibri"/>
                <w:color w:val="000000"/>
              </w:rPr>
              <w:t>1.3</w:t>
            </w:r>
          </w:p>
        </w:tc>
        <w:tc>
          <w:tcPr>
            <w:tcW w:w="1223" w:type="dxa"/>
            <w:vAlign w:val="bottom"/>
          </w:tcPr>
          <w:p w14:paraId="518CC3AD" w14:textId="21CBAACC" w:rsidR="004D01D5" w:rsidRDefault="004D01D5" w:rsidP="00B63882">
            <w:r>
              <w:rPr>
                <w:rFonts w:ascii="Calibri" w:hAnsi="Calibri" w:cs="Calibri"/>
                <w:color w:val="000000"/>
              </w:rPr>
              <w:t>(1.15-1.64)</w:t>
            </w:r>
          </w:p>
        </w:tc>
        <w:tc>
          <w:tcPr>
            <w:tcW w:w="999" w:type="dxa"/>
            <w:vAlign w:val="bottom"/>
          </w:tcPr>
          <w:p w14:paraId="203BB5BE" w14:textId="0D00200B" w:rsidR="004D01D5" w:rsidRDefault="004D01D5" w:rsidP="00B63882">
            <w:r>
              <w:rPr>
                <w:rFonts w:ascii="Calibri" w:hAnsi="Calibri" w:cs="Calibri"/>
                <w:color w:val="000000"/>
              </w:rPr>
              <w:t>0.166</w:t>
            </w:r>
          </w:p>
        </w:tc>
        <w:tc>
          <w:tcPr>
            <w:tcW w:w="1036" w:type="dxa"/>
          </w:tcPr>
          <w:p w14:paraId="2DB7F119" w14:textId="6C684CA2" w:rsidR="004D01D5" w:rsidRDefault="004D01D5" w:rsidP="00B63882">
            <w:r>
              <w:t>0.26</w:t>
            </w:r>
          </w:p>
        </w:tc>
        <w:tc>
          <w:tcPr>
            <w:tcW w:w="1745" w:type="dxa"/>
          </w:tcPr>
          <w:p w14:paraId="2A9B9C9F" w14:textId="080C2B13" w:rsidR="004D01D5" w:rsidRDefault="004D01D5" w:rsidP="00B63882">
            <w:r>
              <w:t>*No significance</w:t>
            </w:r>
          </w:p>
        </w:tc>
      </w:tr>
      <w:tr w:rsidR="004D01D5" w14:paraId="2F419537" w14:textId="2ED44D8A" w:rsidTr="004D01D5">
        <w:tc>
          <w:tcPr>
            <w:tcW w:w="3045" w:type="dxa"/>
            <w:vAlign w:val="bottom"/>
          </w:tcPr>
          <w:p w14:paraId="65496120" w14:textId="43938DE9" w:rsidR="004D01D5" w:rsidRDefault="004D01D5" w:rsidP="00B63882">
            <w:r>
              <w:rPr>
                <w:rFonts w:ascii="Calibri" w:hAnsi="Calibri" w:cs="Calibri"/>
                <w:color w:val="000000"/>
              </w:rPr>
              <w:t>Skin lesions</w:t>
            </w:r>
          </w:p>
        </w:tc>
        <w:tc>
          <w:tcPr>
            <w:tcW w:w="780" w:type="dxa"/>
            <w:vAlign w:val="bottom"/>
          </w:tcPr>
          <w:p w14:paraId="4B1FE8D5" w14:textId="69E05E46" w:rsidR="004D01D5" w:rsidRDefault="004D01D5" w:rsidP="00B63882">
            <w:r>
              <w:rPr>
                <w:rFonts w:ascii="Calibri" w:hAnsi="Calibri" w:cs="Calibri"/>
                <w:color w:val="000000"/>
              </w:rPr>
              <w:t>0.66</w:t>
            </w:r>
          </w:p>
        </w:tc>
        <w:tc>
          <w:tcPr>
            <w:tcW w:w="1223" w:type="dxa"/>
            <w:vAlign w:val="bottom"/>
          </w:tcPr>
          <w:p w14:paraId="223415E9" w14:textId="001DF03F" w:rsidR="004D01D5" w:rsidRDefault="004D01D5" w:rsidP="00B63882">
            <w:r>
              <w:rPr>
                <w:rFonts w:ascii="Calibri" w:hAnsi="Calibri" w:cs="Calibri"/>
                <w:color w:val="000000"/>
              </w:rPr>
              <w:t>(0.42-1.05)</w:t>
            </w:r>
          </w:p>
        </w:tc>
        <w:tc>
          <w:tcPr>
            <w:tcW w:w="999" w:type="dxa"/>
            <w:vAlign w:val="bottom"/>
          </w:tcPr>
          <w:p w14:paraId="43396004" w14:textId="58D9FEA4" w:rsidR="004D01D5" w:rsidRDefault="004D01D5" w:rsidP="00B63882">
            <w:r>
              <w:rPr>
                <w:rFonts w:ascii="Calibri" w:hAnsi="Calibri" w:cs="Calibri"/>
                <w:color w:val="000000"/>
              </w:rPr>
              <w:t>0.171</w:t>
            </w:r>
          </w:p>
        </w:tc>
        <w:tc>
          <w:tcPr>
            <w:tcW w:w="1036" w:type="dxa"/>
          </w:tcPr>
          <w:p w14:paraId="0B25412A" w14:textId="7A172ED6" w:rsidR="004D01D5" w:rsidRDefault="004D01D5" w:rsidP="00B63882">
            <w:r>
              <w:t>0.29</w:t>
            </w:r>
          </w:p>
        </w:tc>
        <w:tc>
          <w:tcPr>
            <w:tcW w:w="1745" w:type="dxa"/>
          </w:tcPr>
          <w:p w14:paraId="21AF6F71" w14:textId="55DD2708" w:rsidR="004D01D5" w:rsidRDefault="004D01D5" w:rsidP="00B63882">
            <w:r>
              <w:t>*No significance</w:t>
            </w:r>
          </w:p>
        </w:tc>
      </w:tr>
      <w:tr w:rsidR="004D01D5" w14:paraId="3AD3AC9A" w14:textId="62530064" w:rsidTr="004D01D5">
        <w:tc>
          <w:tcPr>
            <w:tcW w:w="3045" w:type="dxa"/>
            <w:vAlign w:val="bottom"/>
          </w:tcPr>
          <w:p w14:paraId="02063839" w14:textId="0EB7EC07" w:rsidR="004D01D5" w:rsidRDefault="004D01D5" w:rsidP="00B63882">
            <w:r>
              <w:rPr>
                <w:rFonts w:ascii="Calibri" w:hAnsi="Calibri" w:cs="Calibri"/>
                <w:color w:val="000000"/>
              </w:rPr>
              <w:t>Depression</w:t>
            </w:r>
          </w:p>
        </w:tc>
        <w:tc>
          <w:tcPr>
            <w:tcW w:w="780" w:type="dxa"/>
            <w:vAlign w:val="bottom"/>
          </w:tcPr>
          <w:p w14:paraId="43A7A2FF" w14:textId="5F8DA2E2" w:rsidR="004D01D5" w:rsidRDefault="004D01D5" w:rsidP="00B63882">
            <w:r>
              <w:rPr>
                <w:rFonts w:ascii="Calibri" w:hAnsi="Calibri" w:cs="Calibri"/>
                <w:color w:val="000000"/>
              </w:rPr>
              <w:t>0.73</w:t>
            </w:r>
          </w:p>
        </w:tc>
        <w:tc>
          <w:tcPr>
            <w:tcW w:w="1223" w:type="dxa"/>
            <w:vAlign w:val="bottom"/>
          </w:tcPr>
          <w:p w14:paraId="1124E4A3" w14:textId="52B44308" w:rsidR="004D01D5" w:rsidRDefault="004D01D5" w:rsidP="00B63882">
            <w:r>
              <w:rPr>
                <w:rFonts w:ascii="Calibri" w:hAnsi="Calibri" w:cs="Calibri"/>
                <w:color w:val="000000"/>
              </w:rPr>
              <w:t>(0.39-1.39)</w:t>
            </w:r>
          </w:p>
        </w:tc>
        <w:tc>
          <w:tcPr>
            <w:tcW w:w="999" w:type="dxa"/>
            <w:vAlign w:val="bottom"/>
          </w:tcPr>
          <w:p w14:paraId="4F63FD15" w14:textId="3E0ABFB5" w:rsidR="004D01D5" w:rsidRDefault="004D01D5" w:rsidP="00B63882">
            <w:r>
              <w:rPr>
                <w:rFonts w:ascii="Calibri" w:hAnsi="Calibri" w:cs="Calibri"/>
                <w:color w:val="000000"/>
              </w:rPr>
              <w:t>0.274</w:t>
            </w:r>
          </w:p>
        </w:tc>
        <w:tc>
          <w:tcPr>
            <w:tcW w:w="1036" w:type="dxa"/>
          </w:tcPr>
          <w:p w14:paraId="49F0ED7D" w14:textId="6569D5E1" w:rsidR="004D01D5" w:rsidRDefault="004D01D5" w:rsidP="00B63882">
            <w:r>
              <w:t>0.84</w:t>
            </w:r>
          </w:p>
        </w:tc>
        <w:tc>
          <w:tcPr>
            <w:tcW w:w="1745" w:type="dxa"/>
          </w:tcPr>
          <w:p w14:paraId="2542DAF7" w14:textId="202F416A" w:rsidR="004D01D5" w:rsidRDefault="004D01D5" w:rsidP="00B63882">
            <w:r>
              <w:t>*No significance</w:t>
            </w:r>
          </w:p>
        </w:tc>
      </w:tr>
      <w:tr w:rsidR="004D01D5" w14:paraId="5B8A8919" w14:textId="10D6F905" w:rsidTr="004D01D5">
        <w:tc>
          <w:tcPr>
            <w:tcW w:w="3045" w:type="dxa"/>
            <w:vAlign w:val="bottom"/>
          </w:tcPr>
          <w:p w14:paraId="659161C4" w14:textId="40E68DDA" w:rsidR="004D01D5" w:rsidRDefault="004D01D5" w:rsidP="00B63882">
            <w:r>
              <w:rPr>
                <w:rFonts w:ascii="Calibri" w:hAnsi="Calibri" w:cs="Calibri"/>
                <w:color w:val="000000"/>
              </w:rPr>
              <w:t>Smell disorders</w:t>
            </w:r>
          </w:p>
        </w:tc>
        <w:tc>
          <w:tcPr>
            <w:tcW w:w="780" w:type="dxa"/>
            <w:vAlign w:val="bottom"/>
          </w:tcPr>
          <w:p w14:paraId="15608388" w14:textId="57AE90D1" w:rsidR="004D01D5" w:rsidRDefault="004D01D5" w:rsidP="00B63882">
            <w:r>
              <w:rPr>
                <w:rFonts w:ascii="Calibri" w:hAnsi="Calibri" w:cs="Calibri"/>
                <w:color w:val="000000"/>
              </w:rPr>
              <w:t>0.66</w:t>
            </w:r>
          </w:p>
        </w:tc>
        <w:tc>
          <w:tcPr>
            <w:tcW w:w="1223" w:type="dxa"/>
            <w:vAlign w:val="bottom"/>
          </w:tcPr>
          <w:p w14:paraId="32A2BE64" w14:textId="159E951A" w:rsidR="004D01D5" w:rsidRDefault="004D01D5" w:rsidP="00B63882">
            <w:r>
              <w:rPr>
                <w:rFonts w:ascii="Calibri" w:hAnsi="Calibri" w:cs="Calibri"/>
                <w:color w:val="000000"/>
              </w:rPr>
              <w:t>(0.42-1.05)</w:t>
            </w:r>
          </w:p>
        </w:tc>
        <w:tc>
          <w:tcPr>
            <w:tcW w:w="999" w:type="dxa"/>
            <w:vAlign w:val="bottom"/>
          </w:tcPr>
          <w:p w14:paraId="286ECED5" w14:textId="3D694C55" w:rsidR="004D01D5" w:rsidRDefault="004D01D5" w:rsidP="00B63882">
            <w:r>
              <w:rPr>
                <w:rFonts w:ascii="Calibri" w:hAnsi="Calibri" w:cs="Calibri"/>
                <w:color w:val="000000"/>
              </w:rPr>
              <w:t>0.171</w:t>
            </w:r>
          </w:p>
        </w:tc>
        <w:tc>
          <w:tcPr>
            <w:tcW w:w="1036" w:type="dxa"/>
          </w:tcPr>
          <w:p w14:paraId="3E018650" w14:textId="26C3F755" w:rsidR="004D01D5" w:rsidRDefault="004D01D5" w:rsidP="00B63882">
            <w:r>
              <w:t>0.13</w:t>
            </w:r>
          </w:p>
        </w:tc>
        <w:tc>
          <w:tcPr>
            <w:tcW w:w="1745" w:type="dxa"/>
          </w:tcPr>
          <w:p w14:paraId="221BECA4" w14:textId="4FED3B60" w:rsidR="004D01D5" w:rsidRDefault="004D01D5" w:rsidP="00B63882">
            <w:r>
              <w:t>*No significance</w:t>
            </w:r>
          </w:p>
        </w:tc>
      </w:tr>
      <w:tr w:rsidR="004D01D5" w14:paraId="382F0BA8" w14:textId="24520F6B" w:rsidTr="004D01D5">
        <w:tc>
          <w:tcPr>
            <w:tcW w:w="3045" w:type="dxa"/>
            <w:vAlign w:val="bottom"/>
          </w:tcPr>
          <w:p w14:paraId="6CBA5C58" w14:textId="67DCBEB5" w:rsidR="004D01D5" w:rsidRDefault="004D01D5" w:rsidP="00B63882">
            <w:r>
              <w:rPr>
                <w:rFonts w:ascii="Calibri" w:hAnsi="Calibri" w:cs="Calibri"/>
                <w:color w:val="000000"/>
              </w:rPr>
              <w:t>Taste disorders</w:t>
            </w:r>
          </w:p>
        </w:tc>
        <w:tc>
          <w:tcPr>
            <w:tcW w:w="780" w:type="dxa"/>
            <w:vAlign w:val="bottom"/>
          </w:tcPr>
          <w:p w14:paraId="44759B1F" w14:textId="5EF67E29" w:rsidR="004D01D5" w:rsidRDefault="004D01D5" w:rsidP="00B63882">
            <w:r>
              <w:rPr>
                <w:rFonts w:ascii="Calibri" w:hAnsi="Calibri" w:cs="Calibri"/>
                <w:color w:val="000000"/>
              </w:rPr>
              <w:t>1.1</w:t>
            </w:r>
          </w:p>
        </w:tc>
        <w:tc>
          <w:tcPr>
            <w:tcW w:w="1223" w:type="dxa"/>
            <w:vAlign w:val="bottom"/>
          </w:tcPr>
          <w:p w14:paraId="6ECCD78A" w14:textId="1B02F31E" w:rsidR="004D01D5" w:rsidRDefault="004D01D5" w:rsidP="00B63882">
            <w:r>
              <w:rPr>
                <w:rFonts w:ascii="Calibri" w:hAnsi="Calibri" w:cs="Calibri"/>
                <w:color w:val="000000"/>
              </w:rPr>
              <w:t>(0.85-1.44)</w:t>
            </w:r>
          </w:p>
        </w:tc>
        <w:tc>
          <w:tcPr>
            <w:tcW w:w="999" w:type="dxa"/>
            <w:vAlign w:val="bottom"/>
          </w:tcPr>
          <w:p w14:paraId="4375BCD2" w14:textId="0BA240F5" w:rsidR="004D01D5" w:rsidRDefault="004D01D5" w:rsidP="00B63882">
            <w:r>
              <w:rPr>
                <w:rFonts w:ascii="Calibri" w:hAnsi="Calibri" w:cs="Calibri"/>
                <w:color w:val="000000"/>
              </w:rPr>
              <w:t>0.393</w:t>
            </w:r>
          </w:p>
        </w:tc>
        <w:tc>
          <w:tcPr>
            <w:tcW w:w="1036" w:type="dxa"/>
          </w:tcPr>
          <w:p w14:paraId="16D9AF84" w14:textId="4D1AC8C8" w:rsidR="004D01D5" w:rsidRDefault="004D01D5" w:rsidP="00B63882">
            <w:r>
              <w:t>0.12</w:t>
            </w:r>
          </w:p>
        </w:tc>
        <w:tc>
          <w:tcPr>
            <w:tcW w:w="1745" w:type="dxa"/>
          </w:tcPr>
          <w:p w14:paraId="7B264C6A" w14:textId="5B0BB0BC" w:rsidR="004D01D5" w:rsidRDefault="004D01D5" w:rsidP="00B63882">
            <w:r>
              <w:t>*No significance</w:t>
            </w:r>
          </w:p>
        </w:tc>
      </w:tr>
      <w:tr w:rsidR="004D01D5" w14:paraId="414B0B46" w14:textId="074E88D4" w:rsidTr="004D01D5">
        <w:tc>
          <w:tcPr>
            <w:tcW w:w="3045" w:type="dxa"/>
            <w:vAlign w:val="bottom"/>
          </w:tcPr>
          <w:p w14:paraId="7FDF086A" w14:textId="1A8D0FC8" w:rsidR="004D01D5" w:rsidRDefault="004D01D5" w:rsidP="00B63882">
            <w:r>
              <w:rPr>
                <w:rFonts w:ascii="Calibri" w:hAnsi="Calibri" w:cs="Calibri"/>
                <w:color w:val="000000"/>
              </w:rPr>
              <w:t>Dyspnoea</w:t>
            </w:r>
          </w:p>
        </w:tc>
        <w:tc>
          <w:tcPr>
            <w:tcW w:w="780" w:type="dxa"/>
            <w:vAlign w:val="bottom"/>
          </w:tcPr>
          <w:p w14:paraId="2A52C94A" w14:textId="3152DBBD" w:rsidR="004D01D5" w:rsidRDefault="004D01D5" w:rsidP="00B63882">
            <w:r>
              <w:rPr>
                <w:rFonts w:ascii="Calibri" w:hAnsi="Calibri" w:cs="Calibri"/>
                <w:color w:val="000000"/>
              </w:rPr>
              <w:t>0.78</w:t>
            </w:r>
          </w:p>
        </w:tc>
        <w:tc>
          <w:tcPr>
            <w:tcW w:w="1223" w:type="dxa"/>
            <w:vAlign w:val="bottom"/>
          </w:tcPr>
          <w:p w14:paraId="4500DC3F" w14:textId="4872A154" w:rsidR="004D01D5" w:rsidRDefault="004D01D5" w:rsidP="00B63882">
            <w:r>
              <w:rPr>
                <w:rFonts w:ascii="Calibri" w:hAnsi="Calibri" w:cs="Calibri"/>
                <w:color w:val="000000"/>
              </w:rPr>
              <w:t>(0.51-1.19)</w:t>
            </w:r>
          </w:p>
        </w:tc>
        <w:tc>
          <w:tcPr>
            <w:tcW w:w="999" w:type="dxa"/>
            <w:vAlign w:val="bottom"/>
          </w:tcPr>
          <w:p w14:paraId="4D0E37D9" w14:textId="6AA2B5F1" w:rsidR="004D01D5" w:rsidRDefault="004D01D5" w:rsidP="00B63882">
            <w:r>
              <w:rPr>
                <w:rFonts w:ascii="Calibri" w:hAnsi="Calibri" w:cs="Calibri"/>
                <w:color w:val="000000"/>
              </w:rPr>
              <w:t>0.286</w:t>
            </w:r>
          </w:p>
        </w:tc>
        <w:tc>
          <w:tcPr>
            <w:tcW w:w="1036" w:type="dxa"/>
          </w:tcPr>
          <w:p w14:paraId="35816D4E" w14:textId="51EC95F5" w:rsidR="004D01D5" w:rsidRDefault="004D01D5" w:rsidP="00B63882">
            <w:r>
              <w:t>0.7</w:t>
            </w:r>
          </w:p>
        </w:tc>
        <w:tc>
          <w:tcPr>
            <w:tcW w:w="1745" w:type="dxa"/>
          </w:tcPr>
          <w:p w14:paraId="6AE3EC7A" w14:textId="6A87F47C" w:rsidR="004D01D5" w:rsidRDefault="004D01D5" w:rsidP="00B63882">
            <w:r>
              <w:t>*No significance</w:t>
            </w:r>
          </w:p>
        </w:tc>
      </w:tr>
      <w:tr w:rsidR="004D01D5" w14:paraId="62DC36C6" w14:textId="44F3FEC1" w:rsidTr="004D01D5">
        <w:tc>
          <w:tcPr>
            <w:tcW w:w="3045" w:type="dxa"/>
            <w:vAlign w:val="bottom"/>
          </w:tcPr>
          <w:p w14:paraId="76FC5045" w14:textId="30A31FF5" w:rsidR="004D01D5" w:rsidRDefault="004D01D5" w:rsidP="00B63882">
            <w:r>
              <w:rPr>
                <w:rFonts w:ascii="Calibri" w:hAnsi="Calibri" w:cs="Calibri"/>
                <w:color w:val="000000"/>
              </w:rPr>
              <w:lastRenderedPageBreak/>
              <w:t>Memory and/or concentration alterations</w:t>
            </w:r>
          </w:p>
        </w:tc>
        <w:tc>
          <w:tcPr>
            <w:tcW w:w="780" w:type="dxa"/>
            <w:vAlign w:val="bottom"/>
          </w:tcPr>
          <w:p w14:paraId="48A07116" w14:textId="52C4AA44" w:rsidR="004D01D5" w:rsidRDefault="004D01D5" w:rsidP="00B63882">
            <w:r>
              <w:rPr>
                <w:rFonts w:ascii="Calibri" w:hAnsi="Calibri" w:cs="Calibri"/>
                <w:color w:val="000000"/>
              </w:rPr>
              <w:t>0.61</w:t>
            </w:r>
          </w:p>
        </w:tc>
        <w:tc>
          <w:tcPr>
            <w:tcW w:w="1223" w:type="dxa"/>
            <w:vAlign w:val="bottom"/>
          </w:tcPr>
          <w:p w14:paraId="4E1F22F2" w14:textId="29E86620" w:rsidR="004D01D5" w:rsidRDefault="004D01D5" w:rsidP="00B63882">
            <w:r>
              <w:rPr>
                <w:rFonts w:ascii="Calibri" w:hAnsi="Calibri" w:cs="Calibri"/>
                <w:color w:val="000000"/>
              </w:rPr>
              <w:t>(0.15-2.38)</w:t>
            </w:r>
          </w:p>
        </w:tc>
        <w:tc>
          <w:tcPr>
            <w:tcW w:w="999" w:type="dxa"/>
            <w:vAlign w:val="bottom"/>
          </w:tcPr>
          <w:p w14:paraId="1B8C8278" w14:textId="7F2ACE91" w:rsidR="004D01D5" w:rsidRDefault="004D01D5" w:rsidP="00B63882">
            <w:r>
              <w:rPr>
                <w:rFonts w:ascii="Calibri" w:hAnsi="Calibri" w:cs="Calibri"/>
                <w:color w:val="000000"/>
              </w:rPr>
              <w:t>0.244</w:t>
            </w:r>
          </w:p>
        </w:tc>
        <w:tc>
          <w:tcPr>
            <w:tcW w:w="1036" w:type="dxa"/>
          </w:tcPr>
          <w:p w14:paraId="7876064A" w14:textId="0FEB5840" w:rsidR="004D01D5" w:rsidRDefault="004D01D5" w:rsidP="00B63882">
            <w:r>
              <w:t>0.68</w:t>
            </w:r>
          </w:p>
        </w:tc>
        <w:tc>
          <w:tcPr>
            <w:tcW w:w="1745" w:type="dxa"/>
          </w:tcPr>
          <w:p w14:paraId="5F810475" w14:textId="7CBB313A" w:rsidR="004D01D5" w:rsidRDefault="004D01D5" w:rsidP="00B63882">
            <w:r>
              <w:t>*No significance</w:t>
            </w:r>
          </w:p>
        </w:tc>
      </w:tr>
      <w:tr w:rsidR="004D01D5" w14:paraId="636A49E4" w14:textId="7394EE3E" w:rsidTr="004D01D5">
        <w:tc>
          <w:tcPr>
            <w:tcW w:w="3045" w:type="dxa"/>
            <w:vAlign w:val="bottom"/>
          </w:tcPr>
          <w:p w14:paraId="352E275E" w14:textId="7D0DCB99" w:rsidR="004D01D5" w:rsidRDefault="004D01D5" w:rsidP="00B63882">
            <w:r>
              <w:rPr>
                <w:rFonts w:ascii="Calibri" w:hAnsi="Calibri" w:cs="Calibri"/>
                <w:color w:val="000000"/>
              </w:rPr>
              <w:t>Hair loss</w:t>
            </w:r>
          </w:p>
        </w:tc>
        <w:tc>
          <w:tcPr>
            <w:tcW w:w="780" w:type="dxa"/>
            <w:vAlign w:val="bottom"/>
          </w:tcPr>
          <w:p w14:paraId="46A90808" w14:textId="5DC4CCEA" w:rsidR="004D01D5" w:rsidRDefault="004D01D5" w:rsidP="00B63882">
            <w:r>
              <w:rPr>
                <w:rFonts w:ascii="Calibri" w:hAnsi="Calibri" w:cs="Calibri"/>
                <w:color w:val="000000"/>
              </w:rPr>
              <w:t>1.2</w:t>
            </w:r>
          </w:p>
        </w:tc>
        <w:tc>
          <w:tcPr>
            <w:tcW w:w="1223" w:type="dxa"/>
            <w:vAlign w:val="bottom"/>
          </w:tcPr>
          <w:p w14:paraId="5DA5EE4D" w14:textId="6C38F71F" w:rsidR="004D01D5" w:rsidRDefault="004D01D5" w:rsidP="00B63882">
            <w:r>
              <w:rPr>
                <w:rFonts w:ascii="Calibri" w:hAnsi="Calibri" w:cs="Calibri"/>
                <w:color w:val="000000"/>
              </w:rPr>
              <w:t>(0.98-1.45)</w:t>
            </w:r>
          </w:p>
        </w:tc>
        <w:tc>
          <w:tcPr>
            <w:tcW w:w="999" w:type="dxa"/>
            <w:vAlign w:val="bottom"/>
          </w:tcPr>
          <w:p w14:paraId="41B3E02E" w14:textId="28437FB9" w:rsidR="004D01D5" w:rsidRDefault="004D01D5" w:rsidP="00B63882">
            <w:r>
              <w:rPr>
                <w:rFonts w:ascii="Calibri" w:hAnsi="Calibri" w:cs="Calibri"/>
                <w:color w:val="000000"/>
              </w:rPr>
              <w:t>0.291</w:t>
            </w:r>
          </w:p>
        </w:tc>
        <w:tc>
          <w:tcPr>
            <w:tcW w:w="1036" w:type="dxa"/>
          </w:tcPr>
          <w:p w14:paraId="2CAC273E" w14:textId="3B097B98" w:rsidR="004D01D5" w:rsidRDefault="004D01D5" w:rsidP="00B63882">
            <w:r>
              <w:t>0.92</w:t>
            </w:r>
          </w:p>
        </w:tc>
        <w:tc>
          <w:tcPr>
            <w:tcW w:w="1745" w:type="dxa"/>
          </w:tcPr>
          <w:p w14:paraId="3384B663" w14:textId="345C8BC3" w:rsidR="004D01D5" w:rsidRDefault="004D01D5" w:rsidP="00B63882">
            <w:r>
              <w:t>*No significance</w:t>
            </w:r>
          </w:p>
        </w:tc>
      </w:tr>
    </w:tbl>
    <w:p w14:paraId="3351444D" w14:textId="6DF21D82" w:rsidR="00E9729A" w:rsidRDefault="00E9729A">
      <w:r>
        <w:rPr>
          <w:noProof/>
        </w:rPr>
        <mc:AlternateContent>
          <mc:Choice Requires="wps">
            <w:drawing>
              <wp:anchor distT="0" distB="28575" distL="0" distR="19050" simplePos="0" relativeHeight="251659264" behindDoc="0" locked="0" layoutInCell="0" allowOverlap="1" wp14:anchorId="2C59AD07" wp14:editId="7C62F703">
                <wp:simplePos x="0" y="0"/>
                <wp:positionH relativeFrom="margin">
                  <wp:align>right</wp:align>
                </wp:positionH>
                <wp:positionV relativeFrom="paragraph">
                  <wp:posOffset>64216</wp:posOffset>
                </wp:positionV>
                <wp:extent cx="5600700" cy="276225"/>
                <wp:effectExtent l="0" t="0" r="19050" b="28575"/>
                <wp:wrapTopAndBottom/>
                <wp:docPr id="9" name="Rectángulo 7"/>
                <wp:cNvGraphicFramePr/>
                <a:graphic xmlns:a="http://schemas.openxmlformats.org/drawingml/2006/main">
                  <a:graphicData uri="http://schemas.microsoft.com/office/word/2010/wordprocessingShape">
                    <wps:wsp>
                      <wps:cNvSpPr/>
                      <wps:spPr>
                        <a:xfrm>
                          <a:off x="0" y="0"/>
                          <a:ext cx="5600700" cy="276225"/>
                        </a:xfrm>
                        <a:prstGeom prst="rect">
                          <a:avLst/>
                        </a:prstGeom>
                        <a:solidFill>
                          <a:srgbClr val="4472C4"/>
                        </a:solidFill>
                        <a:ln w="12600">
                          <a:solidFill>
                            <a:srgbClr val="325490"/>
                          </a:solidFill>
                          <a:miter/>
                        </a:ln>
                      </wps:spPr>
                      <wps:style>
                        <a:lnRef idx="0">
                          <a:scrgbClr r="0" g="0" b="0"/>
                        </a:lnRef>
                        <a:fillRef idx="0">
                          <a:scrgbClr r="0" g="0" b="0"/>
                        </a:fillRef>
                        <a:effectRef idx="0">
                          <a:scrgbClr r="0" g="0" b="0"/>
                        </a:effectRef>
                        <a:fontRef idx="minor"/>
                      </wps:style>
                      <wps:txbx>
                        <w:txbxContent>
                          <w:p w14:paraId="778F6735" w14:textId="7A72C8CF" w:rsidR="004D01D5" w:rsidRDefault="004D01D5" w:rsidP="004D01D5">
                            <w:pPr>
                              <w:pStyle w:val="Contenidodelmarco"/>
                              <w:jc w:val="center"/>
                            </w:pPr>
                            <w:r>
                              <w:rPr>
                                <w:color w:val="FFFFFF"/>
                              </w:rPr>
                              <w:t>Table 4. Comparison of the symptoms between</w:t>
                            </w:r>
                            <w:r w:rsidR="00D93621">
                              <w:rPr>
                                <w:color w:val="FFFFFF"/>
                              </w:rPr>
                              <w:t xml:space="preserve"> SLE and</w:t>
                            </w:r>
                            <w:r>
                              <w:rPr>
                                <w:color w:val="FFFFFF"/>
                              </w:rPr>
                              <w:t xml:space="preserve"> RA.</w:t>
                            </w:r>
                          </w:p>
                        </w:txbxContent>
                      </wps:txbx>
                      <wps:bodyPr anchor="ctr">
                        <a:noAutofit/>
                      </wps:bodyPr>
                    </wps:wsp>
                  </a:graphicData>
                </a:graphic>
              </wp:anchor>
            </w:drawing>
          </mc:Choice>
          <mc:Fallback>
            <w:pict>
              <v:rect w14:anchorId="2C59AD07" id="Rectángulo 7" o:spid="_x0000_s1026" style="position:absolute;margin-left:389.8pt;margin-top:5.05pt;width:441pt;height:21.75pt;z-index:251659264;visibility:visible;mso-wrap-style:square;mso-wrap-distance-left:0;mso-wrap-distance-top:0;mso-wrap-distance-right:1.5pt;mso-wrap-distance-bottom:2.25pt;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" o:allowincell="f" fillcolor="#4472c4" strokecolor="#325490" strokeweight=".35mm">
                <v:textbox>
                  <w:txbxContent>
                    <w:p w14:paraId="778F6735" w14:textId="7A72C8CF" w:rsidR="004D01D5" w:rsidRDefault="004D01D5" w:rsidP="004D01D5">
                      <w:pPr>
                        <w:pStyle w:val="Contenidodelmarco"/>
                        <w:jc w:val="center"/>
                      </w:pPr>
                      <w:r>
                        <w:rPr>
                          <w:color w:val="FFFFFF"/>
                        </w:rPr>
                        <w:t>Table 4. Comparison of the symptoms between</w:t>
                      </w:r>
                      <w:r w:rsidR="00D93621">
                        <w:rPr>
                          <w:color w:val="FFFFFF"/>
                        </w:rPr>
                        <w:t xml:space="preserve"> SLE and</w:t>
                      </w:r>
                      <w:r>
                        <w:rPr>
                          <w:color w:val="FFFFFF"/>
                        </w:rPr>
                        <w:t xml:space="preserve"> RA.</w:t>
                      </w:r>
                    </w:p>
                  </w:txbxContent>
                </v:textbox>
                <w10:wrap type="topAndBottom" anchorx="margin"/>
              </v:rect>
            </w:pict>
          </mc:Fallback>
        </mc:AlternateContent>
      </w:r>
    </w:p>
    <w:tbl>
      <w:tblPr>
        <w:tblStyle w:val="Tablaconcuadrcula"/>
        <w:tblW w:w="8899" w:type="dxa"/>
        <w:tblLook w:val="04A0" w:firstRow="1" w:lastRow="0" w:firstColumn="1" w:lastColumn="0" w:noHBand="0" w:noVBand="1"/>
      </w:tblPr>
      <w:tblGrid>
        <w:gridCol w:w="3114"/>
        <w:gridCol w:w="709"/>
        <w:gridCol w:w="1275"/>
        <w:gridCol w:w="932"/>
        <w:gridCol w:w="1053"/>
        <w:gridCol w:w="1816"/>
      </w:tblGrid>
      <w:tr w:rsidR="00E9729A" w14:paraId="509EA81A" w14:textId="77777777" w:rsidTr="00E9729A">
        <w:tc>
          <w:tcPr>
            <w:tcW w:w="3114" w:type="dxa"/>
            <w:vAlign w:val="bottom"/>
          </w:tcPr>
          <w:p w14:paraId="547A58A1" w14:textId="5AC864E5" w:rsidR="00E9729A" w:rsidRDefault="00E9729A" w:rsidP="00E9729A">
            <w:r>
              <w:rPr>
                <w:rFonts w:eastAsia="Times New Roman" w:cs="Calibri"/>
                <w:color w:val="000000"/>
                <w:lang w:eastAsia="es-MX"/>
              </w:rPr>
              <w:t>Symptom</w:t>
            </w:r>
          </w:p>
        </w:tc>
        <w:tc>
          <w:tcPr>
            <w:tcW w:w="709" w:type="dxa"/>
            <w:vAlign w:val="bottom"/>
          </w:tcPr>
          <w:p w14:paraId="74A70668" w14:textId="54D390A3" w:rsidR="00E9729A" w:rsidRDefault="00E9729A" w:rsidP="00E9729A">
            <w:r>
              <w:rPr>
                <w:rFonts w:eastAsia="Times New Roman" w:cs="Calibri"/>
                <w:color w:val="000000"/>
                <w:lang w:eastAsia="es-MX"/>
              </w:rPr>
              <w:t>RR</w:t>
            </w:r>
          </w:p>
        </w:tc>
        <w:tc>
          <w:tcPr>
            <w:tcW w:w="1275" w:type="dxa"/>
            <w:vAlign w:val="bottom"/>
          </w:tcPr>
          <w:p w14:paraId="46ADAF87" w14:textId="5360A930" w:rsidR="00E9729A" w:rsidRDefault="00E9729A" w:rsidP="00E9729A">
            <w:r>
              <w:rPr>
                <w:rFonts w:eastAsia="Times New Roman" w:cs="Calibri"/>
                <w:color w:val="000000"/>
                <w:lang w:eastAsia="es-MX"/>
              </w:rPr>
              <w:t>95% CI</w:t>
            </w:r>
          </w:p>
        </w:tc>
        <w:tc>
          <w:tcPr>
            <w:tcW w:w="932" w:type="dxa"/>
          </w:tcPr>
          <w:p w14:paraId="1033AFAE" w14:textId="3E476676" w:rsidR="00E9729A" w:rsidRDefault="00E9729A" w:rsidP="00E9729A">
            <w:r>
              <w:t>P value</w:t>
            </w:r>
          </w:p>
        </w:tc>
        <w:tc>
          <w:tcPr>
            <w:tcW w:w="1053" w:type="dxa"/>
          </w:tcPr>
          <w:p w14:paraId="29E74D53" w14:textId="54329668" w:rsidR="00E9729A" w:rsidRDefault="00E9729A" w:rsidP="00E9729A">
            <w:r>
              <w:t>Z score</w:t>
            </w:r>
          </w:p>
        </w:tc>
        <w:tc>
          <w:tcPr>
            <w:tcW w:w="1816" w:type="dxa"/>
          </w:tcPr>
          <w:p w14:paraId="298E3BF3" w14:textId="13653128" w:rsidR="00E9729A" w:rsidRDefault="00E9729A" w:rsidP="00E9729A">
            <w:r>
              <w:t>SLE vs MISC</w:t>
            </w:r>
          </w:p>
        </w:tc>
      </w:tr>
      <w:tr w:rsidR="00F3668E" w14:paraId="407C83E9" w14:textId="77777777" w:rsidTr="007D05DB">
        <w:tc>
          <w:tcPr>
            <w:tcW w:w="3114" w:type="dxa"/>
            <w:vAlign w:val="bottom"/>
          </w:tcPr>
          <w:p w14:paraId="71A3CA94" w14:textId="56514931" w:rsidR="00F3668E" w:rsidRDefault="00F3668E" w:rsidP="00F3668E">
            <w:r>
              <w:rPr>
                <w:rFonts w:ascii="Calibri" w:hAnsi="Calibri" w:cs="Calibri"/>
                <w:color w:val="000000"/>
              </w:rPr>
              <w:t>Fatigue</w:t>
            </w:r>
          </w:p>
        </w:tc>
        <w:tc>
          <w:tcPr>
            <w:tcW w:w="709" w:type="dxa"/>
            <w:vAlign w:val="bottom"/>
          </w:tcPr>
          <w:p w14:paraId="339F8781" w14:textId="1FD1A72F" w:rsidR="00F3668E" w:rsidRDefault="00F3668E" w:rsidP="00F3668E">
            <w:r>
              <w:rPr>
                <w:rFonts w:ascii="Calibri" w:hAnsi="Calibri" w:cs="Calibri"/>
                <w:color w:val="000000"/>
              </w:rPr>
              <w:t>0.57</w:t>
            </w:r>
          </w:p>
        </w:tc>
        <w:tc>
          <w:tcPr>
            <w:tcW w:w="1275" w:type="dxa"/>
            <w:vAlign w:val="bottom"/>
          </w:tcPr>
          <w:p w14:paraId="0A1E1D88" w14:textId="7D921EE2" w:rsidR="00F3668E" w:rsidRDefault="00F3668E" w:rsidP="00F3668E">
            <w:r>
              <w:rPr>
                <w:rFonts w:ascii="Calibri" w:hAnsi="Calibri" w:cs="Calibri"/>
                <w:color w:val="000000"/>
              </w:rPr>
              <w:t>(0.44-0.</w:t>
            </w:r>
            <w:r w:rsidR="00F95EBD">
              <w:rPr>
                <w:rFonts w:ascii="Calibri" w:hAnsi="Calibri" w:cs="Calibri"/>
                <w:color w:val="000000"/>
              </w:rPr>
              <w:t>73</w:t>
            </w:r>
            <w:r>
              <w:rPr>
                <w:rFonts w:ascii="Calibri" w:hAnsi="Calibri" w:cs="Calibri"/>
                <w:color w:val="000000"/>
              </w:rPr>
              <w:t>)</w:t>
            </w:r>
          </w:p>
        </w:tc>
        <w:tc>
          <w:tcPr>
            <w:tcW w:w="932" w:type="dxa"/>
            <w:vAlign w:val="bottom"/>
          </w:tcPr>
          <w:p w14:paraId="405FB0B0" w14:textId="071AD035" w:rsidR="00F3668E" w:rsidRDefault="00F3668E" w:rsidP="00F3668E">
            <w:r>
              <w:rPr>
                <w:rFonts w:ascii="Calibri" w:hAnsi="Calibri" w:cs="Calibri"/>
                <w:color w:val="000000"/>
              </w:rPr>
              <w:t>0.046</w:t>
            </w:r>
          </w:p>
        </w:tc>
        <w:tc>
          <w:tcPr>
            <w:tcW w:w="1053" w:type="dxa"/>
          </w:tcPr>
          <w:p w14:paraId="320A3850" w14:textId="3B419C95" w:rsidR="00F3668E" w:rsidRDefault="00F3668E" w:rsidP="00F3668E">
            <w:r>
              <w:t>0.21</w:t>
            </w:r>
          </w:p>
        </w:tc>
        <w:tc>
          <w:tcPr>
            <w:tcW w:w="1816" w:type="dxa"/>
          </w:tcPr>
          <w:p w14:paraId="4D1F2FE0" w14:textId="03B27422" w:rsidR="00F3668E" w:rsidRDefault="00F3668E" w:rsidP="00F3668E">
            <w:r>
              <w:t>Decrease risk</w:t>
            </w:r>
          </w:p>
        </w:tc>
      </w:tr>
      <w:tr w:rsidR="00F3668E" w14:paraId="308740F7" w14:textId="77777777" w:rsidTr="007D05DB">
        <w:tc>
          <w:tcPr>
            <w:tcW w:w="3114" w:type="dxa"/>
            <w:vAlign w:val="bottom"/>
          </w:tcPr>
          <w:p w14:paraId="03DD4BD4" w14:textId="0771C687" w:rsidR="00F3668E" w:rsidRDefault="00F3668E" w:rsidP="00F3668E">
            <w:r>
              <w:rPr>
                <w:rFonts w:ascii="Calibri" w:hAnsi="Calibri" w:cs="Calibri"/>
                <w:color w:val="000000"/>
              </w:rPr>
              <w:t>Headache</w:t>
            </w:r>
          </w:p>
        </w:tc>
        <w:tc>
          <w:tcPr>
            <w:tcW w:w="709" w:type="dxa"/>
            <w:vAlign w:val="bottom"/>
          </w:tcPr>
          <w:p w14:paraId="5BB2B0BF" w14:textId="3D438E11" w:rsidR="00F3668E" w:rsidRDefault="00F3668E" w:rsidP="00F3668E">
            <w:r>
              <w:rPr>
                <w:rFonts w:ascii="Calibri" w:hAnsi="Calibri" w:cs="Calibri"/>
                <w:color w:val="000000"/>
              </w:rPr>
              <w:t>0.76</w:t>
            </w:r>
          </w:p>
        </w:tc>
        <w:tc>
          <w:tcPr>
            <w:tcW w:w="1275" w:type="dxa"/>
            <w:vAlign w:val="bottom"/>
          </w:tcPr>
          <w:p w14:paraId="71337A15" w14:textId="52A20A5F" w:rsidR="00F3668E" w:rsidRDefault="00F3668E" w:rsidP="00F3668E">
            <w:r>
              <w:rPr>
                <w:rFonts w:ascii="Calibri" w:hAnsi="Calibri" w:cs="Calibri"/>
                <w:color w:val="000000"/>
              </w:rPr>
              <w:t>(0.</w:t>
            </w:r>
            <w:r w:rsidR="00F95EBD">
              <w:rPr>
                <w:rFonts w:ascii="Calibri" w:hAnsi="Calibri" w:cs="Calibri"/>
                <w:color w:val="000000"/>
              </w:rPr>
              <w:t>56</w:t>
            </w:r>
            <w:r>
              <w:rPr>
                <w:rFonts w:ascii="Calibri" w:hAnsi="Calibri" w:cs="Calibri"/>
                <w:color w:val="000000"/>
              </w:rPr>
              <w:t>-</w:t>
            </w:r>
            <w:r w:rsidR="00F95EBD">
              <w:rPr>
                <w:rFonts w:ascii="Calibri" w:hAnsi="Calibri" w:cs="Calibri"/>
                <w:color w:val="000000"/>
              </w:rPr>
              <w:t>1</w:t>
            </w:r>
            <w:r>
              <w:rPr>
                <w:rFonts w:ascii="Calibri" w:hAnsi="Calibri" w:cs="Calibri"/>
                <w:color w:val="000000"/>
              </w:rPr>
              <w:t>.</w:t>
            </w:r>
            <w:r w:rsidR="00F95EBD">
              <w:rPr>
                <w:rFonts w:ascii="Calibri" w:hAnsi="Calibri" w:cs="Calibri"/>
                <w:color w:val="000000"/>
              </w:rPr>
              <w:t>04</w:t>
            </w:r>
            <w:r>
              <w:rPr>
                <w:rFonts w:ascii="Calibri" w:hAnsi="Calibri" w:cs="Calibri"/>
                <w:color w:val="000000"/>
              </w:rPr>
              <w:t>)</w:t>
            </w:r>
          </w:p>
        </w:tc>
        <w:tc>
          <w:tcPr>
            <w:tcW w:w="932" w:type="dxa"/>
            <w:vAlign w:val="bottom"/>
          </w:tcPr>
          <w:p w14:paraId="5EDF6AA4" w14:textId="2AB237F4" w:rsidR="00F3668E" w:rsidRDefault="00F3668E" w:rsidP="00F3668E">
            <w:r>
              <w:rPr>
                <w:rFonts w:ascii="Calibri" w:hAnsi="Calibri" w:cs="Calibri"/>
                <w:color w:val="000000"/>
              </w:rPr>
              <w:t>0.241</w:t>
            </w:r>
          </w:p>
        </w:tc>
        <w:tc>
          <w:tcPr>
            <w:tcW w:w="1053" w:type="dxa"/>
          </w:tcPr>
          <w:p w14:paraId="3C0B0EE3" w14:textId="324B5F66" w:rsidR="00F3668E" w:rsidRDefault="00F3668E" w:rsidP="00F3668E">
            <w:r>
              <w:t>0.98</w:t>
            </w:r>
          </w:p>
        </w:tc>
        <w:tc>
          <w:tcPr>
            <w:tcW w:w="1816" w:type="dxa"/>
          </w:tcPr>
          <w:p w14:paraId="0F46F73B" w14:textId="33E374A9" w:rsidR="00F3668E" w:rsidRDefault="00F3668E" w:rsidP="00F3668E">
            <w:r>
              <w:t>*No significance</w:t>
            </w:r>
          </w:p>
        </w:tc>
      </w:tr>
      <w:tr w:rsidR="00F3668E" w14:paraId="7F11493A" w14:textId="77777777" w:rsidTr="007D05DB">
        <w:tc>
          <w:tcPr>
            <w:tcW w:w="3114" w:type="dxa"/>
            <w:vAlign w:val="bottom"/>
          </w:tcPr>
          <w:p w14:paraId="4FD415DA" w14:textId="32D9E7D6" w:rsidR="00F3668E" w:rsidRDefault="00F3668E" w:rsidP="00F3668E">
            <w:r>
              <w:rPr>
                <w:rFonts w:ascii="Calibri" w:hAnsi="Calibri" w:cs="Calibri"/>
                <w:color w:val="000000"/>
              </w:rPr>
              <w:t>Arthralgias</w:t>
            </w:r>
          </w:p>
        </w:tc>
        <w:tc>
          <w:tcPr>
            <w:tcW w:w="709" w:type="dxa"/>
            <w:vAlign w:val="bottom"/>
          </w:tcPr>
          <w:p w14:paraId="16572909" w14:textId="23A742C4" w:rsidR="00F3668E" w:rsidRDefault="00F3668E" w:rsidP="00F3668E">
            <w:r>
              <w:rPr>
                <w:rFonts w:ascii="Calibri" w:hAnsi="Calibri" w:cs="Calibri"/>
                <w:color w:val="000000"/>
              </w:rPr>
              <w:t>0.47</w:t>
            </w:r>
          </w:p>
        </w:tc>
        <w:tc>
          <w:tcPr>
            <w:tcW w:w="1275" w:type="dxa"/>
            <w:vAlign w:val="bottom"/>
          </w:tcPr>
          <w:p w14:paraId="28CDF3C5" w14:textId="28CA507D" w:rsidR="00F3668E" w:rsidRDefault="00F3668E" w:rsidP="00F3668E">
            <w:r>
              <w:rPr>
                <w:rFonts w:ascii="Calibri" w:hAnsi="Calibri" w:cs="Calibri"/>
                <w:color w:val="000000"/>
              </w:rPr>
              <w:t>(0.</w:t>
            </w:r>
            <w:r w:rsidR="00F95EBD">
              <w:rPr>
                <w:rFonts w:ascii="Calibri" w:hAnsi="Calibri" w:cs="Calibri"/>
                <w:color w:val="000000"/>
              </w:rPr>
              <w:t>31</w:t>
            </w:r>
            <w:r>
              <w:rPr>
                <w:rFonts w:ascii="Calibri" w:hAnsi="Calibri" w:cs="Calibri"/>
                <w:color w:val="000000"/>
              </w:rPr>
              <w:t>-0.</w:t>
            </w:r>
            <w:r w:rsidR="00F95EBD">
              <w:rPr>
                <w:rFonts w:ascii="Calibri" w:hAnsi="Calibri" w:cs="Calibri"/>
                <w:color w:val="000000"/>
              </w:rPr>
              <w:t>7</w:t>
            </w:r>
            <w:r>
              <w:rPr>
                <w:rFonts w:ascii="Calibri" w:hAnsi="Calibri" w:cs="Calibri"/>
                <w:color w:val="000000"/>
              </w:rPr>
              <w:t>)</w:t>
            </w:r>
          </w:p>
        </w:tc>
        <w:tc>
          <w:tcPr>
            <w:tcW w:w="932" w:type="dxa"/>
            <w:vAlign w:val="bottom"/>
          </w:tcPr>
          <w:p w14:paraId="000D9A92" w14:textId="1219560C" w:rsidR="00F3668E" w:rsidRDefault="00F3668E" w:rsidP="00F3668E">
            <w:r>
              <w:rPr>
                <w:rFonts w:ascii="Calibri" w:hAnsi="Calibri" w:cs="Calibri"/>
                <w:color w:val="000000"/>
              </w:rPr>
              <w:t>0.028</w:t>
            </w:r>
          </w:p>
        </w:tc>
        <w:tc>
          <w:tcPr>
            <w:tcW w:w="1053" w:type="dxa"/>
          </w:tcPr>
          <w:p w14:paraId="24EF89E3" w14:textId="4CC184AF" w:rsidR="00F3668E" w:rsidRDefault="00F3668E" w:rsidP="00F3668E">
            <w:r>
              <w:t>0.06</w:t>
            </w:r>
          </w:p>
        </w:tc>
        <w:tc>
          <w:tcPr>
            <w:tcW w:w="1816" w:type="dxa"/>
          </w:tcPr>
          <w:p w14:paraId="1489A1CF" w14:textId="701DFF69" w:rsidR="00F3668E" w:rsidRDefault="00F3668E" w:rsidP="00F3668E">
            <w:r>
              <w:t>Decrease risk</w:t>
            </w:r>
          </w:p>
        </w:tc>
      </w:tr>
      <w:tr w:rsidR="00F3668E" w14:paraId="5F11F153" w14:textId="77777777" w:rsidTr="00CD2F1F">
        <w:tc>
          <w:tcPr>
            <w:tcW w:w="3114" w:type="dxa"/>
            <w:vAlign w:val="bottom"/>
          </w:tcPr>
          <w:p w14:paraId="55333DC4" w14:textId="6C9FB875" w:rsidR="00F3668E" w:rsidRDefault="00F3668E" w:rsidP="00F3668E">
            <w:r>
              <w:rPr>
                <w:rFonts w:ascii="Calibri" w:hAnsi="Calibri" w:cs="Calibri"/>
                <w:color w:val="000000"/>
              </w:rPr>
              <w:t>Myalgias</w:t>
            </w:r>
          </w:p>
        </w:tc>
        <w:tc>
          <w:tcPr>
            <w:tcW w:w="709" w:type="dxa"/>
            <w:vAlign w:val="bottom"/>
          </w:tcPr>
          <w:p w14:paraId="29D5603F" w14:textId="707E9C3F" w:rsidR="00F3668E" w:rsidRDefault="00F3668E" w:rsidP="00F3668E">
            <w:r>
              <w:rPr>
                <w:rFonts w:ascii="Calibri" w:hAnsi="Calibri" w:cs="Calibri"/>
                <w:color w:val="000000"/>
              </w:rPr>
              <w:t>0.</w:t>
            </w:r>
            <w:r w:rsidR="00F95EBD">
              <w:rPr>
                <w:rFonts w:ascii="Calibri" w:hAnsi="Calibri" w:cs="Calibri"/>
                <w:color w:val="000000"/>
              </w:rPr>
              <w:t>76</w:t>
            </w:r>
          </w:p>
        </w:tc>
        <w:tc>
          <w:tcPr>
            <w:tcW w:w="1275" w:type="dxa"/>
            <w:vAlign w:val="bottom"/>
          </w:tcPr>
          <w:p w14:paraId="79DA14C5" w14:textId="4FC2C56E" w:rsidR="00F3668E" w:rsidRDefault="00F3668E" w:rsidP="00F3668E">
            <w:r>
              <w:rPr>
                <w:rFonts w:ascii="Calibri" w:hAnsi="Calibri" w:cs="Calibri"/>
                <w:color w:val="000000"/>
              </w:rPr>
              <w:t>(0.</w:t>
            </w:r>
            <w:r w:rsidR="00F95EBD">
              <w:rPr>
                <w:rFonts w:ascii="Calibri" w:hAnsi="Calibri" w:cs="Calibri"/>
                <w:color w:val="000000"/>
              </w:rPr>
              <w:t>56</w:t>
            </w:r>
            <w:r>
              <w:rPr>
                <w:rFonts w:ascii="Calibri" w:hAnsi="Calibri" w:cs="Calibri"/>
                <w:color w:val="000000"/>
              </w:rPr>
              <w:t>-1.0</w:t>
            </w:r>
            <w:r w:rsidR="00F95EBD">
              <w:rPr>
                <w:rFonts w:ascii="Calibri" w:hAnsi="Calibri" w:cs="Calibri"/>
                <w:color w:val="000000"/>
              </w:rPr>
              <w:t>4</w:t>
            </w:r>
            <w:r>
              <w:rPr>
                <w:rFonts w:ascii="Calibri" w:hAnsi="Calibri" w:cs="Calibri"/>
                <w:color w:val="000000"/>
              </w:rPr>
              <w:t>)</w:t>
            </w:r>
          </w:p>
        </w:tc>
        <w:tc>
          <w:tcPr>
            <w:tcW w:w="932" w:type="dxa"/>
            <w:vAlign w:val="bottom"/>
          </w:tcPr>
          <w:p w14:paraId="3E5BB923" w14:textId="340B0E2A" w:rsidR="00F3668E" w:rsidRDefault="00F3668E" w:rsidP="00F3668E">
            <w:r>
              <w:rPr>
                <w:rFonts w:ascii="Calibri" w:hAnsi="Calibri" w:cs="Calibri"/>
                <w:color w:val="000000"/>
              </w:rPr>
              <w:t>0.241</w:t>
            </w:r>
          </w:p>
        </w:tc>
        <w:tc>
          <w:tcPr>
            <w:tcW w:w="1053" w:type="dxa"/>
          </w:tcPr>
          <w:p w14:paraId="5FDA3906" w14:textId="5E0C35FC" w:rsidR="00F3668E" w:rsidRDefault="00F3668E" w:rsidP="00F3668E">
            <w:r>
              <w:t>0.3</w:t>
            </w:r>
          </w:p>
        </w:tc>
        <w:tc>
          <w:tcPr>
            <w:tcW w:w="1816" w:type="dxa"/>
          </w:tcPr>
          <w:p w14:paraId="51CA75B1" w14:textId="37FF374F" w:rsidR="00F3668E" w:rsidRDefault="00F3668E" w:rsidP="00F3668E">
            <w:r>
              <w:t>*No significance</w:t>
            </w:r>
          </w:p>
        </w:tc>
      </w:tr>
      <w:tr w:rsidR="00F3668E" w14:paraId="561BA8C0" w14:textId="77777777" w:rsidTr="00CD2F1F">
        <w:tc>
          <w:tcPr>
            <w:tcW w:w="3114" w:type="dxa"/>
            <w:vAlign w:val="bottom"/>
          </w:tcPr>
          <w:p w14:paraId="4E63D7D1" w14:textId="467457CA" w:rsidR="00F3668E" w:rsidRDefault="00F3668E" w:rsidP="00F3668E">
            <w:r>
              <w:rPr>
                <w:rFonts w:ascii="Calibri" w:hAnsi="Calibri" w:cs="Calibri"/>
                <w:color w:val="000000"/>
              </w:rPr>
              <w:t>Palpitations</w:t>
            </w:r>
          </w:p>
        </w:tc>
        <w:tc>
          <w:tcPr>
            <w:tcW w:w="709" w:type="dxa"/>
            <w:vAlign w:val="bottom"/>
          </w:tcPr>
          <w:p w14:paraId="675B3E85" w14:textId="0A7C65B7" w:rsidR="00F3668E" w:rsidRDefault="00F3668E" w:rsidP="00F3668E">
            <w:r>
              <w:rPr>
                <w:rFonts w:ascii="Calibri" w:hAnsi="Calibri" w:cs="Calibri"/>
                <w:color w:val="000000"/>
              </w:rPr>
              <w:t>0.</w:t>
            </w:r>
            <w:r w:rsidR="00F95EBD">
              <w:rPr>
                <w:rFonts w:ascii="Calibri" w:hAnsi="Calibri" w:cs="Calibri"/>
                <w:color w:val="000000"/>
              </w:rPr>
              <w:t>8</w:t>
            </w:r>
          </w:p>
        </w:tc>
        <w:tc>
          <w:tcPr>
            <w:tcW w:w="1275" w:type="dxa"/>
            <w:vAlign w:val="bottom"/>
          </w:tcPr>
          <w:p w14:paraId="327A6D1A" w14:textId="385492BF" w:rsidR="00F3668E" w:rsidRDefault="00F3668E" w:rsidP="00F3668E">
            <w:r>
              <w:rPr>
                <w:rFonts w:ascii="Calibri" w:hAnsi="Calibri" w:cs="Calibri"/>
                <w:color w:val="000000"/>
              </w:rPr>
              <w:t>(1.</w:t>
            </w:r>
            <w:r w:rsidR="00F95EBD">
              <w:rPr>
                <w:rFonts w:ascii="Calibri" w:hAnsi="Calibri" w:cs="Calibri"/>
                <w:color w:val="000000"/>
              </w:rPr>
              <w:t>61</w:t>
            </w:r>
            <w:r>
              <w:rPr>
                <w:rFonts w:ascii="Calibri" w:hAnsi="Calibri" w:cs="Calibri"/>
                <w:color w:val="000000"/>
              </w:rPr>
              <w:t>-1.</w:t>
            </w:r>
            <w:r w:rsidR="00F95EBD">
              <w:rPr>
                <w:rFonts w:ascii="Calibri" w:hAnsi="Calibri" w:cs="Calibri"/>
                <w:color w:val="000000"/>
              </w:rPr>
              <w:t>03</w:t>
            </w:r>
            <w:r>
              <w:rPr>
                <w:rFonts w:ascii="Calibri" w:hAnsi="Calibri" w:cs="Calibri"/>
                <w:color w:val="000000"/>
              </w:rPr>
              <w:t>)</w:t>
            </w:r>
          </w:p>
        </w:tc>
        <w:tc>
          <w:tcPr>
            <w:tcW w:w="932" w:type="dxa"/>
            <w:vAlign w:val="bottom"/>
          </w:tcPr>
          <w:p w14:paraId="1DB850CB" w14:textId="272B3255" w:rsidR="00F3668E" w:rsidRDefault="00F3668E" w:rsidP="00F3668E">
            <w:r>
              <w:rPr>
                <w:rFonts w:ascii="Calibri" w:hAnsi="Calibri" w:cs="Calibri"/>
                <w:color w:val="000000"/>
              </w:rPr>
              <w:t>0.263</w:t>
            </w:r>
          </w:p>
        </w:tc>
        <w:tc>
          <w:tcPr>
            <w:tcW w:w="1053" w:type="dxa"/>
          </w:tcPr>
          <w:p w14:paraId="43004720" w14:textId="603207E7" w:rsidR="00F3668E" w:rsidRDefault="00F3668E" w:rsidP="00F3668E">
            <w:r>
              <w:t>0.96</w:t>
            </w:r>
          </w:p>
        </w:tc>
        <w:tc>
          <w:tcPr>
            <w:tcW w:w="1816" w:type="dxa"/>
          </w:tcPr>
          <w:p w14:paraId="7CB5661F" w14:textId="54F9A937" w:rsidR="00F3668E" w:rsidRDefault="00F3668E" w:rsidP="00F3668E">
            <w:r>
              <w:t>*No significance</w:t>
            </w:r>
          </w:p>
        </w:tc>
      </w:tr>
      <w:tr w:rsidR="00F3668E" w14:paraId="6097B5E6" w14:textId="77777777" w:rsidTr="00CD2F1F">
        <w:tc>
          <w:tcPr>
            <w:tcW w:w="3114" w:type="dxa"/>
            <w:vAlign w:val="bottom"/>
          </w:tcPr>
          <w:p w14:paraId="7E25A064" w14:textId="7858C0D0" w:rsidR="00F3668E" w:rsidRDefault="00F3668E" w:rsidP="00F3668E">
            <w:r>
              <w:rPr>
                <w:rFonts w:ascii="Calibri" w:hAnsi="Calibri" w:cs="Calibri"/>
                <w:color w:val="000000"/>
              </w:rPr>
              <w:t>Skin lesions</w:t>
            </w:r>
          </w:p>
        </w:tc>
        <w:tc>
          <w:tcPr>
            <w:tcW w:w="709" w:type="dxa"/>
            <w:vAlign w:val="bottom"/>
          </w:tcPr>
          <w:p w14:paraId="048729F2" w14:textId="2E43703E" w:rsidR="00F3668E" w:rsidRDefault="00F3668E" w:rsidP="00F3668E">
            <w:r>
              <w:rPr>
                <w:rFonts w:ascii="Calibri" w:hAnsi="Calibri" w:cs="Calibri"/>
                <w:color w:val="000000"/>
              </w:rPr>
              <w:t>0.</w:t>
            </w:r>
            <w:r w:rsidR="00F95EBD">
              <w:rPr>
                <w:rFonts w:ascii="Calibri" w:hAnsi="Calibri" w:cs="Calibri"/>
                <w:color w:val="000000"/>
              </w:rPr>
              <w:t>66</w:t>
            </w:r>
          </w:p>
        </w:tc>
        <w:tc>
          <w:tcPr>
            <w:tcW w:w="1275" w:type="dxa"/>
            <w:vAlign w:val="bottom"/>
          </w:tcPr>
          <w:p w14:paraId="5060E814" w14:textId="0A332C04" w:rsidR="00F3668E" w:rsidRDefault="00F3668E" w:rsidP="00F3668E">
            <w:r>
              <w:rPr>
                <w:rFonts w:ascii="Calibri" w:hAnsi="Calibri" w:cs="Calibri"/>
                <w:color w:val="000000"/>
              </w:rPr>
              <w:t>(0.</w:t>
            </w:r>
            <w:r w:rsidR="00F95EBD">
              <w:rPr>
                <w:rFonts w:ascii="Calibri" w:hAnsi="Calibri" w:cs="Calibri"/>
                <w:color w:val="000000"/>
              </w:rPr>
              <w:t>4</w:t>
            </w:r>
            <w:r>
              <w:rPr>
                <w:rFonts w:ascii="Calibri" w:hAnsi="Calibri" w:cs="Calibri"/>
                <w:color w:val="000000"/>
              </w:rPr>
              <w:t>-1.0</w:t>
            </w:r>
            <w:r w:rsidR="00F95EBD">
              <w:rPr>
                <w:rFonts w:ascii="Calibri" w:hAnsi="Calibri" w:cs="Calibri"/>
                <w:color w:val="000000"/>
              </w:rPr>
              <w:t>8</w:t>
            </w:r>
            <w:r>
              <w:rPr>
                <w:rFonts w:ascii="Calibri" w:hAnsi="Calibri" w:cs="Calibri"/>
                <w:color w:val="000000"/>
              </w:rPr>
              <w:t>)</w:t>
            </w:r>
          </w:p>
        </w:tc>
        <w:tc>
          <w:tcPr>
            <w:tcW w:w="932" w:type="dxa"/>
            <w:vAlign w:val="bottom"/>
          </w:tcPr>
          <w:p w14:paraId="30B425D4" w14:textId="3F36AEE3" w:rsidR="00F3668E" w:rsidRDefault="00F3668E" w:rsidP="00F3668E">
            <w:r>
              <w:rPr>
                <w:rFonts w:ascii="Calibri" w:hAnsi="Calibri" w:cs="Calibri"/>
                <w:color w:val="000000"/>
              </w:rPr>
              <w:t>0.185</w:t>
            </w:r>
          </w:p>
        </w:tc>
        <w:tc>
          <w:tcPr>
            <w:tcW w:w="1053" w:type="dxa"/>
          </w:tcPr>
          <w:p w14:paraId="0A1BF256" w14:textId="024D0CB6" w:rsidR="00F3668E" w:rsidRDefault="00F3668E" w:rsidP="00F3668E">
            <w:r>
              <w:t>0.86</w:t>
            </w:r>
          </w:p>
        </w:tc>
        <w:tc>
          <w:tcPr>
            <w:tcW w:w="1816" w:type="dxa"/>
          </w:tcPr>
          <w:p w14:paraId="6D2C892F" w14:textId="08DD82D1" w:rsidR="00F3668E" w:rsidRDefault="00F3668E" w:rsidP="00F3668E">
            <w:r>
              <w:t>*No significance</w:t>
            </w:r>
          </w:p>
        </w:tc>
      </w:tr>
      <w:tr w:rsidR="00F3668E" w14:paraId="67B12773" w14:textId="77777777" w:rsidTr="00CD2F1F">
        <w:tc>
          <w:tcPr>
            <w:tcW w:w="3114" w:type="dxa"/>
            <w:vAlign w:val="bottom"/>
          </w:tcPr>
          <w:p w14:paraId="372A3310" w14:textId="7FE9E2FF" w:rsidR="00F3668E" w:rsidRDefault="00F3668E" w:rsidP="00F3668E">
            <w:r>
              <w:rPr>
                <w:rFonts w:ascii="Calibri" w:hAnsi="Calibri" w:cs="Calibri"/>
                <w:color w:val="000000"/>
              </w:rPr>
              <w:t>Depression</w:t>
            </w:r>
          </w:p>
        </w:tc>
        <w:tc>
          <w:tcPr>
            <w:tcW w:w="709" w:type="dxa"/>
            <w:vAlign w:val="bottom"/>
          </w:tcPr>
          <w:p w14:paraId="68F5C5FA" w14:textId="0CC073D1" w:rsidR="00F3668E" w:rsidRDefault="00F3668E" w:rsidP="00F3668E">
            <w:r>
              <w:rPr>
                <w:rFonts w:ascii="Calibri" w:hAnsi="Calibri" w:cs="Calibri"/>
                <w:color w:val="000000"/>
              </w:rPr>
              <w:t>0.</w:t>
            </w:r>
            <w:r w:rsidR="00F95EBD">
              <w:rPr>
                <w:rFonts w:ascii="Calibri" w:hAnsi="Calibri" w:cs="Calibri"/>
                <w:color w:val="000000"/>
              </w:rPr>
              <w:t>48</w:t>
            </w:r>
          </w:p>
        </w:tc>
        <w:tc>
          <w:tcPr>
            <w:tcW w:w="1275" w:type="dxa"/>
            <w:vAlign w:val="bottom"/>
          </w:tcPr>
          <w:p w14:paraId="37B8E781" w14:textId="5A7FB51B" w:rsidR="00F3668E" w:rsidRDefault="00F3668E" w:rsidP="00F3668E">
            <w:r>
              <w:rPr>
                <w:rFonts w:ascii="Calibri" w:hAnsi="Calibri" w:cs="Calibri"/>
                <w:color w:val="000000"/>
              </w:rPr>
              <w:t>(0.</w:t>
            </w:r>
            <w:r w:rsidR="00F95EBD">
              <w:rPr>
                <w:rFonts w:ascii="Calibri" w:hAnsi="Calibri" w:cs="Calibri"/>
                <w:color w:val="000000"/>
              </w:rPr>
              <w:t>22</w:t>
            </w:r>
            <w:r>
              <w:rPr>
                <w:rFonts w:ascii="Calibri" w:hAnsi="Calibri" w:cs="Calibri"/>
                <w:color w:val="000000"/>
              </w:rPr>
              <w:t>-1.</w:t>
            </w:r>
            <w:r w:rsidR="00F95EBD">
              <w:rPr>
                <w:rFonts w:ascii="Calibri" w:hAnsi="Calibri" w:cs="Calibri"/>
                <w:color w:val="000000"/>
              </w:rPr>
              <w:t>06</w:t>
            </w:r>
            <w:r>
              <w:rPr>
                <w:rFonts w:ascii="Calibri" w:hAnsi="Calibri" w:cs="Calibri"/>
                <w:color w:val="000000"/>
              </w:rPr>
              <w:t>)</w:t>
            </w:r>
          </w:p>
        </w:tc>
        <w:tc>
          <w:tcPr>
            <w:tcW w:w="932" w:type="dxa"/>
            <w:vAlign w:val="bottom"/>
          </w:tcPr>
          <w:p w14:paraId="4B9617FB" w14:textId="2FE0034C" w:rsidR="00F3668E" w:rsidRDefault="00F3668E" w:rsidP="00F3668E">
            <w:r>
              <w:rPr>
                <w:rFonts w:ascii="Calibri" w:hAnsi="Calibri" w:cs="Calibri"/>
                <w:color w:val="000000"/>
              </w:rPr>
              <w:t>0.087</w:t>
            </w:r>
          </w:p>
        </w:tc>
        <w:tc>
          <w:tcPr>
            <w:tcW w:w="1053" w:type="dxa"/>
          </w:tcPr>
          <w:p w14:paraId="5822C309" w14:textId="50798862" w:rsidR="00F3668E" w:rsidRDefault="00F3668E" w:rsidP="00F3668E">
            <w:r>
              <w:t>0.35</w:t>
            </w:r>
          </w:p>
        </w:tc>
        <w:tc>
          <w:tcPr>
            <w:tcW w:w="1816" w:type="dxa"/>
          </w:tcPr>
          <w:p w14:paraId="48A11BB7" w14:textId="34F04B9E" w:rsidR="00F3668E" w:rsidRDefault="00F3668E" w:rsidP="00F3668E">
            <w:r>
              <w:t>*No significance</w:t>
            </w:r>
          </w:p>
        </w:tc>
      </w:tr>
      <w:tr w:rsidR="00F3668E" w14:paraId="40DCB286" w14:textId="77777777" w:rsidTr="00CD2F1F">
        <w:tc>
          <w:tcPr>
            <w:tcW w:w="3114" w:type="dxa"/>
            <w:vAlign w:val="bottom"/>
          </w:tcPr>
          <w:p w14:paraId="12435D2B" w14:textId="4AB63F28" w:rsidR="00F3668E" w:rsidRDefault="00F3668E" w:rsidP="00F3668E">
            <w:r>
              <w:rPr>
                <w:rFonts w:ascii="Calibri" w:hAnsi="Calibri" w:cs="Calibri"/>
                <w:color w:val="000000"/>
              </w:rPr>
              <w:t>Smell disorders</w:t>
            </w:r>
          </w:p>
        </w:tc>
        <w:tc>
          <w:tcPr>
            <w:tcW w:w="709" w:type="dxa"/>
            <w:vAlign w:val="bottom"/>
          </w:tcPr>
          <w:p w14:paraId="3D59EDCC" w14:textId="5F5678BD" w:rsidR="00F3668E" w:rsidRDefault="00F95EBD" w:rsidP="00F3668E">
            <w:r>
              <w:rPr>
                <w:rFonts w:ascii="Calibri" w:hAnsi="Calibri" w:cs="Calibri"/>
                <w:color w:val="000000"/>
              </w:rPr>
              <w:t>1</w:t>
            </w:r>
            <w:r w:rsidR="00F3668E">
              <w:rPr>
                <w:rFonts w:ascii="Calibri" w:hAnsi="Calibri" w:cs="Calibri"/>
                <w:color w:val="000000"/>
              </w:rPr>
              <w:t>.</w:t>
            </w:r>
            <w:r>
              <w:rPr>
                <w:rFonts w:ascii="Calibri" w:hAnsi="Calibri" w:cs="Calibri"/>
                <w:color w:val="000000"/>
              </w:rPr>
              <w:t>08</w:t>
            </w:r>
          </w:p>
        </w:tc>
        <w:tc>
          <w:tcPr>
            <w:tcW w:w="1275" w:type="dxa"/>
            <w:vAlign w:val="bottom"/>
          </w:tcPr>
          <w:p w14:paraId="3E048746" w14:textId="3B6F4AC1" w:rsidR="00F3668E" w:rsidRDefault="00F3668E" w:rsidP="00F3668E">
            <w:r>
              <w:rPr>
                <w:rFonts w:ascii="Calibri" w:hAnsi="Calibri" w:cs="Calibri"/>
                <w:color w:val="000000"/>
              </w:rPr>
              <w:t>(0.</w:t>
            </w:r>
            <w:r w:rsidR="00F95EBD">
              <w:rPr>
                <w:rFonts w:ascii="Calibri" w:hAnsi="Calibri" w:cs="Calibri"/>
                <w:color w:val="000000"/>
              </w:rPr>
              <w:t>73</w:t>
            </w:r>
            <w:r>
              <w:rPr>
                <w:rFonts w:ascii="Calibri" w:hAnsi="Calibri" w:cs="Calibri"/>
                <w:color w:val="000000"/>
              </w:rPr>
              <w:t>-1.</w:t>
            </w:r>
            <w:r w:rsidR="00F95EBD">
              <w:rPr>
                <w:rFonts w:ascii="Calibri" w:hAnsi="Calibri" w:cs="Calibri"/>
                <w:color w:val="000000"/>
              </w:rPr>
              <w:t>59</w:t>
            </w:r>
            <w:r>
              <w:rPr>
                <w:rFonts w:ascii="Calibri" w:hAnsi="Calibri" w:cs="Calibri"/>
                <w:color w:val="000000"/>
              </w:rPr>
              <w:t>)</w:t>
            </w:r>
          </w:p>
        </w:tc>
        <w:tc>
          <w:tcPr>
            <w:tcW w:w="932" w:type="dxa"/>
            <w:vAlign w:val="bottom"/>
          </w:tcPr>
          <w:p w14:paraId="4EC64BF1" w14:textId="3FEB435D" w:rsidR="00F3668E" w:rsidRDefault="00F3668E" w:rsidP="00F3668E">
            <w:r>
              <w:rPr>
                <w:rFonts w:ascii="Calibri" w:hAnsi="Calibri" w:cs="Calibri"/>
                <w:color w:val="000000"/>
              </w:rPr>
              <w:t>0.43</w:t>
            </w:r>
          </w:p>
        </w:tc>
        <w:tc>
          <w:tcPr>
            <w:tcW w:w="1053" w:type="dxa"/>
          </w:tcPr>
          <w:p w14:paraId="285C2947" w14:textId="10361B33" w:rsidR="00F3668E" w:rsidRDefault="00F3668E" w:rsidP="00F3668E">
            <w:r>
              <w:t>0.77</w:t>
            </w:r>
          </w:p>
        </w:tc>
        <w:tc>
          <w:tcPr>
            <w:tcW w:w="1816" w:type="dxa"/>
          </w:tcPr>
          <w:p w14:paraId="72A862A1" w14:textId="0191AF04" w:rsidR="00F3668E" w:rsidRDefault="00F3668E" w:rsidP="00F3668E">
            <w:r>
              <w:t>*No significance</w:t>
            </w:r>
          </w:p>
        </w:tc>
      </w:tr>
      <w:tr w:rsidR="00F3668E" w14:paraId="08E6AB5C" w14:textId="77777777" w:rsidTr="00CD2F1F">
        <w:tc>
          <w:tcPr>
            <w:tcW w:w="3114" w:type="dxa"/>
            <w:vAlign w:val="bottom"/>
          </w:tcPr>
          <w:p w14:paraId="6DB99837" w14:textId="4CA1B85F" w:rsidR="00F3668E" w:rsidRDefault="00F3668E" w:rsidP="00F3668E">
            <w:r>
              <w:rPr>
                <w:rFonts w:ascii="Calibri" w:hAnsi="Calibri" w:cs="Calibri"/>
                <w:color w:val="000000"/>
              </w:rPr>
              <w:t>Taste disorders</w:t>
            </w:r>
          </w:p>
        </w:tc>
        <w:tc>
          <w:tcPr>
            <w:tcW w:w="709" w:type="dxa"/>
            <w:vAlign w:val="bottom"/>
          </w:tcPr>
          <w:p w14:paraId="04117882" w14:textId="12D3A31B" w:rsidR="00F3668E" w:rsidRDefault="00F3668E" w:rsidP="00F3668E">
            <w:r>
              <w:rPr>
                <w:rFonts w:ascii="Calibri" w:hAnsi="Calibri" w:cs="Calibri"/>
                <w:color w:val="000000"/>
              </w:rPr>
              <w:t>1.08</w:t>
            </w:r>
          </w:p>
        </w:tc>
        <w:tc>
          <w:tcPr>
            <w:tcW w:w="1275" w:type="dxa"/>
            <w:vAlign w:val="bottom"/>
          </w:tcPr>
          <w:p w14:paraId="2D48D6E3" w14:textId="24D2621E" w:rsidR="00F3668E" w:rsidRDefault="00F3668E" w:rsidP="00F3668E">
            <w:r>
              <w:rPr>
                <w:rFonts w:ascii="Calibri" w:hAnsi="Calibri" w:cs="Calibri"/>
                <w:color w:val="000000"/>
              </w:rPr>
              <w:t>(0.8-1.4</w:t>
            </w:r>
            <w:r w:rsidR="00F95EBD">
              <w:rPr>
                <w:rFonts w:ascii="Calibri" w:hAnsi="Calibri" w:cs="Calibri"/>
                <w:color w:val="000000"/>
              </w:rPr>
              <w:t>7</w:t>
            </w:r>
            <w:r>
              <w:rPr>
                <w:rFonts w:ascii="Calibri" w:hAnsi="Calibri" w:cs="Calibri"/>
                <w:color w:val="000000"/>
              </w:rPr>
              <w:t>)</w:t>
            </w:r>
          </w:p>
        </w:tc>
        <w:tc>
          <w:tcPr>
            <w:tcW w:w="932" w:type="dxa"/>
            <w:vAlign w:val="bottom"/>
          </w:tcPr>
          <w:p w14:paraId="5E689D20" w14:textId="3F842EF0" w:rsidR="00F3668E" w:rsidRDefault="00F3668E" w:rsidP="00F3668E">
            <w:r>
              <w:rPr>
                <w:rFonts w:ascii="Calibri" w:hAnsi="Calibri" w:cs="Calibri"/>
                <w:color w:val="000000"/>
              </w:rPr>
              <w:t>0.417</w:t>
            </w:r>
          </w:p>
        </w:tc>
        <w:tc>
          <w:tcPr>
            <w:tcW w:w="1053" w:type="dxa"/>
          </w:tcPr>
          <w:p w14:paraId="6E60CC95" w14:textId="3F93D799" w:rsidR="00F3668E" w:rsidRDefault="00F3668E" w:rsidP="00F3668E">
            <w:r>
              <w:t>0.37</w:t>
            </w:r>
          </w:p>
        </w:tc>
        <w:tc>
          <w:tcPr>
            <w:tcW w:w="1816" w:type="dxa"/>
          </w:tcPr>
          <w:p w14:paraId="129568EB" w14:textId="4CF3CBEC" w:rsidR="00F3668E" w:rsidRDefault="00F3668E" w:rsidP="00F3668E">
            <w:r>
              <w:t>*No significance</w:t>
            </w:r>
          </w:p>
        </w:tc>
      </w:tr>
      <w:tr w:rsidR="00F3668E" w14:paraId="216E43E6" w14:textId="77777777" w:rsidTr="00CD2F1F">
        <w:tc>
          <w:tcPr>
            <w:tcW w:w="3114" w:type="dxa"/>
            <w:vAlign w:val="bottom"/>
          </w:tcPr>
          <w:p w14:paraId="14488D70" w14:textId="732B025B" w:rsidR="00F3668E" w:rsidRDefault="00F3668E" w:rsidP="00F3668E">
            <w:r>
              <w:rPr>
                <w:rFonts w:ascii="Calibri" w:hAnsi="Calibri" w:cs="Calibri"/>
                <w:color w:val="000000"/>
              </w:rPr>
              <w:t>Dyspnoea</w:t>
            </w:r>
          </w:p>
        </w:tc>
        <w:tc>
          <w:tcPr>
            <w:tcW w:w="709" w:type="dxa"/>
            <w:vAlign w:val="bottom"/>
          </w:tcPr>
          <w:p w14:paraId="3E66D130" w14:textId="1D4E95F5" w:rsidR="00F3668E" w:rsidRDefault="00F95EBD" w:rsidP="00F3668E">
            <w:r>
              <w:rPr>
                <w:rFonts w:ascii="Calibri" w:hAnsi="Calibri" w:cs="Calibri"/>
                <w:color w:val="000000"/>
              </w:rPr>
              <w:t>0</w:t>
            </w:r>
            <w:r w:rsidR="00F3668E">
              <w:rPr>
                <w:rFonts w:ascii="Calibri" w:hAnsi="Calibri" w:cs="Calibri"/>
                <w:color w:val="000000"/>
              </w:rPr>
              <w:t>.</w:t>
            </w:r>
            <w:r>
              <w:rPr>
                <w:rFonts w:ascii="Calibri" w:hAnsi="Calibri" w:cs="Calibri"/>
                <w:color w:val="000000"/>
              </w:rPr>
              <w:t>9</w:t>
            </w:r>
          </w:p>
        </w:tc>
        <w:tc>
          <w:tcPr>
            <w:tcW w:w="1275" w:type="dxa"/>
            <w:vAlign w:val="bottom"/>
          </w:tcPr>
          <w:p w14:paraId="0973ED91" w14:textId="32E08C86" w:rsidR="00F3668E" w:rsidRDefault="00F3668E" w:rsidP="00F3668E">
            <w:r>
              <w:rPr>
                <w:rFonts w:ascii="Calibri" w:hAnsi="Calibri" w:cs="Calibri"/>
                <w:color w:val="000000"/>
              </w:rPr>
              <w:t>(0.5</w:t>
            </w:r>
            <w:r w:rsidR="00F95EBD">
              <w:rPr>
                <w:rFonts w:ascii="Calibri" w:hAnsi="Calibri" w:cs="Calibri"/>
                <w:color w:val="000000"/>
              </w:rPr>
              <w:t>8</w:t>
            </w:r>
            <w:r>
              <w:rPr>
                <w:rFonts w:ascii="Calibri" w:hAnsi="Calibri" w:cs="Calibri"/>
                <w:color w:val="000000"/>
              </w:rPr>
              <w:t>-1.</w:t>
            </w:r>
            <w:r w:rsidR="00F95EBD">
              <w:rPr>
                <w:rFonts w:ascii="Calibri" w:hAnsi="Calibri" w:cs="Calibri"/>
                <w:color w:val="000000"/>
              </w:rPr>
              <w:t>3</w:t>
            </w:r>
            <w:r>
              <w:rPr>
                <w:rFonts w:ascii="Calibri" w:hAnsi="Calibri" w:cs="Calibri"/>
                <w:color w:val="000000"/>
              </w:rPr>
              <w:t>9)</w:t>
            </w:r>
          </w:p>
        </w:tc>
        <w:tc>
          <w:tcPr>
            <w:tcW w:w="932" w:type="dxa"/>
            <w:vAlign w:val="bottom"/>
          </w:tcPr>
          <w:p w14:paraId="3F6D7FF5" w14:textId="4D097318" w:rsidR="00F3668E" w:rsidRDefault="00F3668E" w:rsidP="00F3668E">
            <w:r>
              <w:rPr>
                <w:rFonts w:ascii="Calibri" w:hAnsi="Calibri" w:cs="Calibri"/>
                <w:color w:val="000000"/>
              </w:rPr>
              <w:t>0.413</w:t>
            </w:r>
          </w:p>
        </w:tc>
        <w:tc>
          <w:tcPr>
            <w:tcW w:w="1053" w:type="dxa"/>
          </w:tcPr>
          <w:p w14:paraId="66D2C141" w14:textId="62B45640" w:rsidR="00F3668E" w:rsidRDefault="00F3668E" w:rsidP="00F3668E">
            <w:r>
              <w:t>0.47</w:t>
            </w:r>
          </w:p>
        </w:tc>
        <w:tc>
          <w:tcPr>
            <w:tcW w:w="1816" w:type="dxa"/>
          </w:tcPr>
          <w:p w14:paraId="3E4CBFFE" w14:textId="3FE301AA" w:rsidR="00F3668E" w:rsidRDefault="00F3668E" w:rsidP="00F3668E">
            <w:r>
              <w:t>*No significance</w:t>
            </w:r>
          </w:p>
        </w:tc>
      </w:tr>
      <w:tr w:rsidR="00F3668E" w14:paraId="44C05E3E" w14:textId="77777777" w:rsidTr="00CD2F1F">
        <w:tc>
          <w:tcPr>
            <w:tcW w:w="3114" w:type="dxa"/>
            <w:vAlign w:val="bottom"/>
          </w:tcPr>
          <w:p w14:paraId="1E2F931E" w14:textId="540641D6" w:rsidR="00F3668E" w:rsidRDefault="00F3668E" w:rsidP="00F3668E">
            <w:r>
              <w:rPr>
                <w:rFonts w:ascii="Calibri" w:hAnsi="Calibri" w:cs="Calibri"/>
                <w:color w:val="000000"/>
              </w:rPr>
              <w:t>Memory and/or concentration alterations</w:t>
            </w:r>
          </w:p>
        </w:tc>
        <w:tc>
          <w:tcPr>
            <w:tcW w:w="709" w:type="dxa"/>
            <w:vAlign w:val="bottom"/>
          </w:tcPr>
          <w:p w14:paraId="222BA118" w14:textId="7A2BD312" w:rsidR="00F3668E" w:rsidRDefault="00F3668E" w:rsidP="00F3668E">
            <w:r>
              <w:rPr>
                <w:rFonts w:ascii="Calibri" w:hAnsi="Calibri" w:cs="Calibri"/>
                <w:color w:val="000000"/>
              </w:rPr>
              <w:t>0.</w:t>
            </w:r>
            <w:r w:rsidR="00F95EBD">
              <w:rPr>
                <w:rFonts w:ascii="Calibri" w:hAnsi="Calibri" w:cs="Calibri"/>
                <w:color w:val="000000"/>
              </w:rPr>
              <w:t>51</w:t>
            </w:r>
          </w:p>
        </w:tc>
        <w:tc>
          <w:tcPr>
            <w:tcW w:w="1275" w:type="dxa"/>
            <w:vAlign w:val="bottom"/>
          </w:tcPr>
          <w:p w14:paraId="7ECFDC39" w14:textId="294D97EF" w:rsidR="00F3668E" w:rsidRDefault="00F3668E" w:rsidP="00F3668E">
            <w:r>
              <w:rPr>
                <w:rFonts w:ascii="Calibri" w:hAnsi="Calibri" w:cs="Calibri"/>
                <w:color w:val="000000"/>
              </w:rPr>
              <w:t>(0.</w:t>
            </w:r>
            <w:r w:rsidR="00F95EBD">
              <w:rPr>
                <w:rFonts w:ascii="Calibri" w:hAnsi="Calibri" w:cs="Calibri"/>
                <w:color w:val="000000"/>
              </w:rPr>
              <w:t>11</w:t>
            </w:r>
            <w:r>
              <w:rPr>
                <w:rFonts w:ascii="Calibri" w:hAnsi="Calibri" w:cs="Calibri"/>
                <w:color w:val="000000"/>
              </w:rPr>
              <w:t>-2.3</w:t>
            </w:r>
            <w:r w:rsidR="00F95EBD">
              <w:rPr>
                <w:rFonts w:ascii="Calibri" w:hAnsi="Calibri" w:cs="Calibri"/>
                <w:color w:val="000000"/>
              </w:rPr>
              <w:t>4</w:t>
            </w:r>
          </w:p>
        </w:tc>
        <w:tc>
          <w:tcPr>
            <w:tcW w:w="932" w:type="dxa"/>
            <w:vAlign w:val="bottom"/>
          </w:tcPr>
          <w:p w14:paraId="074073FE" w14:textId="7E914B9D" w:rsidR="00F3668E" w:rsidRDefault="00F3668E" w:rsidP="00F3668E">
            <w:r>
              <w:rPr>
                <w:rFonts w:ascii="Calibri" w:hAnsi="Calibri" w:cs="Calibri"/>
                <w:color w:val="000000"/>
              </w:rPr>
              <w:t>0.181</w:t>
            </w:r>
          </w:p>
        </w:tc>
        <w:tc>
          <w:tcPr>
            <w:tcW w:w="1053" w:type="dxa"/>
          </w:tcPr>
          <w:p w14:paraId="4EAE7F5C" w14:textId="37B19FF4" w:rsidR="00F3668E" w:rsidRDefault="00F3668E" w:rsidP="00F3668E">
            <w:r>
              <w:t>0.41</w:t>
            </w:r>
          </w:p>
        </w:tc>
        <w:tc>
          <w:tcPr>
            <w:tcW w:w="1816" w:type="dxa"/>
          </w:tcPr>
          <w:p w14:paraId="1758CD15" w14:textId="02C3AF67" w:rsidR="00F3668E" w:rsidRDefault="00F3668E" w:rsidP="00F3668E">
            <w:r>
              <w:t>*No significance</w:t>
            </w:r>
          </w:p>
        </w:tc>
      </w:tr>
      <w:tr w:rsidR="00F3668E" w14:paraId="25BF160E" w14:textId="77777777" w:rsidTr="00CD2F1F">
        <w:tc>
          <w:tcPr>
            <w:tcW w:w="3114" w:type="dxa"/>
            <w:vAlign w:val="bottom"/>
          </w:tcPr>
          <w:p w14:paraId="22EC5288" w14:textId="0F18946C" w:rsidR="00F3668E" w:rsidRDefault="00F3668E" w:rsidP="00F3668E">
            <w:r>
              <w:rPr>
                <w:rFonts w:ascii="Calibri" w:hAnsi="Calibri" w:cs="Calibri"/>
                <w:color w:val="000000"/>
              </w:rPr>
              <w:t>Hair loss</w:t>
            </w:r>
          </w:p>
        </w:tc>
        <w:tc>
          <w:tcPr>
            <w:tcW w:w="709" w:type="dxa"/>
            <w:vAlign w:val="bottom"/>
          </w:tcPr>
          <w:p w14:paraId="5F26F55C" w14:textId="36BB6E0C" w:rsidR="00F3668E" w:rsidRDefault="00F95EBD" w:rsidP="00F3668E">
            <w:r>
              <w:rPr>
                <w:rFonts w:ascii="Calibri" w:hAnsi="Calibri" w:cs="Calibri"/>
                <w:color w:val="000000"/>
              </w:rPr>
              <w:t>1</w:t>
            </w:r>
            <w:r w:rsidR="00F3668E">
              <w:rPr>
                <w:rFonts w:ascii="Calibri" w:hAnsi="Calibri" w:cs="Calibri"/>
                <w:color w:val="000000"/>
              </w:rPr>
              <w:t>.</w:t>
            </w:r>
            <w:r>
              <w:rPr>
                <w:rFonts w:ascii="Calibri" w:hAnsi="Calibri" w:cs="Calibri"/>
                <w:color w:val="000000"/>
              </w:rPr>
              <w:t>4</w:t>
            </w:r>
          </w:p>
        </w:tc>
        <w:tc>
          <w:tcPr>
            <w:tcW w:w="1275" w:type="dxa"/>
            <w:vAlign w:val="bottom"/>
          </w:tcPr>
          <w:p w14:paraId="749FAEF9" w14:textId="6A0B18C5" w:rsidR="00F3668E" w:rsidRDefault="00F3668E" w:rsidP="00F3668E">
            <w:r>
              <w:rPr>
                <w:rFonts w:ascii="Calibri" w:hAnsi="Calibri" w:cs="Calibri"/>
                <w:color w:val="000000"/>
              </w:rPr>
              <w:t>(</w:t>
            </w:r>
            <w:r w:rsidR="00F95EBD">
              <w:rPr>
                <w:rFonts w:ascii="Calibri" w:hAnsi="Calibri" w:cs="Calibri"/>
                <w:color w:val="000000"/>
              </w:rPr>
              <w:t>1.14</w:t>
            </w:r>
            <w:r>
              <w:rPr>
                <w:rFonts w:ascii="Calibri" w:hAnsi="Calibri" w:cs="Calibri"/>
                <w:color w:val="000000"/>
              </w:rPr>
              <w:t>-1.</w:t>
            </w:r>
            <w:r w:rsidR="00F95EBD">
              <w:rPr>
                <w:rFonts w:ascii="Calibri" w:hAnsi="Calibri" w:cs="Calibri"/>
                <w:color w:val="000000"/>
              </w:rPr>
              <w:t>71</w:t>
            </w:r>
            <w:r>
              <w:rPr>
                <w:rFonts w:ascii="Calibri" w:hAnsi="Calibri" w:cs="Calibri"/>
                <w:color w:val="000000"/>
              </w:rPr>
              <w:t>)</w:t>
            </w:r>
          </w:p>
        </w:tc>
        <w:tc>
          <w:tcPr>
            <w:tcW w:w="932" w:type="dxa"/>
            <w:vAlign w:val="bottom"/>
          </w:tcPr>
          <w:p w14:paraId="2D087D85" w14:textId="270EB575" w:rsidR="00F3668E" w:rsidRDefault="00F3668E" w:rsidP="00F3668E">
            <w:r>
              <w:rPr>
                <w:rFonts w:ascii="Calibri" w:hAnsi="Calibri" w:cs="Calibri"/>
                <w:color w:val="000000"/>
              </w:rPr>
              <w:t>0.169</w:t>
            </w:r>
          </w:p>
        </w:tc>
        <w:tc>
          <w:tcPr>
            <w:tcW w:w="1053" w:type="dxa"/>
          </w:tcPr>
          <w:p w14:paraId="39C422EB" w14:textId="5996279C" w:rsidR="00F3668E" w:rsidRDefault="00F3668E" w:rsidP="00F3668E">
            <w:r>
              <w:t>0.25</w:t>
            </w:r>
          </w:p>
        </w:tc>
        <w:tc>
          <w:tcPr>
            <w:tcW w:w="1816" w:type="dxa"/>
          </w:tcPr>
          <w:p w14:paraId="347C75C7" w14:textId="282CB153" w:rsidR="00F3668E" w:rsidRDefault="00F3668E" w:rsidP="00F3668E">
            <w:r>
              <w:t>*No significance</w:t>
            </w:r>
          </w:p>
        </w:tc>
      </w:tr>
    </w:tbl>
    <w:p w14:paraId="18A24DE4" w14:textId="214825C1" w:rsidR="00E9729A" w:rsidRDefault="0000372D">
      <w:r>
        <w:rPr>
          <w:noProof/>
        </w:rPr>
        <mc:AlternateContent>
          <mc:Choice Requires="wps">
            <w:drawing>
              <wp:anchor distT="0" distB="28575" distL="0" distR="19050" simplePos="0" relativeHeight="251661312" behindDoc="0" locked="0" layoutInCell="0" allowOverlap="1" wp14:anchorId="67DD1F0C" wp14:editId="5C0C09EC">
                <wp:simplePos x="0" y="0"/>
                <wp:positionH relativeFrom="margin">
                  <wp:align>right</wp:align>
                </wp:positionH>
                <wp:positionV relativeFrom="paragraph">
                  <wp:posOffset>54554</wp:posOffset>
                </wp:positionV>
                <wp:extent cx="5600700" cy="276225"/>
                <wp:effectExtent l="0" t="0" r="19050" b="28575"/>
                <wp:wrapNone/>
                <wp:docPr id="11" name="Rectángulo 8"/>
                <wp:cNvGraphicFramePr/>
                <a:graphic xmlns:a="http://schemas.openxmlformats.org/drawingml/2006/main">
                  <a:graphicData uri="http://schemas.microsoft.com/office/word/2010/wordprocessingShape">
                    <wps:wsp>
                      <wps:cNvSpPr/>
                      <wps:spPr>
                        <a:xfrm>
                          <a:off x="0" y="0"/>
                          <a:ext cx="5600700" cy="276225"/>
                        </a:xfrm>
                        <a:prstGeom prst="rect">
                          <a:avLst/>
                        </a:prstGeom>
                        <a:solidFill>
                          <a:srgbClr val="4472C4"/>
                        </a:solidFill>
                        <a:ln w="12600">
                          <a:solidFill>
                            <a:srgbClr val="325490"/>
                          </a:solidFill>
                          <a:miter/>
                        </a:ln>
                      </wps:spPr>
                      <wps:style>
                        <a:lnRef idx="0">
                          <a:scrgbClr r="0" g="0" b="0"/>
                        </a:lnRef>
                        <a:fillRef idx="0">
                          <a:scrgbClr r="0" g="0" b="0"/>
                        </a:fillRef>
                        <a:effectRef idx="0">
                          <a:scrgbClr r="0" g="0" b="0"/>
                        </a:effectRef>
                        <a:fontRef idx="minor"/>
                      </wps:style>
                      <wps:txbx>
                        <w:txbxContent>
                          <w:p w14:paraId="46DF8960" w14:textId="4191156A" w:rsidR="0000372D" w:rsidRDefault="0000372D" w:rsidP="0000372D">
                            <w:pPr>
                              <w:pStyle w:val="Contenidodelmarco"/>
                              <w:jc w:val="center"/>
                              <w:rPr>
                                <w:color w:val="FFFFFF"/>
                              </w:rPr>
                            </w:pPr>
                            <w:r>
                              <w:rPr>
                                <w:color w:val="FFFFFF"/>
                              </w:rPr>
                              <w:t xml:space="preserve">Table 5. Comparison of the prevalence of symptoms between </w:t>
                            </w:r>
                            <w:r w:rsidR="00F3668E">
                              <w:rPr>
                                <w:color w:val="FFFFFF"/>
                              </w:rPr>
                              <w:t xml:space="preserve">SLE and </w:t>
                            </w:r>
                            <w:r>
                              <w:rPr>
                                <w:color w:val="FFFFFF"/>
                              </w:rPr>
                              <w:t>Miscellaneous.</w:t>
                            </w:r>
                          </w:p>
                          <w:p w14:paraId="08A60E9B" w14:textId="77777777" w:rsidR="0000372D" w:rsidRDefault="0000372D" w:rsidP="0000372D">
                            <w:pPr>
                              <w:pStyle w:val="Contenidodelmarco"/>
                              <w:jc w:val="center"/>
                            </w:pPr>
                          </w:p>
                        </w:txbxContent>
                      </wps:txbx>
                      <wps:bodyPr anchor="ctr">
                        <a:noAutofit/>
                      </wps:bodyPr>
                    </wps:wsp>
                  </a:graphicData>
                </a:graphic>
              </wp:anchor>
            </w:drawing>
          </mc:Choice>
          <mc:Fallback>
            <w:pict>
              <v:rect w14:anchorId="67DD1F0C" id="Rectángulo 8" o:spid="_x0000_s1027" style="position:absolute;margin-left:389.8pt;margin-top:4.3pt;width:441pt;height:21.75pt;z-index:251661312;visibility:visible;mso-wrap-style:square;mso-wrap-distance-left:0;mso-wrap-distance-top:0;mso-wrap-distance-right:1.5pt;mso-wrap-distance-bottom:2.25pt;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" o:allowincell="f" fillcolor="#4472c4" strokecolor="#325490" strokeweight=".35mm">
                <v:textbox>
                  <w:txbxContent>
                    <w:p w14:paraId="46DF8960" w14:textId="4191156A" w:rsidR="0000372D" w:rsidRDefault="0000372D" w:rsidP="0000372D">
                      <w:pPr>
                        <w:pStyle w:val="Contenidodelmarco"/>
                        <w:jc w:val="center"/>
                        <w:rPr>
                          <w:color w:val="FFFFFF"/>
                        </w:rPr>
                      </w:pPr>
                      <w:r>
                        <w:rPr>
                          <w:color w:val="FFFFFF"/>
                        </w:rPr>
                        <w:t xml:space="preserve">Table 5. Comparison of the prevalence of symptoms between </w:t>
                      </w:r>
                      <w:r w:rsidR="00F3668E">
                        <w:rPr>
                          <w:color w:val="FFFFFF"/>
                        </w:rPr>
                        <w:t xml:space="preserve">SLE and </w:t>
                      </w:r>
                      <w:r>
                        <w:rPr>
                          <w:color w:val="FFFFFF"/>
                        </w:rPr>
                        <w:t>Miscellaneous.</w:t>
                      </w:r>
                    </w:p>
                    <w:p w14:paraId="08A60E9B" w14:textId="77777777" w:rsidR="0000372D" w:rsidRDefault="0000372D" w:rsidP="0000372D">
                      <w:pPr>
                        <w:pStyle w:val="Contenidodelmarco"/>
                        <w:jc w:val="center"/>
                      </w:pPr>
                    </w:p>
                  </w:txbxContent>
                </v:textbox>
                <w10:wrap anchorx="margin"/>
              </v:rect>
            </w:pict>
          </mc:Fallback>
        </mc:AlternateContent>
      </w:r>
    </w:p>
    <w:p w14:paraId="7EBEC172" w14:textId="10711D75" w:rsidR="000411B8" w:rsidRDefault="000411B8"/>
    <w:p w14:paraId="5E83D2C4" w14:textId="507BCDBD" w:rsidR="0000372D" w:rsidRDefault="00550E5B">
      <w:r>
        <w:rPr>
          <w:noProof/>
        </w:rPr>
        <mc:AlternateContent>
          <mc:Choice Requires="wps">
            <w:drawing>
              <wp:anchor distT="45085" distB="45720" distL="113665" distR="119380" simplePos="0" relativeHeight="251663360" behindDoc="0" locked="0" layoutInCell="0" allowOverlap="1" wp14:anchorId="77AB3D7E" wp14:editId="07CF0100">
                <wp:simplePos x="0" y="0"/>
                <wp:positionH relativeFrom="margin">
                  <wp:align>right</wp:align>
                </wp:positionH>
                <wp:positionV relativeFrom="paragraph">
                  <wp:posOffset>2963545</wp:posOffset>
                </wp:positionV>
                <wp:extent cx="5612130" cy="426085"/>
                <wp:effectExtent l="0" t="0" r="7620" b="0"/>
                <wp:wrapSquare wrapText="bothSides"/>
                <wp:docPr id="15" name="Cuadro de texto 2"/>
                <wp:cNvGraphicFramePr/>
                <a:graphic xmlns:a="http://schemas.openxmlformats.org/drawingml/2006/main">
                  <a:graphicData uri="http://schemas.microsoft.com/office/word/2010/wordprocessingShape">
                    <wps:wsp>
                      <wps:cNvSpPr/>
                      <wps:spPr>
                        <a:xfrm>
                          <a:off x="0" y="0"/>
                          <a:ext cx="5612130" cy="426085"/>
                        </a:xfrm>
                        <a:prstGeom prst="rect">
                          <a:avLst/>
                        </a:prstGeom>
                        <a:solidFill>
                          <a:srgbClr val="4472C4"/>
                        </a:solidFill>
                        <a:ln w="9360">
                          <a:noFill/>
                        </a:ln>
                      </wps:spPr>
                      <wps:style>
                        <a:lnRef idx="0">
                          <a:scrgbClr r="0" g="0" b="0"/>
                        </a:lnRef>
                        <a:fillRef idx="0">
                          <a:scrgbClr r="0" g="0" b="0"/>
                        </a:fillRef>
                        <a:effectRef idx="0">
                          <a:scrgbClr r="0" g="0" b="0"/>
                        </a:effectRef>
                        <a:fontRef idx="minor"/>
                      </wps:style>
                      <wps:txbx>
                        <w:txbxContent>
                          <w:p w14:paraId="6EDF6156" w14:textId="1F7D7C4C" w:rsidR="00550E5B" w:rsidRDefault="00550E5B" w:rsidP="00550E5B">
                            <w:pPr>
                              <w:pStyle w:val="Contenidodelmarco"/>
                              <w:jc w:val="both"/>
                            </w:pPr>
                            <w:r>
                              <w:rPr>
                                <w:color w:val="FFFFFF"/>
                                <w:sz w:val="18"/>
                                <w:szCs w:val="18"/>
                              </w:rPr>
                              <w:t>Figure 1. Comparison of risk of developing sequels in the long COVID syndrome in lupus erythematosus patients and rheumatoid arthritis patients. IC 95%</w:t>
                            </w:r>
                          </w:p>
                          <w:p w14:paraId="0AA60D31" w14:textId="77777777" w:rsidR="00550E5B" w:rsidRDefault="00550E5B" w:rsidP="00550E5B">
                            <w:pPr>
                              <w:pStyle w:val="Contenidodelmarco"/>
                            </w:pPr>
                          </w:p>
                        </w:txbxContent>
                      </wps:txbx>
                      <wps:bodyPr wrap="square" anchor="t">
                        <a:noAutofit/>
                      </wps:bodyPr>
                    </wps:wsp>
                  </a:graphicData>
                </a:graphic>
                <wp14:sizeRelH relativeFrom="margin">
                  <wp14:pctWidth>0</wp14:pctWidth>
                </wp14:sizeRelH>
              </wp:anchor>
            </w:drawing>
          </mc:Choice>
          <mc:Fallback>
            <w:pict>
              <v:rect w14:anchorId="77AB3D7E" id="Cuadro de texto 2" o:spid="_x0000_s1028" style="position:absolute;margin-left:390.7pt;margin-top:233.35pt;width:441.9pt;height:33.55pt;z-index:251663360;visibility:visible;mso-wrap-style:square;mso-width-percent:0;mso-wrap-distance-left:8.95pt;mso-wrap-distance-top:3.55pt;mso-wrap-distance-right:9.4pt;mso-wrap-distance-bottom:3.6pt;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" o:allowincell="f" fillcolor="#4472c4" stroked="f" strokeweight=".26mm">
                <v:textbox>
                  <w:txbxContent>
                    <w:p w14:paraId="6EDF6156" w14:textId="1F7D7C4C" w:rsidR="00550E5B" w:rsidRDefault="00550E5B" w:rsidP="00550E5B">
                      <w:pPr>
                        <w:pStyle w:val="Contenidodelmarco"/>
                        <w:jc w:val="both"/>
                      </w:pPr>
                      <w:r>
                        <w:rPr>
                          <w:color w:val="FFFFFF"/>
                          <w:sz w:val="18"/>
                          <w:szCs w:val="18"/>
                        </w:rPr>
                        <w:t>Figure 1. Comparison of risk of developing sequels in the long COVID syndrome in lupus erythematosus patients and rheumatoid arthritis patients. IC 95%</w:t>
                      </w:r>
                    </w:p>
                    <w:p w14:paraId="0AA60D31" w14:textId="77777777" w:rsidR="00550E5B" w:rsidRDefault="00550E5B" w:rsidP="00550E5B">
                      <w:pPr>
                        <w:pStyle w:val="Contenidodelmarco"/>
                      </w:pPr>
                    </w:p>
                  </w:txbxContent>
                </v:textbox>
                <w10:wrap type="square" anchorx="margin"/>
              </v:rect>
            </w:pict>
          </mc:Fallback>
        </mc:AlternateContent>
      </w:r>
      <w:r w:rsidR="000672D9">
        <w:rPr>
          <w:noProof/>
        </w:rPr>
        <w:drawing>
          <wp:inline distT="0" distB="0" distL="0" distR="0" wp14:anchorId="38909936" wp14:editId="5AA0186A">
            <wp:extent cx="5612130" cy="2914015"/>
            <wp:effectExtent l="0" t="0" r="7620" b="635"/>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2914015"/>
                    </a:xfrm>
                    <a:prstGeom prst="rect">
                      <a:avLst/>
                    </a:prstGeom>
                  </pic:spPr>
                </pic:pic>
              </a:graphicData>
            </a:graphic>
          </wp:inline>
        </w:drawing>
      </w:r>
    </w:p>
    <w:p w14:paraId="05D22727" w14:textId="6A34A841" w:rsidR="00550E5B" w:rsidRDefault="00550E5B"/>
    <w:p w14:paraId="0127C273" w14:textId="72B42635" w:rsidR="00550E5B" w:rsidRDefault="00550E5B">
      <w:r>
        <w:rPr>
          <w:noProof/>
        </w:rPr>
        <w:lastRenderedPageBreak/>
        <mc:AlternateContent>
          <mc:Choice Requires="wps">
            <w:drawing>
              <wp:anchor distT="45085" distB="45720" distL="113665" distR="119380" simplePos="0" relativeHeight="251665408" behindDoc="0" locked="0" layoutInCell="0" allowOverlap="1" wp14:anchorId="4120B439" wp14:editId="16B25751">
                <wp:simplePos x="0" y="0"/>
                <wp:positionH relativeFrom="margin">
                  <wp:posOffset>0</wp:posOffset>
                </wp:positionH>
                <wp:positionV relativeFrom="paragraph">
                  <wp:posOffset>2978356</wp:posOffset>
                </wp:positionV>
                <wp:extent cx="5612130" cy="426085"/>
                <wp:effectExtent l="0" t="0" r="7620" b="0"/>
                <wp:wrapSquare wrapText="bothSides"/>
                <wp:docPr id="4" name="Cuadro de texto 2"/>
                <wp:cNvGraphicFramePr/>
                <a:graphic xmlns:a="http://schemas.openxmlformats.org/drawingml/2006/main">
                  <a:graphicData uri="http://schemas.microsoft.com/office/word/2010/wordprocessingShape">
                    <wps:wsp>
                      <wps:cNvSpPr/>
                      <wps:spPr>
                        <a:xfrm>
                          <a:off x="0" y="0"/>
                          <a:ext cx="5612130" cy="426085"/>
                        </a:xfrm>
                        <a:prstGeom prst="rect">
                          <a:avLst/>
                        </a:prstGeom>
                        <a:solidFill>
                          <a:srgbClr val="4472C4"/>
                        </a:solidFill>
                        <a:ln w="9360">
                          <a:noFill/>
                        </a:ln>
                      </wps:spPr>
                      <wps:style>
                        <a:lnRef idx="0">
                          <a:scrgbClr r="0" g="0" b="0"/>
                        </a:lnRef>
                        <a:fillRef idx="0">
                          <a:scrgbClr r="0" g="0" b="0"/>
                        </a:fillRef>
                        <a:effectRef idx="0">
                          <a:scrgbClr r="0" g="0" b="0"/>
                        </a:effectRef>
                        <a:fontRef idx="minor"/>
                      </wps:style>
                      <wps:txbx>
                        <w:txbxContent>
                          <w:p w14:paraId="21615269" w14:textId="13CD9803" w:rsidR="00550E5B" w:rsidRDefault="00550E5B" w:rsidP="00550E5B">
                            <w:pPr>
                              <w:pStyle w:val="Contenidodelmarco"/>
                              <w:jc w:val="both"/>
                            </w:pPr>
                            <w:r>
                              <w:rPr>
                                <w:color w:val="FFFFFF"/>
                                <w:sz w:val="18"/>
                                <w:szCs w:val="18"/>
                              </w:rPr>
                              <w:t xml:space="preserve">Figure 1. Comparison of risk of developing sequels in the long COVID syndrome in lupus erythematosus patients and </w:t>
                            </w:r>
                            <w:r w:rsidRPr="00550E5B">
                              <w:rPr>
                                <w:color w:val="FFFFFF"/>
                                <w:sz w:val="18"/>
                                <w:szCs w:val="18"/>
                              </w:rPr>
                              <w:t>miscellaneous</w:t>
                            </w:r>
                            <w:r>
                              <w:rPr>
                                <w:color w:val="FFFFFF"/>
                                <w:sz w:val="18"/>
                                <w:szCs w:val="18"/>
                              </w:rPr>
                              <w:t xml:space="preserve"> patients. IC 95%</w:t>
                            </w:r>
                          </w:p>
                          <w:p w14:paraId="2DA3459C" w14:textId="77777777" w:rsidR="00550E5B" w:rsidRDefault="00550E5B" w:rsidP="00550E5B">
                            <w:pPr>
                              <w:pStyle w:val="Contenidodelmarco"/>
                            </w:pPr>
                          </w:p>
                        </w:txbxContent>
                      </wps:txbx>
                      <wps:bodyPr wrap="square" anchor="t">
                        <a:noAutofit/>
                      </wps:bodyPr>
                    </wps:wsp>
                  </a:graphicData>
                </a:graphic>
                <wp14:sizeRelH relativeFrom="margin">
                  <wp14:pctWidth>0</wp14:pctWidth>
                </wp14:sizeRelH>
              </wp:anchor>
            </w:drawing>
          </mc:Choice>
          <mc:Fallback>
            <w:pict>
              <v:rect w14:anchorId="4120B439" id="_x0000_s1029" style="position:absolute;margin-left:0;margin-top:234.5pt;width:441.9pt;height:33.55pt;z-index:251665408;visibility:visible;mso-wrap-style:square;mso-width-percent:0;mso-wrap-distance-left:8.95pt;mso-wrap-distance-top:3.55pt;mso-wrap-distance-right:9.4pt;mso-wrap-distance-bottom:3.6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" o:allowincell="f" fillcolor="#4472c4" stroked="f" strokeweight=".26mm">
                <v:textbox>
                  <w:txbxContent>
                    <w:p w14:paraId="21615269" w14:textId="13CD9803" w:rsidR="00550E5B" w:rsidRDefault="00550E5B" w:rsidP="00550E5B">
                      <w:pPr>
                        <w:pStyle w:val="Contenidodelmarco"/>
                        <w:jc w:val="both"/>
                      </w:pPr>
                      <w:r>
                        <w:rPr>
                          <w:color w:val="FFFFFF"/>
                          <w:sz w:val="18"/>
                          <w:szCs w:val="18"/>
                        </w:rPr>
                        <w:t xml:space="preserve">Figure 1. Comparison of risk of developing sequels in the long COVID syndrome in lupus erythematosus patients and </w:t>
                      </w:r>
                      <w:r w:rsidRPr="00550E5B">
                        <w:rPr>
                          <w:color w:val="FFFFFF"/>
                          <w:sz w:val="18"/>
                          <w:szCs w:val="18"/>
                        </w:rPr>
                        <w:t>miscellaneous</w:t>
                      </w:r>
                      <w:r>
                        <w:rPr>
                          <w:color w:val="FFFFFF"/>
                          <w:sz w:val="18"/>
                          <w:szCs w:val="18"/>
                        </w:rPr>
                        <w:t xml:space="preserve"> patients. IC 95%</w:t>
                      </w:r>
                    </w:p>
                    <w:p w14:paraId="2DA3459C" w14:textId="77777777" w:rsidR="00550E5B" w:rsidRDefault="00550E5B" w:rsidP="00550E5B">
                      <w:pPr>
                        <w:pStyle w:val="Contenidodelmarco"/>
                      </w:pPr>
                    </w:p>
                  </w:txbxContent>
                </v:textbox>
                <w10:wrap type="square" anchorx="margin"/>
              </v:rect>
            </w:pict>
          </mc:Fallback>
        </mc:AlternateContent>
      </w:r>
      <w:r w:rsidR="000672D9">
        <w:rPr>
          <w:noProof/>
        </w:rPr>
        <w:drawing>
          <wp:inline distT="0" distB="0" distL="0" distR="0" wp14:anchorId="042AA77C" wp14:editId="66ACE672">
            <wp:extent cx="5612130" cy="2914015"/>
            <wp:effectExtent l="0" t="0" r="7620" b="635"/>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2914015"/>
                    </a:xfrm>
                    <a:prstGeom prst="rect">
                      <a:avLst/>
                    </a:prstGeom>
                  </pic:spPr>
                </pic:pic>
              </a:graphicData>
            </a:graphic>
          </wp:inline>
        </w:drawing>
      </w:r>
    </w:p>
    <w:p w14:paraId="686FBAE2" w14:textId="160C180F" w:rsidR="00550E5B" w:rsidRDefault="00550E5B"/>
    <w:sectPr w:rsidR="00550E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D8"/>
    <w:rsid w:val="0000372D"/>
    <w:rsid w:val="000411B8"/>
    <w:rsid w:val="000672D9"/>
    <w:rsid w:val="000C168B"/>
    <w:rsid w:val="000F48A0"/>
    <w:rsid w:val="00215D1B"/>
    <w:rsid w:val="004C039C"/>
    <w:rsid w:val="004D01D5"/>
    <w:rsid w:val="00550E5B"/>
    <w:rsid w:val="006234FE"/>
    <w:rsid w:val="00646A91"/>
    <w:rsid w:val="006C5AC2"/>
    <w:rsid w:val="00742F72"/>
    <w:rsid w:val="00817C88"/>
    <w:rsid w:val="00886312"/>
    <w:rsid w:val="009856DA"/>
    <w:rsid w:val="00A37C96"/>
    <w:rsid w:val="00B63882"/>
    <w:rsid w:val="00C27BD8"/>
    <w:rsid w:val="00CB7268"/>
    <w:rsid w:val="00D93621"/>
    <w:rsid w:val="00E9729A"/>
    <w:rsid w:val="00F3668E"/>
    <w:rsid w:val="00F36789"/>
    <w:rsid w:val="00F91D9C"/>
    <w:rsid w:val="00F95E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C726"/>
  <w15:chartTrackingRefBased/>
  <w15:docId w15:val="{1DA66D9D-438E-42E6-AB92-E844B588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27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idodelmarco">
    <w:name w:val="Contenido del marco"/>
    <w:basedOn w:val="Normal"/>
    <w:qFormat/>
    <w:rsid w:val="004D01D5"/>
    <w:pPr>
      <w:suppressAutoHyphens/>
      <w:spacing w:line="254" w:lineRule="auto"/>
    </w:pPr>
    <w:rPr>
      <w:rFonts w:ascii="Calibri" w:eastAsia="Calibri" w:hAnsi="Calibri" w:cs="Tahoma"/>
      <w:lang w:val="en-GB"/>
    </w:rPr>
  </w:style>
  <w:style w:type="character" w:styleId="nfasis">
    <w:name w:val="Emphasis"/>
    <w:basedOn w:val="Fuentedeprrafopredeter"/>
    <w:uiPriority w:val="20"/>
    <w:qFormat/>
    <w:rsid w:val="00F91D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128701">
      <w:bodyDiv w:val="1"/>
      <w:marLeft w:val="0"/>
      <w:marRight w:val="0"/>
      <w:marTop w:val="0"/>
      <w:marBottom w:val="0"/>
      <w:divBdr>
        <w:top w:val="none" w:sz="0" w:space="0" w:color="auto"/>
        <w:left w:val="none" w:sz="0" w:space="0" w:color="auto"/>
        <w:bottom w:val="none" w:sz="0" w:space="0" w:color="auto"/>
        <w:right w:val="none" w:sz="0" w:space="0" w:color="auto"/>
      </w:divBdr>
    </w:div>
    <w:div w:id="1618635008">
      <w:bodyDiv w:val="1"/>
      <w:marLeft w:val="0"/>
      <w:marRight w:val="0"/>
      <w:marTop w:val="0"/>
      <w:marBottom w:val="0"/>
      <w:divBdr>
        <w:top w:val="none" w:sz="0" w:space="0" w:color="auto"/>
        <w:left w:val="none" w:sz="0" w:space="0" w:color="auto"/>
        <w:bottom w:val="none" w:sz="0" w:space="0" w:color="auto"/>
        <w:right w:val="none" w:sz="0" w:space="0" w:color="auto"/>
      </w:divBdr>
    </w:div>
    <w:div w:id="191431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941</Words>
  <Characters>5176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Ocampo</dc:creator>
  <cp:keywords/>
  <dc:description/>
  <cp:lastModifiedBy>Armando Ocampo</cp:lastModifiedBy>
  <cp:revision>13</cp:revision>
  <dcterms:created xsi:type="dcterms:W3CDTF">2022-07-12T06:50:00Z</dcterms:created>
  <dcterms:modified xsi:type="dcterms:W3CDTF">2022-07-12T21:45:00Z</dcterms:modified>
</cp:coreProperties>
</file>