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SISTEMA INTEGRADO DE GESTÃO HOSPITALAR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SGH — Hospital Information System &amp; Healthcare ERP</w:t>
      </w:r>
    </w:p>
    <w:p>
      <w:pPr>
        <w:spacing w:after="280" w:before="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Ficha Técnica &amp; Descritiva Oficial do Sistema para o Mercado de Saúde</w:t>
      </w:r>
    </w:p>
    <w:tbl>
      <w:tblPr>
        <w:tblW w:type="pct" w:w="5000"/>
        <w:tblBorders>
          <w:top w:val="none"/>
          <w:left w:val="single" w:color="0284C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Visão Executiva da Solução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 SGH é uma plataforma corporativa multi-tenant em nuvem concebida para modernizar, unificar e otimizar a totalidade das operações clínicas e administrativas de unidades hospitalares, centros de diagnóstico e policlínicas. Cada hospital dispõe de um Workspace próprio onde o Diretor centraliza os dados, credencia a equipa e despacha requisições, enquanto médicos, farmacêuticos e recepcionistas trabalham em interfaces especializadas de alto desempenho.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1. Identificação do Produto &amp; Modelo de Operação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Denominação Comercial: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SGH — Sistema Integrado de Gestão Hospitalar &amp; Clínica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Arquitetura Operacional: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SaaS Corporativo Multi-Tenant em Nuvem com isolamento rigoroso por Hospital (hospital_id).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Segmento Alvo: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Hospitais Gerais, Centros Médicos Privados, Policlínicas Especializadas e Redes de Saúde.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Idioma e Moeda: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Totalmente localizado em Português com suporte nativo a Meticais (MZN) e múltiplos métodos de pagamento (Dinheiro, Cartão/POS, M-Pesa, e-Mola).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2. Ideia Central e Objetivos de Negócio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 gestão hospitalar moderna envolve processos críticos e interdependentes: cadastro de utentes, triagem médica, agendamentos, emissão de prontuários eletrónicos, controlo de stock farmacêutico, requisições internas de abastecimento e liquidação financeira.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O objetivo primordial do SGH é substituir registos dispersos em papel e softwares desconectados por uma infraestrutura integrada em nuvem que proporciona: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1. Zero Dispersão de Dados: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Prontuário clínico unificado que acompanha o paciente em todas as suas consultas e internamentos.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2. Despacho &amp; Controlo de Gastos: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Fluxo formal de Requisições &amp; Aquisições onde pedidos de medicamentos ou equipamentos feitos pelos funcionários só avançam com a aprovação explícita da Direção do Hospital.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3. Segurança e Auditoria: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Rastreabilidade total através de logs de auditoria imutáveis com carimbo de tempo para qualquer ação clínica ou financeira.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4. Interfaces Adaptativas: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Cada colaborador opera num ambiente despoluído com as ferramentas estritamente necessárias para a sua função diária.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3. Estrutura de Perfis &amp; Permissões no Workspace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Cada Workspace Hospitalar organiza a equipa médica e administrativa em 4 perfis fundamentais com controlo de acesso baseado em funções (RBAC):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86"/>
        <w:gridCol w:w="3430"/>
        <w:gridCol w:w="3610"/>
      </w:tblGrid>
      <w:tr>
        <w:tc>
          <w:tcPr>
            <w:tcW w:type="pct" w:w="1100"/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pct" w:w="1900"/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 Principais</w:t>
            </w:r>
          </w:p>
        </w:tc>
        <w:tc>
          <w:tcPr>
            <w:tcW w:type="pct" w:w="2000"/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Módulos &amp; Interfaces Exclusivas</w:t>
            </w:r>
          </w:p>
        </w:tc>
      </w:tr>
      <w:tr>
        <w:tc>
          <w:tcPr>
            <w:tcW w:type="pct" w:w="1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Diretor Geral / Administrador</w:t>
            </w:r>
          </w:p>
        </w:tc>
        <w:tc>
          <w:tcPr>
            <w:tcW w:type="pct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Gestão estratégica, supervisão clínica e administrativa, despacho de compras e gestão da equipa.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Painel Executivo 360º, Despacho de Requisições, Equipa &amp; Acessos, Auditoria Geral, Configurações do Hospital.</w:t>
            </w:r>
          </w:p>
        </w:tc>
      </w:tr>
      <w:tr>
        <w:tc>
          <w:tcPr>
            <w:tcW w:type="pct" w:w="1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Médico / Corpo Clínico</w:t>
            </w:r>
          </w:p>
        </w:tc>
        <w:tc>
          <w:tcPr>
            <w:tcW w:type="pct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Atendimento médico ambulatorial e de urgência, diagnóstico, prescrição de medicamentos e requisições clínicas.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Fila de Espera Clínica, Prontuário Eletrónico, Diagnóstico CID, Emissor de Receitas Médicas, Requisição de Insumos.</w:t>
            </w:r>
          </w:p>
        </w:tc>
      </w:tr>
      <w:tr>
        <w:tc>
          <w:tcPr>
            <w:tcW w:type="pct" w:w="1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Farmacêutico / Stock</w:t>
            </w:r>
          </w:p>
        </w:tc>
        <w:tc>
          <w:tcPr>
            <w:tcW w:type="pct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Gestão do inventário da farmácia, dispensação de fármacos prescritos e reposição de stock hospitalar.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Painel Farmacêutico, Alertas de Rutura, Catálogo de Medicamentos, Requisição de Reposição e Confirmação de Entrada.</w:t>
            </w:r>
          </w:p>
        </w:tc>
      </w:tr>
      <w:tr>
        <w:tc>
          <w:tcPr>
            <w:tcW w:type="pct" w:w="1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Recepcionista &amp; Caixa</w:t>
            </w:r>
          </w:p>
        </w:tc>
        <w:tc>
          <w:tcPr>
            <w:tcW w:type="pct" w:w="1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Admissão de pacientes, abertura de processos clínicos, triagem de prioridade e cobrança de serviços.</w:t>
            </w:r>
          </w:p>
        </w:tc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Registo de Pacientes, Marcação de Consultas, Triagem/Chamada, Caixa com Emissão de Recibo Oficial numerado.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4. Módulos Operacionais Integrados do Sistema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A. Portal Institucional de Apresentação (Landing Page)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Apresentação corporativa da unidade de saúde com visual moderno e limpo, sem vestígios de IA: apresentação de departamentos clínicos (Cardiologia, Neurologia, Pediatria, Ortopedia, Cirurgia), corpo clínico credenciado com imagens profissionais, marcação expressa e botão de login seguro para acesso aos Workspaces de Gestão.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B. Gestão de Pacientes &amp; Histórico Clínico Longitudinal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Registo de pacientes com geração padronizada de Número de Processo (ex: P2026-00001), arquivo biográfico, documentos de identificação, contactos de emergência, registo de alergias e acesso instantâneo ao histórico de todas as consultas e atendimentos anteriores.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C. Agenda Médica, Triagem e Fila de Espera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Marcação ágil de consultas por médico e especialidade. Fluxo de atendimento com transições de estado em tempo real: Agendada -&gt; Sala de Espera -&gt; Em Atendimento -&gt; Concluída. Classificação de prioridade (Normal, Prioritário, Urgente) para gestão humanizada do tempo de espera.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D. Consultório Médico Eletrónico &amp; Prescrição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Interface clínica para o médico com aferição de sinais vitais (Tensão Arterial, Temperatura, Pulsação, Peso corporal), anotações de anamnese, registo de diagnósticos clínicos e gerador de Prescrições Médicas oficiais prontas para impressão.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E. Farmácia Hospitalar &amp; Controlo de Stock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Catálogo informatizado de medicamentos com dosagem, princípio ativo, forma farmacêutica e limiares de segurança (stock mínimo). Dedução de saídas e sincronização automática com pedidos de abastecimento.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F. Requisições, Aquisições &amp; Despacho da Direção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Módulo de compras sem papel: funcionários solicitam reposição de fármacos, material clínico ou equipamentos. O Diretor analisa o custo, a justificativa e aprova ou rejeita com parecer oficial. A receção física do produto credita automaticamente o stock.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G. Caixa, Faturação e Emissão de Recibos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Registo de pagamentos em conformidade com o mercado moçambicano e internacional: M-Pesa, e-Mola, Cartão POS, Dinheiro e Transferência. Emissão automática de Recibo Oficial numerado com discriminação do serviço prestado e identificação do operador.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H. Relatórios Administrativos &amp; Executivos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Painéis analíticos e relatórios gerenciais com métricas de faturação total, produtividade do corpo clínico, volume de consultas por departamento e estatísticas de utilização.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284C7"/>
          <w:sz w:val="23"/>
          <w:szCs w:val="23"/>
        </w:rPr>
        <w:t xml:space="preserve">I. Auditoria, Rastreabilidade &amp; Segurança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Mecanismo de log contínuo que regista o utilizador, a hora, a entidade e os detalhes de cada ação relevante na base de dados, prevenindo fraudes e assegurando conformidade ética.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5. Especificações Técnicas e Arquitetura de Software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Frontend: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React 19, TypeScript, Vite, Tailwind CSS, Componentes Shadcn UI / Radix Primitives, Lucide Icons.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Backend &amp; Dados: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Supabase (PostgreSQL 15), Políticas de Segurança RLS (Row Level Security), Triggers em PL/pgSQL.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Autenticação: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Supabase Auth com tokens JWT seguros, confirmação imediata e metadados organizacionais por Hospital.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• Resiliência Operacional: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Mecanismo de persistência redundante com failover transparente caso ocorra oscilação na ligação à nuvem.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6. Matriz de Atendimento aos Requisitos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610"/>
        <w:gridCol w:w="5416"/>
      </w:tblGrid>
      <w:tr>
        <w:tc>
          <w:tcPr>
            <w:tcW w:type="pct" w:w="2000"/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Hospitalar</w:t>
            </w:r>
          </w:p>
        </w:tc>
        <w:tc>
          <w:tcPr>
            <w:tcW w:type="pct" w:w="3000"/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Implementação Efetiva no SGH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Registar e gerir informações dos pacientes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Processo clínico informatizado, histórico unificado e pesquisa rápida.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Cadastro e gestão de médicos e funcionários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Módulo de equipa com credenciais por função e inscrição de médicos na OMM.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Marcação, alteração e cancelamento de consultas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Agenda médica completa, fila de espera dinâmica e motivos de cancelamento.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Histórico clínico longitudinal dos pacientes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Acesso imediato no consultório ao prontuário e antecedentes de saúde.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Diagnósticos, prescrições e medicamentos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Atendimento médico eletrónico com CID, sinais vitais e receitas impressas.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Controlo de pagamentos e tesouraria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Faturação com M-Pesa, e-Mola, Cartão, Dinheiro e emissão de recibo.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Requisições internas e reposição de stock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Fluxo formal de compras com despacho do Diretor e entrada automática em stock.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Relatórios gerenciais e estatísticas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Métricas financeiras, relatórios de produtividade médica e gráficos executivos.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Níveis de acesso diferenciados (RBAC)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 interfaces adaptativas: Diretor, Médico, Farmacêutico e Recepcionista.</w:t>
            </w:r>
          </w:p>
        </w:tc>
      </w:tr>
      <w:tr>
        <w:tc>
          <w:tcPr>
            <w:tcW w:type="pct" w:w="2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Segurança e eliminação de papéis</w:t>
            </w:r>
          </w:p>
        </w:tc>
        <w:tc>
          <w:tcPr>
            <w:tcW w:type="pct" w:w="3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Base de dados relacional segura com auditoria contínua e RLS.</w:t>
            </w:r>
          </w:p>
        </w:tc>
      </w:tr>
    </w:tbl>
    <w:p>
      <w:pPr>
        <w:spacing w:after="100" w:before="30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Documento homologado para apresentação institucional, implantação operacional e demonstração executiva a unidades de saúde.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8"/>
        <w:szCs w:val="18"/>
      </w:rPr>
      <w:t xml:space="preserve">Página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</w:r>
    <w:r>
      <w:rPr>
        <w:rFonts w:ascii="Calibri" w:cs="Calibri" w:eastAsia="Calibri" w:hAnsi="Calibri"/>
        <w:color w:val="47556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475569"/>
        <w:sz w:val="18"/>
        <w:szCs w:val="18"/>
      </w:rPr>
      <w:fldChar w:fldCharType="separate"/>
    </w:r>
    <w:r>
      <w:rPr>
        <w:rFonts w:ascii="Calibri" w:cs="Calibri" w:eastAsia="Calibri" w:hAnsi="Calibri"/>
        <w:color w:val="475569"/>
        <w:sz w:val="18"/>
        <w:szCs w:val="18"/>
      </w:rPr>
      <w:fldChar w:fldCharType="end"/>
    </w:r>
    <w:r>
      <w:rPr>
        <w:rFonts w:ascii="Calibri" w:cs="Calibri" w:eastAsia="Calibri" w:hAnsi="Calibri"/>
        <w:color w:val="475569"/>
        <w:sz w:val="18"/>
        <w:szCs w:val="18"/>
      </w:rPr>
      <w:t xml:space="preserve"> de 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</w:r>
    <w:r>
      <w:rPr>
        <w:rFonts w:ascii="Calibri" w:cs="Calibri" w:eastAsia="Calibri" w:hAnsi="Calibri"/>
        <w:color w:val="475569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475569"/>
        <w:sz w:val="18"/>
        <w:szCs w:val="18"/>
      </w:rPr>
      <w:fldChar w:fldCharType="separate"/>
    </w:r>
    <w:r>
      <w:rPr>
        <w:rFonts w:ascii="Calibri" w:cs="Calibri" w:eastAsia="Calibri" w:hAnsi="Calibri"/>
        <w:color w:val="4755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SGH — Sistema de Gestão Hospitalar &amp; Clínica (HIS / ERP) | Ficha Descritiva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2026-10-21T10:09:14.060Z</dcterms:created>
  <dcterms:modified xsi:type="dcterms:W3CDTF">2026-10-21T10:09:14.061Z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