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WP4 — Valutazione prestazionale del prototipo VoteUnisa</w:t>
      </w:r>
    </w:p>
    <w:p>
      <w:pPr>
        <w:jc w:val="left"/>
      </w:pPr>
      <w:r>
        <w:rPr>
          <w:i/>
        </w:rPr>
        <w:t>Sistema di voto elettronico — Algoritmi e Protocolli per la Sicurezza</w:t>
      </w:r>
    </w:p>
    <w:p>
      <w:pPr>
        <w:pStyle w:val="Heading1"/>
      </w:pPr>
      <w:r>
        <w:t>1. Metodologia e ambiente di misura</w:t>
      </w:r>
    </w:p>
    <w:p>
      <w:pPr>
        <w:spacing w:after="120"/>
      </w:pPr>
      <w:r>
        <w:t>La presente relazione riporta le prestazioni misurate sul prototipo del WP4, limitatamente alle primitive e ai protocolli effettivamente implementati. Le misure coprono i quattro aspetti richiesti: costo computazionale delle operazioni crittografiche, dimensione dei messaggi scambiati, latenza delle operazioni di verifica e tempi di interazione dei protocolli a più passi.</w:t>
      </w:r>
    </w:p>
    <w:p>
      <w:pPr>
        <w:spacing w:after="120"/>
      </w:pPr>
      <w:r>
        <w:t>Le misure sono prodotte dallo script performance.py, che riutilizza gli stessi percorsi di esecuzione del prototipo: i tempi di interazione attraversano i metodi reali degli attori (autenticazione challenge-response, rilascio del token, cifratura e sottomissione della scheda, verifica della ricevuta), senza alcuna messa in scena. I tempi sono rilevati con time.perf_counter; ogni operazione crittografica è mediata su 50 ripetizioni (10 per la generazione di chiave, più onerosa; 1000 per le operazioni di Shamir, rapide), riportando media e deviazione standard. L'unica dipendenza crittografica è la libreria cryptography.</w:t>
      </w:r>
    </w:p>
    <w:p>
      <w:pPr>
        <w:spacing w:after="120"/>
      </w:pPr>
      <w:r>
        <w:t>Ambiente di esecuzione: CPython 3.13.7 su Windows 11 (10.0.26200), processo singolo. I valori assoluti dipendono dalla macchina; le conclusioni rilevanti riguardano gli ordini di grandezza e l'andamento al crescere dell'elettorato N.</w:t>
      </w:r>
    </w:p>
    <w:p>
      <w:pPr>
        <w:pStyle w:val="Heading1"/>
      </w:pPr>
      <w:r>
        <w:t>2. Costo computazionale delle operazioni crittografiche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Operazione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 (ms)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Dev. std (ms)</w:t>
            </w:r>
          </w:p>
        </w:tc>
      </w:tr>
      <w:tr>
        <w:tc>
          <w:tcPr>
            <w:tcW w:type="dxa" w:w="2880"/>
          </w:tcPr>
          <w:p>
            <w:r>
              <w:t>RSA-2048 keygen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55,668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24,738</w:t>
            </w:r>
          </w:p>
        </w:tc>
      </w:tr>
      <w:tr>
        <w:tc>
          <w:tcPr>
            <w:tcW w:type="dxa" w:w="2880"/>
          </w:tcPr>
          <w:p>
            <w:r>
              <w:t>OAEP encrypt (voto)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0,0377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0,0083</w:t>
            </w:r>
          </w:p>
        </w:tc>
      </w:tr>
      <w:tr>
        <w:tc>
          <w:tcPr>
            <w:tcW w:type="dxa" w:w="2880"/>
          </w:tcPr>
          <w:p>
            <w:r>
              <w:t>OAEP decrypt (scrutinio)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0,3778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0,0733</w:t>
            </w:r>
          </w:p>
        </w:tc>
      </w:tr>
      <w:tr>
        <w:tc>
          <w:tcPr>
            <w:tcW w:type="dxa" w:w="2880"/>
          </w:tcPr>
          <w:p>
            <w:r>
              <w:t>PSS sign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0,4105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0,1218</w:t>
            </w:r>
          </w:p>
        </w:tc>
      </w:tr>
      <w:tr>
        <w:tc>
          <w:tcPr>
            <w:tcW w:type="dxa" w:w="2880"/>
          </w:tcPr>
          <w:p>
            <w:r>
              <w:t>PSS verify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0,0416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0,0100</w:t>
            </w:r>
          </w:p>
        </w:tc>
      </w:tr>
      <w:tr>
        <w:tc>
          <w:tcPr>
            <w:tcW w:type="dxa" w:w="2880"/>
          </w:tcPr>
          <w:p>
            <w:r>
              <w:t>SHA-256 (1 KB)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0,0698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0,4703</w:t>
            </w:r>
          </w:p>
        </w:tc>
      </w:tr>
      <w:tr>
        <w:tc>
          <w:tcPr>
            <w:tcW w:type="dxa" w:w="2880"/>
          </w:tcPr>
          <w:p>
            <w:r>
              <w:t>Shamir split (3/5)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0,0099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0,0066</w:t>
            </w:r>
          </w:p>
        </w:tc>
      </w:tr>
      <w:tr>
        <w:tc>
          <w:tcPr>
            <w:tcW w:type="dxa" w:w="2880"/>
          </w:tcPr>
          <w:p>
            <w:r>
              <w:t>Shamir reconstruct (3)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0,0116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0,0235</w:t>
            </w:r>
          </w:p>
        </w:tc>
      </w:tr>
    </w:tbl>
    <w:p>
      <w:pPr>
        <w:spacing w:after="120"/>
      </w:pPr>
      <w:r>
        <w:t>La generazione della coppia di chiavi RSA-2048 (circa 56 ms) domina di tre ordini di grandezza ogni altra primitiva. Tutte le operazioni di uso ripetuto — cifratura e decifratura OAEP, firma e verifica PSS, hashing SHA-256, ripartizione e ricostruzione di Shamir — restano sotto il millisecondo. Si osserva l'asimmetria tipica di RSA: le operazioni con esponente privato (decrypt, sign: circa 0,38–0,41 ms) costano circa dieci volte più di quelle con esponente pubblico (encrypt, verify: circa 0,04 ms). Questa asimmetria determina il profilo di costo dello scrutinio, che esegue una decifratura per scheda (§4). Il contributo di Shamir è trascurabile: la condivisione della chiave di scrutinio non incide sul costo complessivo.</w:t>
      </w:r>
    </w:p>
    <w:p>
      <w:pPr>
        <w:pStyle w:val="Heading1"/>
      </w:pPr>
      <w:r>
        <w:t>3. Dimensione dei messaggi scambiati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Messaggio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Dimensione (byte)</w:t>
            </w:r>
          </w:p>
        </w:tc>
      </w:tr>
      <w:tr>
        <w:tc>
          <w:tcPr>
            <w:tcW w:type="dxa" w:w="4320"/>
          </w:tcPr>
          <w:p>
            <w:r>
              <w:t>Ciphertext della scheda C (RSA-2048 OAEP)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Firma effimera su C (RSA-2048 PSS)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Chiave pubblica effimera PK_eff (PEM)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451</w:t>
            </w:r>
          </w:p>
        </w:tc>
      </w:tr>
      <w:tr>
        <w:tc>
          <w:tcPr>
            <w:tcW w:type="dxa" w:w="4320"/>
          </w:tcPr>
          <w:p>
            <w:r>
              <w:t>Token (id + PK_eff + firma del registrar)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742</w:t>
            </w:r>
          </w:p>
        </w:tc>
      </w:tr>
    </w:tbl>
    <w:p>
      <w:pPr>
        <w:spacing w:after="120"/>
      </w:pPr>
      <w:r>
        <w:t>I messaggi del protocollo di voto hanno dimensione costante e ridotta. Il ciphertext della scheda e la firma effimera occupano un blocco RSA-2048 ciascuno (256 byte); il token, che veicola la chiave effimera in formato PEM e la firma del registrar, si attesta sotto il kilobyte. Nessuna struttura cresce con il numero di voti, con l'eccezione della ricevuta individuale.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Elettorato 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Profondità albero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Ricevuta (byte)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≈ 483</w:t>
            </w:r>
          </w:p>
        </w:tc>
      </w:tr>
      <w:tr>
        <w:tc>
          <w:tcPr>
            <w:tcW w:type="dxa" w:w="2880"/>
          </w:tcPr>
          <w:p>
            <w:r>
              <w:t>1 000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≈ 690</w:t>
            </w:r>
          </w:p>
        </w:tc>
      </w:tr>
      <w:tr>
        <w:tc>
          <w:tcPr>
            <w:tcW w:type="dxa" w:w="2880"/>
          </w:tcPr>
          <w:p>
            <w:r>
              <w:t>10 000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≈ 966</w:t>
            </w:r>
          </w:p>
        </w:tc>
      </w:tr>
    </w:tbl>
    <w:p>
      <w:pPr>
        <w:spacing w:after="120"/>
      </w:pPr>
      <w:r>
        <w:t>La ricevuta è una prova di inclusione di Merkle: contiene un nodo per livello dell'albero, quindi la sua dimensione cresce con il logaritmo di N. Anche per un elettorato di diecimila aventi diritto la ricevuta resta sotto il kilobyte: la verificabilità individuale ha un costo di comunicazione logaritmico e praticamente irrilevante.</w:t>
      </w:r>
    </w:p>
    <w:p>
      <w:pPr>
        <w:pStyle w:val="Heading1"/>
      </w:pPr>
      <w:r>
        <w:t>4. Latenza delle operazioni di verifica a scala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Costruzione urna (ms)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Scrutinio (ms)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 universale (ms)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40,07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13,00</w:t>
            </w:r>
          </w:p>
        </w:tc>
      </w:tr>
      <w:tr>
        <w:tc>
          <w:tcPr>
            <w:tcW w:type="dxa" w:w="2160"/>
          </w:tcPr>
          <w:p>
            <w:r>
              <w:t>1 000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421,02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110,00</w:t>
            </w:r>
          </w:p>
        </w:tc>
      </w:tr>
      <w:tr>
        <w:tc>
          <w:tcPr>
            <w:tcW w:type="dxa" w:w="2160"/>
          </w:tcPr>
          <w:p>
            <w:r>
              <w:t>10 000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44,64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4 380,14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1 295,70</w:t>
            </w:r>
          </w:p>
        </w:tc>
      </w:tr>
    </w:tbl>
    <w:p>
      <w:pPr>
        <w:spacing w:after="120"/>
      </w:pPr>
      <w:r>
        <w:t>Le tre fasi che scalano con l'elettorato sono state misurate su N crescente di un fattore dieci a ogni passo. La costruzione dell'urna (hashing delle foglie e dell'albero di Merkle) è la più economica. Lo scrutinio, che decifra una scheda alla volta, cresce linearmente in N e ne costituisce il costo dominante: a N = 10 000 richiede circa 4,4 s, coerentemente con il costo unitario della decifratura OAEP rilevato in §2 (circa 0,38 ms × 10 000 più l'overhead di serializzazione).</w:t>
      </w:r>
    </w:p>
    <w:p>
      <w:pPr>
        <w:spacing w:after="120"/>
      </w:pPr>
      <w:r>
        <w:t>La verifica universale — ricostruzione della radice dai record pubblici, controllo della firma sulla radice, della catena dei certificati con CRL e del riconteggio — cresce anch'essa linearmente in N, ma con costante inferiore: circa 0,13 ms per scheda, pari a 1,3 s a N = 10 000. Il costo della trasparenza pubblica è quindi lineare e contenuto: chiunque può rieseguire la verifica completa dell'elezione in tempi dell'ordine del secondo. Entrambe le fasi crescono in modo prevedibile (∝ N), senza termini superlineari.</w:t>
      </w:r>
    </w:p>
    <w:p>
      <w:pPr>
        <w:pStyle w:val="Heading1"/>
      </w:pPr>
      <w:r>
        <w:t>5. Tempi di interazione dei protocolli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Interazione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 (ms)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Dev. std (ms)</w:t>
            </w:r>
          </w:p>
        </w:tc>
      </w:tr>
      <w:tr>
        <w:tc>
          <w:tcPr>
            <w:tcW w:type="dxa" w:w="2880"/>
          </w:tcPr>
          <w:p>
            <w:r>
              <w:t>Sessione di voto end-to-end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90,435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34,837</w:t>
            </w:r>
          </w:p>
        </w:tc>
      </w:tr>
      <w:tr>
        <w:tc>
          <w:tcPr>
            <w:tcW w:type="dxa" w:w="2880"/>
          </w:tcPr>
          <w:p>
            <w:r>
              <w:t>Autenticazione + rilascio token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2,028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0,443</w:t>
            </w:r>
          </w:p>
        </w:tc>
      </w:tr>
      <w:tr>
        <w:tc>
          <w:tcPr>
            <w:tcW w:type="dxa" w:w="2880"/>
          </w:tcPr>
          <w:p>
            <w:r>
              <w:t>Verifica individuale della ricevuta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0,060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0,025</w:t>
            </w:r>
          </w:p>
        </w:tc>
      </w:tr>
    </w:tbl>
    <w:p>
      <w:pPr>
        <w:spacing w:after="120"/>
      </w:pPr>
      <w:r>
        <w:t>I tempi di interazione misurano la latenza dei protocolli a più passi, su 25 sessioni con identità distinte (ogni avente diritto ottiene un solo token). La sessione di voto completa — challenge-response, generazione della chiave effimera, richiesta del token, cifratura del voto, firma e sottomissione — richiede in media circa 90 ms, dominata dalla generazione della chiave effimera (§2); la variabilità (deviazione di circa 35 ms) riflette proprio quella del keygen RSA. La latenza resta ampiamente entro la soglia di percezione di un'operazione interattiva.</w:t>
      </w:r>
    </w:p>
    <w:p>
      <w:pPr>
        <w:spacing w:after="120"/>
      </w:pPr>
      <w:r>
        <w:t>Isolando il solo round-trip di autenticazione e rilascio del token (con chiave effimera pre-generata), il costo lato autorità è di circa 2 ms: la verifica del certificato dello studente, della risposta al challenge e la firma del token sono operazioni leggere. La verifica individuale della ricevuta è praticamente istantanea (circa 0,06 ms), trattandosi di una catena di hash di lunghezza logaritmica e di una singola verifica di firma.</w:t>
      </w:r>
    </w:p>
    <w:p>
      <w:pPr>
        <w:pStyle w:val="Heading1"/>
      </w:pPr>
      <w:r>
        <w:t>6. Sintesi</w:t>
      </w:r>
    </w:p>
    <w:p>
      <w:pPr>
        <w:spacing w:after="120"/>
      </w:pPr>
      <w:r>
        <w:t>Le misure confermano un profilo di costo coerente con le scelte di progetto. Le primitive di uso ripetuto sono sotto il millisecondo; l'unica operazione onerosa è la generazione di chiave RSA, sostenuta una sola volta per sessione di voto e una tantum in fase di configurazione delle autorità. I messaggi del protocollo sono di dimensione costante e ridotta, e la ricevuta individuale cresce solo logaritmicamente in N.</w:t>
      </w:r>
    </w:p>
    <w:p>
      <w:pPr>
        <w:spacing w:after="120"/>
      </w:pPr>
      <w:r>
        <w:t>A scala, i due costi dominanti sono lo scrutinio e la verifica universale, entrambi lineari in N: a diecimila aventi diritto si attestano rispettivamente intorno ai 4,4 s e 1,3 s. L'andamento lineare rende le prestazioni prevedibili e adeguate alla scala di un'elezione di ateneo; un'eventuale parallelizzazione dello scrutinio, esterna al perimetro del corso, ne ridurrebbe ulteriormente il tempo. Il costo della verificabilità — individuale (ricevuta) e universale (riconteggio pubblico) — resta in ogni caso basso, a conferma che la trasparenza del sistema non è ottenuta a scapito dell'efficienza.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