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Реестр НПА по стропальщику: короткая версия</w:t>
      </w:r>
    </w:p>
    <w:p>
      <w:pPr>
        <w:jc w:val="center"/>
      </w:pPr>
      <w:r>
        <w:rPr>
          <w:i/>
        </w:rPr>
        <w:t>Дата проверки: 11.06.2026</w:t>
      </w:r>
    </w:p>
    <w:p>
      <w:r>
        <w:rPr>
          <w:b/>
        </w:rPr>
        <w:t>Действующие акты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t>Название и номер</w:t>
            </w:r>
          </w:p>
        </w:tc>
        <w:tc>
          <w:tcPr>
            <w:tcW w:type="dxa" w:w="1506"/>
          </w:tcPr>
          <w:p>
            <w:r>
              <w:t>Дата принятия</w:t>
            </w:r>
          </w:p>
        </w:tc>
        <w:tc>
          <w:tcPr>
            <w:tcW w:type="dxa" w:w="1506"/>
          </w:tcPr>
          <w:p>
            <w:r>
              <w:t>Дата окончания</w:t>
            </w:r>
          </w:p>
        </w:tc>
        <w:tc>
          <w:tcPr>
            <w:tcW w:type="dxa" w:w="1506"/>
          </w:tcPr>
          <w:p>
            <w:r>
              <w:t>Статус</w:t>
            </w:r>
          </w:p>
        </w:tc>
        <w:tc>
          <w:tcPr>
            <w:tcW w:type="dxa" w:w="1506"/>
          </w:tcPr>
          <w:p>
            <w:r>
              <w:t>Кто издал</w:t>
            </w:r>
          </w:p>
        </w:tc>
        <w:tc>
          <w:tcPr>
            <w:tcW w:type="dxa" w:w="1506"/>
          </w:tcPr>
          <w:p>
            <w:r>
              <w:t>О чем документ</w:t>
            </w:r>
          </w:p>
        </w:tc>
        <w:tc>
          <w:tcPr>
            <w:tcW w:type="dxa" w:w="1506"/>
          </w:tcPr>
          <w:p>
            <w:r>
              <w:t>Что важно для стропальщика</w:t>
            </w:r>
          </w:p>
        </w:tc>
      </w:tr>
      <w:tr>
        <w:tc>
          <w:tcPr>
            <w:tcW w:type="dxa" w:w="1506"/>
          </w:tcPr>
          <w:p>
            <w:r>
              <w:t>Трудовой кодекс РФ № 197-ФЗ</w:t>
            </w:r>
          </w:p>
        </w:tc>
        <w:tc>
          <w:tcPr>
            <w:tcW w:type="dxa" w:w="1506"/>
          </w:tcPr>
          <w:p>
            <w:r>
              <w:t>30.12.2001</w:t>
            </w:r>
          </w:p>
        </w:tc>
        <w:tc>
          <w:tcPr>
            <w:tcW w:type="dxa" w:w="1506"/>
          </w:tcPr>
          <w:p>
            <w:r>
              <w:t>не установлена</w:t>
            </w:r>
          </w:p>
        </w:tc>
        <w:tc>
          <w:tcPr>
            <w:tcW w:type="dxa" w:w="1506"/>
          </w:tcPr>
          <w:p>
            <w:r>
              <w:t>действует</w:t>
            </w:r>
          </w:p>
        </w:tc>
        <w:tc>
          <w:tcPr>
            <w:tcW w:type="dxa" w:w="1506"/>
          </w:tcPr>
          <w:p>
            <w:r>
              <w:t>Федеральное Собрание РФ, Президент РФ</w:t>
            </w:r>
          </w:p>
        </w:tc>
        <w:tc>
          <w:tcPr>
            <w:tcW w:type="dxa" w:w="1506"/>
          </w:tcPr>
          <w:p>
            <w:r>
              <w:t>Общая рамка по охране труда и допуску к работе</w:t>
            </w:r>
          </w:p>
        </w:tc>
        <w:tc>
          <w:tcPr>
            <w:tcW w:type="dxa" w:w="1506"/>
          </w:tcPr>
          <w:p>
            <w:r>
              <w:t>Раздел X "Охрана труда": обязанности работодателя и работника, СИЗ, безопасные условия труда, расследование несчастных случаев</w:t>
            </w:r>
          </w:p>
        </w:tc>
      </w:tr>
      <w:tr>
        <w:tc>
          <w:tcPr>
            <w:tcW w:type="dxa" w:w="1506"/>
          </w:tcPr>
          <w:p>
            <w:r>
              <w:t>Федеральный закон № 426-ФЗ "О специальной оценке условий труда"</w:t>
            </w:r>
          </w:p>
        </w:tc>
        <w:tc>
          <w:tcPr>
            <w:tcW w:type="dxa" w:w="1506"/>
          </w:tcPr>
          <w:p>
            <w:r>
              <w:t>28.12.2013</w:t>
            </w:r>
          </w:p>
        </w:tc>
        <w:tc>
          <w:tcPr>
            <w:tcW w:type="dxa" w:w="1506"/>
          </w:tcPr>
          <w:p>
            <w:r>
              <w:t>не установлена</w:t>
            </w:r>
          </w:p>
        </w:tc>
        <w:tc>
          <w:tcPr>
            <w:tcW w:type="dxa" w:w="1506"/>
          </w:tcPr>
          <w:p>
            <w:r>
              <w:t>действует</w:t>
            </w:r>
          </w:p>
        </w:tc>
        <w:tc>
          <w:tcPr>
            <w:tcW w:type="dxa" w:w="1506"/>
          </w:tcPr>
          <w:p>
            <w:r>
              <w:t>Федеральное Собрание РФ, Президент РФ</w:t>
            </w:r>
          </w:p>
        </w:tc>
        <w:tc>
          <w:tcPr>
            <w:tcW w:type="dxa" w:w="1506"/>
          </w:tcPr>
          <w:p>
            <w:r>
              <w:t>СОУТ и классы условий труда</w:t>
            </w:r>
          </w:p>
        </w:tc>
        <w:tc>
          <w:tcPr>
            <w:tcW w:type="dxa" w:w="1506"/>
          </w:tcPr>
          <w:p>
            <w:r>
              <w:t>ст. 3, ст. 8, ст. 13, ст. 17</w:t>
            </w:r>
          </w:p>
        </w:tc>
      </w:tr>
      <w:tr>
        <w:tc>
          <w:tcPr>
            <w:tcW w:type="dxa" w:w="1506"/>
          </w:tcPr>
          <w:p>
            <w:r>
              <w:t>Постановление Правительства РФ № 2464</w:t>
            </w:r>
          </w:p>
        </w:tc>
        <w:tc>
          <w:tcPr>
            <w:tcW w:type="dxa" w:w="1506"/>
          </w:tcPr>
          <w:p>
            <w:r>
              <w:t>24.12.2021</w:t>
            </w:r>
          </w:p>
        </w:tc>
        <w:tc>
          <w:tcPr>
            <w:tcW w:type="dxa" w:w="1506"/>
          </w:tcPr>
          <w:p>
            <w:r>
              <w:t>01.09.2026</w:t>
            </w:r>
          </w:p>
        </w:tc>
        <w:tc>
          <w:tcPr>
            <w:tcW w:type="dxa" w:w="1506"/>
          </w:tcPr>
          <w:p>
            <w:r>
              <w:t>действует</w:t>
            </w:r>
          </w:p>
        </w:tc>
        <w:tc>
          <w:tcPr>
            <w:tcW w:type="dxa" w:w="1506"/>
          </w:tcPr>
          <w:p>
            <w:r>
              <w:t>Правительство РФ</w:t>
            </w:r>
          </w:p>
        </w:tc>
        <w:tc>
          <w:tcPr>
            <w:tcW w:type="dxa" w:w="1506"/>
          </w:tcPr>
          <w:p>
            <w:r>
              <w:t>Обучение по охране труда и проверка знаний</w:t>
            </w:r>
          </w:p>
        </w:tc>
        <w:tc>
          <w:tcPr>
            <w:tcW w:type="dxa" w:w="1506"/>
          </w:tcPr>
          <w:p>
            <w:r>
              <w:t>Инструктажи, стажировка, обучение, первая помощь, проверка знаний</w:t>
            </w:r>
          </w:p>
        </w:tc>
      </w:tr>
      <w:tr>
        <w:tc>
          <w:tcPr>
            <w:tcW w:type="dxa" w:w="1506"/>
          </w:tcPr>
          <w:p>
            <w:r>
              <w:t>Федеральный закон № 116-ФЗ</w:t>
            </w:r>
          </w:p>
        </w:tc>
        <w:tc>
          <w:tcPr>
            <w:tcW w:type="dxa" w:w="1506"/>
          </w:tcPr>
          <w:p>
            <w:r>
              <w:t>21.07.1997</w:t>
            </w:r>
          </w:p>
        </w:tc>
        <w:tc>
          <w:tcPr>
            <w:tcW w:type="dxa" w:w="1506"/>
          </w:tcPr>
          <w:p>
            <w:r>
              <w:t>не установлена</w:t>
            </w:r>
          </w:p>
        </w:tc>
        <w:tc>
          <w:tcPr>
            <w:tcW w:type="dxa" w:w="1506"/>
          </w:tcPr>
          <w:p>
            <w:r>
              <w:t>действует</w:t>
            </w:r>
          </w:p>
        </w:tc>
        <w:tc>
          <w:tcPr>
            <w:tcW w:type="dxa" w:w="1506"/>
          </w:tcPr>
          <w:p>
            <w:r>
              <w:t>Федеральное Собрание РФ, Президент РФ</w:t>
            </w:r>
          </w:p>
        </w:tc>
        <w:tc>
          <w:tcPr>
            <w:tcW w:type="dxa" w:w="1506"/>
          </w:tcPr>
          <w:p>
            <w:r>
              <w:t>Промышленная безопасность ОПО</w:t>
            </w:r>
          </w:p>
        </w:tc>
        <w:tc>
          <w:tcPr>
            <w:tcW w:type="dxa" w:w="1506"/>
          </w:tcPr>
          <w:p>
            <w:r>
              <w:t>Нужен при работе на ОПО: подготовка работников, требования ПБ, производственный контроль</w:t>
            </w:r>
          </w:p>
        </w:tc>
      </w:tr>
      <w:tr>
        <w:tc>
          <w:tcPr>
            <w:tcW w:type="dxa" w:w="1506"/>
          </w:tcPr>
          <w:p>
            <w:r>
              <w:t>Приказ Ростехнадзора № 461</w:t>
            </w:r>
          </w:p>
        </w:tc>
        <w:tc>
          <w:tcPr>
            <w:tcW w:type="dxa" w:w="1506"/>
          </w:tcPr>
          <w:p>
            <w:r>
              <w:t>26.11.2020</w:t>
            </w:r>
          </w:p>
        </w:tc>
        <w:tc>
          <w:tcPr>
            <w:tcW w:type="dxa" w:w="1506"/>
          </w:tcPr>
          <w:p>
            <w:r>
              <w:t>не установлена</w:t>
            </w:r>
          </w:p>
        </w:tc>
        <w:tc>
          <w:tcPr>
            <w:tcW w:type="dxa" w:w="1506"/>
          </w:tcPr>
          <w:p>
            <w:r>
              <w:t>действует</w:t>
            </w:r>
          </w:p>
        </w:tc>
        <w:tc>
          <w:tcPr>
            <w:tcW w:type="dxa" w:w="1506"/>
          </w:tcPr>
          <w:p>
            <w:r>
              <w:t>Ростехнадзор</w:t>
            </w:r>
          </w:p>
        </w:tc>
        <w:tc>
          <w:tcPr>
            <w:tcW w:type="dxa" w:w="1506"/>
          </w:tcPr>
          <w:p>
            <w:r>
              <w:t>ФНП по подъемным сооружениям на ОПО</w:t>
            </w:r>
          </w:p>
        </w:tc>
        <w:tc>
          <w:tcPr>
            <w:tcW w:type="dxa" w:w="1506"/>
          </w:tcPr>
          <w:p>
            <w:r>
              <w:t>п. 19, п. 98-99, п. 155-163: персонал, сигналы, ППР/ТК, строповка, ПРР, складирование</w:t>
            </w:r>
          </w:p>
        </w:tc>
      </w:tr>
      <w:tr>
        <w:tc>
          <w:tcPr>
            <w:tcW w:type="dxa" w:w="1506"/>
          </w:tcPr>
          <w:p>
            <w:r>
              <w:t>Приказ Ростехнадзора № 16</w:t>
            </w:r>
          </w:p>
        </w:tc>
        <w:tc>
          <w:tcPr>
            <w:tcW w:type="dxa" w:w="1506"/>
          </w:tcPr>
          <w:p>
            <w:r>
              <w:t>22.01.2024</w:t>
            </w:r>
          </w:p>
        </w:tc>
        <w:tc>
          <w:tcPr>
            <w:tcW w:type="dxa" w:w="1506"/>
          </w:tcPr>
          <w:p>
            <w:r>
              <w:t>не установлена</w:t>
            </w:r>
          </w:p>
        </w:tc>
        <w:tc>
          <w:tcPr>
            <w:tcW w:type="dxa" w:w="1506"/>
          </w:tcPr>
          <w:p>
            <w:r>
              <w:t>действует</w:t>
            </w:r>
          </w:p>
        </w:tc>
        <w:tc>
          <w:tcPr>
            <w:tcW w:type="dxa" w:w="1506"/>
          </w:tcPr>
          <w:p>
            <w:r>
              <w:t>Ростехнадзор</w:t>
            </w:r>
          </w:p>
        </w:tc>
        <w:tc>
          <w:tcPr>
            <w:tcW w:type="dxa" w:w="1506"/>
          </w:tcPr>
          <w:p>
            <w:r>
              <w:t>Изменения к Приказу № 461</w:t>
            </w:r>
          </w:p>
        </w:tc>
        <w:tc>
          <w:tcPr>
            <w:tcW w:type="dxa" w:w="1506"/>
          </w:tcPr>
          <w:p>
            <w:r>
              <w:t>Применяется вместе с актуальной редакцией № 461</w:t>
            </w:r>
          </w:p>
        </w:tc>
      </w:tr>
      <w:tr>
        <w:tc>
          <w:tcPr>
            <w:tcW w:type="dxa" w:w="1506"/>
          </w:tcPr>
          <w:p>
            <w:r>
              <w:t>Приказ Минздрава России № 29н</w:t>
            </w:r>
          </w:p>
        </w:tc>
        <w:tc>
          <w:tcPr>
            <w:tcW w:type="dxa" w:w="1506"/>
          </w:tcPr>
          <w:p>
            <w:r>
              <w:t>28.01.2021</w:t>
            </w:r>
          </w:p>
        </w:tc>
        <w:tc>
          <w:tcPr>
            <w:tcW w:type="dxa" w:w="1506"/>
          </w:tcPr>
          <w:p>
            <w:r>
              <w:t>не установлена</w:t>
            </w:r>
          </w:p>
        </w:tc>
        <w:tc>
          <w:tcPr>
            <w:tcW w:type="dxa" w:w="1506"/>
          </w:tcPr>
          <w:p>
            <w:r>
              <w:t>действует</w:t>
            </w:r>
          </w:p>
        </w:tc>
        <w:tc>
          <w:tcPr>
            <w:tcW w:type="dxa" w:w="1506"/>
          </w:tcPr>
          <w:p>
            <w:r>
              <w:t>Минздрав России</w:t>
            </w:r>
          </w:p>
        </w:tc>
        <w:tc>
          <w:tcPr>
            <w:tcW w:type="dxa" w:w="1506"/>
          </w:tcPr>
          <w:p>
            <w:r>
              <w:t>Порядок обязательных медосмотров</w:t>
            </w:r>
          </w:p>
        </w:tc>
        <w:tc>
          <w:tcPr>
            <w:tcW w:type="dxa" w:w="1506"/>
          </w:tcPr>
          <w:p>
            <w:r>
              <w:t>Определяет, как проводить предварительные и периодические медосмотры</w:t>
            </w:r>
          </w:p>
        </w:tc>
      </w:tr>
      <w:tr>
        <w:tc>
          <w:tcPr>
            <w:tcW w:type="dxa" w:w="1506"/>
          </w:tcPr>
          <w:p>
            <w:r>
              <w:t>Приказ Минтруда России, Минздрава России № 988н/1420н</w:t>
            </w:r>
          </w:p>
        </w:tc>
        <w:tc>
          <w:tcPr>
            <w:tcW w:type="dxa" w:w="1506"/>
          </w:tcPr>
          <w:p>
            <w:r>
              <w:t>31.12.2020</w:t>
            </w:r>
          </w:p>
        </w:tc>
        <w:tc>
          <w:tcPr>
            <w:tcW w:type="dxa" w:w="1506"/>
          </w:tcPr>
          <w:p>
            <w:r>
              <w:t>не установлена</w:t>
            </w:r>
          </w:p>
        </w:tc>
        <w:tc>
          <w:tcPr>
            <w:tcW w:type="dxa" w:w="1506"/>
          </w:tcPr>
          <w:p>
            <w:r>
              <w:t>действует</w:t>
            </w:r>
          </w:p>
        </w:tc>
        <w:tc>
          <w:tcPr>
            <w:tcW w:type="dxa" w:w="1506"/>
          </w:tcPr>
          <w:p>
            <w:r>
              <w:t>Минтруд России, Минздрав России</w:t>
            </w:r>
          </w:p>
        </w:tc>
        <w:tc>
          <w:tcPr>
            <w:tcW w:type="dxa" w:w="1506"/>
          </w:tcPr>
          <w:p>
            <w:r>
              <w:t>Перечни факторов и работ для обязательных медосмотров</w:t>
            </w:r>
          </w:p>
        </w:tc>
        <w:tc>
          <w:tcPr>
            <w:tcW w:type="dxa" w:w="1506"/>
          </w:tcPr>
          <w:p>
            <w:r>
              <w:t>Определяет, когда стропальщика нужно направлять на медосмотр</w:t>
            </w:r>
          </w:p>
        </w:tc>
      </w:tr>
    </w:tbl>
    <w:p>
      <w:r>
        <w:rPr>
          <w:b/>
        </w:rPr>
        <w:t>Часто цитируют, но на 11.06.2026 не действуют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t>Название и номер</w:t>
            </w:r>
          </w:p>
        </w:tc>
        <w:tc>
          <w:tcPr>
            <w:tcW w:type="dxa" w:w="1506"/>
          </w:tcPr>
          <w:p>
            <w:r>
              <w:t>Дата принятия</w:t>
            </w:r>
          </w:p>
        </w:tc>
        <w:tc>
          <w:tcPr>
            <w:tcW w:type="dxa" w:w="1506"/>
          </w:tcPr>
          <w:p>
            <w:r>
              <w:t>Дата окончания</w:t>
            </w:r>
          </w:p>
        </w:tc>
        <w:tc>
          <w:tcPr>
            <w:tcW w:type="dxa" w:w="1506"/>
          </w:tcPr>
          <w:p>
            <w:r>
              <w:t>Статус</w:t>
            </w:r>
          </w:p>
        </w:tc>
        <w:tc>
          <w:tcPr>
            <w:tcW w:type="dxa" w:w="1506"/>
          </w:tcPr>
          <w:p>
            <w:r>
              <w:t>Кто издал</w:t>
            </w:r>
          </w:p>
        </w:tc>
        <w:tc>
          <w:tcPr>
            <w:tcW w:type="dxa" w:w="1506"/>
          </w:tcPr>
          <w:p>
            <w:r>
              <w:t>О чем документ</w:t>
            </w:r>
          </w:p>
        </w:tc>
        <w:tc>
          <w:tcPr>
            <w:tcW w:type="dxa" w:w="1506"/>
          </w:tcPr>
          <w:p>
            <w:r>
              <w:t>Комментарий</w:t>
            </w:r>
          </w:p>
        </w:tc>
      </w:tr>
      <w:tr>
        <w:tc>
          <w:tcPr>
            <w:tcW w:type="dxa" w:w="1506"/>
          </w:tcPr>
          <w:p>
            <w:r>
              <w:t>Приказ Минтруда России № 753н</w:t>
            </w:r>
          </w:p>
        </w:tc>
        <w:tc>
          <w:tcPr>
            <w:tcW w:type="dxa" w:w="1506"/>
          </w:tcPr>
          <w:p>
            <w:r>
              <w:t>28.10.2020</w:t>
            </w:r>
          </w:p>
        </w:tc>
        <w:tc>
          <w:tcPr>
            <w:tcW w:type="dxa" w:w="1506"/>
          </w:tcPr>
          <w:p>
            <w:r>
              <w:t>31.12.2025</w:t>
            </w:r>
          </w:p>
        </w:tc>
        <w:tc>
          <w:tcPr>
            <w:tcW w:type="dxa" w:w="1506"/>
          </w:tcPr>
          <w:p>
            <w:r>
              <w:t>не действует</w:t>
            </w:r>
          </w:p>
        </w:tc>
        <w:tc>
          <w:tcPr>
            <w:tcW w:type="dxa" w:w="1506"/>
          </w:tcPr>
          <w:p>
            <w:r>
              <w:t>Минтруд России</w:t>
            </w:r>
          </w:p>
        </w:tc>
        <w:tc>
          <w:tcPr>
            <w:tcW w:type="dxa" w:w="1506"/>
          </w:tcPr>
          <w:p>
            <w:r>
              <w:t>ПРР и размещение грузов</w:t>
            </w:r>
          </w:p>
        </w:tc>
        <w:tc>
          <w:tcPr>
            <w:tcW w:type="dxa" w:w="1506"/>
          </w:tcPr>
          <w:p>
            <w:r>
              <w:t>Раньше был важен, но как действующий НПА уже не применяется</w:t>
            </w:r>
          </w:p>
        </w:tc>
      </w:tr>
      <w:tr>
        <w:tc>
          <w:tcPr>
            <w:tcW w:type="dxa" w:w="1506"/>
          </w:tcPr>
          <w:p>
            <w:r>
              <w:t>Приказ Минтруда России № 782н</w:t>
            </w:r>
          </w:p>
        </w:tc>
        <w:tc>
          <w:tcPr>
            <w:tcW w:type="dxa" w:w="1506"/>
          </w:tcPr>
          <w:p>
            <w:r>
              <w:t>16.11.2020</w:t>
            </w:r>
          </w:p>
        </w:tc>
        <w:tc>
          <w:tcPr>
            <w:tcW w:type="dxa" w:w="1506"/>
          </w:tcPr>
          <w:p>
            <w:r>
              <w:t>31.12.2025</w:t>
            </w:r>
          </w:p>
        </w:tc>
        <w:tc>
          <w:tcPr>
            <w:tcW w:type="dxa" w:w="1506"/>
          </w:tcPr>
          <w:p>
            <w:r>
              <w:t>не действует</w:t>
            </w:r>
          </w:p>
        </w:tc>
        <w:tc>
          <w:tcPr>
            <w:tcW w:type="dxa" w:w="1506"/>
          </w:tcPr>
          <w:p>
            <w:r>
              <w:t>Минтруд России</w:t>
            </w:r>
          </w:p>
        </w:tc>
        <w:tc>
          <w:tcPr>
            <w:tcW w:type="dxa" w:w="1506"/>
          </w:tcPr>
          <w:p>
            <w:r>
              <w:t>Работа на высоте</w:t>
            </w:r>
          </w:p>
        </w:tc>
        <w:tc>
          <w:tcPr>
            <w:tcW w:type="dxa" w:w="1506"/>
          </w:tcPr>
          <w:p>
            <w:r>
              <w:t>Старый смежный акт, на дату проверки уже недействующий</w:t>
            </w:r>
          </w:p>
        </w:tc>
      </w:tr>
      <w:tr>
        <w:tc>
          <w:tcPr>
            <w:tcW w:type="dxa" w:w="1506"/>
          </w:tcPr>
          <w:p>
            <w:r>
              <w:t>Приказ Минтруда России № 903н</w:t>
            </w:r>
          </w:p>
        </w:tc>
        <w:tc>
          <w:tcPr>
            <w:tcW w:type="dxa" w:w="1506"/>
          </w:tcPr>
          <w:p>
            <w:r>
              <w:t>15.12.2020</w:t>
            </w:r>
          </w:p>
        </w:tc>
        <w:tc>
          <w:tcPr>
            <w:tcW w:type="dxa" w:w="1506"/>
          </w:tcPr>
          <w:p>
            <w:r>
              <w:t>31.12.2025</w:t>
            </w:r>
          </w:p>
        </w:tc>
        <w:tc>
          <w:tcPr>
            <w:tcW w:type="dxa" w:w="1506"/>
          </w:tcPr>
          <w:p>
            <w:r>
              <w:t>не действует</w:t>
            </w:r>
          </w:p>
        </w:tc>
        <w:tc>
          <w:tcPr>
            <w:tcW w:type="dxa" w:w="1506"/>
          </w:tcPr>
          <w:p>
            <w:r>
              <w:t>Минтруд России</w:t>
            </w:r>
          </w:p>
        </w:tc>
        <w:tc>
          <w:tcPr>
            <w:tcW w:type="dxa" w:w="1506"/>
          </w:tcPr>
          <w:p>
            <w:r>
              <w:t>Эксплуатация электроустановок</w:t>
            </w:r>
          </w:p>
        </w:tc>
        <w:tc>
          <w:tcPr>
            <w:tcW w:type="dxa" w:w="1506"/>
          </w:tcPr>
          <w:p>
            <w:r>
              <w:t>Старый смежный акт, на дату проверки уже недействующий</w:t>
            </w:r>
          </w:p>
        </w:tc>
      </w:tr>
    </w:tbl>
    <w:p>
      <w:r>
        <w:rPr>
          <w:b/>
        </w:rPr>
        <w:t>Короткий вывод</w:t>
      </w:r>
    </w:p>
    <w:p>
      <w:r>
        <w:t>Для краткого нормативного блока в проекте по стропальщику достаточно опираться на: ТК РФ, 426-ФЗ, ПП РФ № 2464, 116-ФЗ, Приказ Ростехнадзора № 461, Приказ Ростехнадзора № 16, Приказ Минздрава № 29н, Приказ № 988н/1420н.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