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F58" w:rsidRPr="00F06FB0" w:rsidRDefault="00C23C21">
      <w:r w:rsidRPr="00F06FB0">
        <w:rPr>
          <w:b/>
        </w:rPr>
        <w:t>Atlikimas:</w:t>
      </w:r>
      <w:r w:rsidR="00517B8B" w:rsidRPr="00F06FB0">
        <w:t xml:space="preserve"> </w:t>
      </w:r>
      <w:r w:rsidR="00AB6009">
        <w:t>4</w:t>
      </w:r>
      <w:r w:rsidR="00517B8B" w:rsidRPr="00F06FB0">
        <w:t>5 min.</w:t>
      </w:r>
    </w:p>
    <w:p w:rsidR="00C23C21" w:rsidRPr="00F06FB0" w:rsidRDefault="00C23C21">
      <w:r w:rsidRPr="00F06FB0">
        <w:rPr>
          <w:b/>
        </w:rPr>
        <w:t>Laboratoriniai darbai, kuriuos reiktų atlikti prieš atliekant šį darbą:</w:t>
      </w:r>
      <w:r w:rsidR="008A632C" w:rsidRPr="00F06FB0">
        <w:t xml:space="preserve"> </w:t>
      </w:r>
      <w:r w:rsidR="00F53B4E">
        <w:t xml:space="preserve">BIOINF1, </w:t>
      </w:r>
      <w:r w:rsidR="005237B6" w:rsidRPr="00F06FB0">
        <w:t>BIOINF</w:t>
      </w:r>
      <w:r w:rsidR="00B63583" w:rsidRPr="00F06FB0">
        <w:t>3</w:t>
      </w:r>
      <w:r w:rsidR="008A632C" w:rsidRPr="00F06FB0">
        <w:t>.</w:t>
      </w:r>
    </w:p>
    <w:p w:rsidR="00C23C21" w:rsidRPr="00F06FB0" w:rsidRDefault="00B63583" w:rsidP="00C23C21">
      <w:pPr>
        <w:pStyle w:val="Heading1"/>
        <w:jc w:val="center"/>
      </w:pPr>
      <w:r w:rsidRPr="00F06FB0">
        <w:t xml:space="preserve">Infekcijos protrūkio </w:t>
      </w:r>
      <w:r w:rsidR="009F3AC7">
        <w:t>analizė</w:t>
      </w:r>
      <w:r w:rsidRPr="00F06FB0">
        <w:t xml:space="preserve"> remiantis</w:t>
      </w:r>
      <w:r w:rsidR="009F3AC7">
        <w:t xml:space="preserve"> bakterijų</w:t>
      </w:r>
      <w:r w:rsidRPr="00F06FB0">
        <w:t xml:space="preserve"> DNR</w:t>
      </w:r>
      <w:r w:rsidR="009F3AC7">
        <w:t xml:space="preserve"> sekomis</w:t>
      </w:r>
    </w:p>
    <w:p w:rsidR="00C23C21" w:rsidRPr="00F06FB0" w:rsidRDefault="00C23C21">
      <w:pPr>
        <w:rPr>
          <w:b/>
        </w:rPr>
      </w:pPr>
      <w:r w:rsidRPr="00F06FB0">
        <w:rPr>
          <w:b/>
        </w:rPr>
        <w:t>Teorinis įvadas</w:t>
      </w:r>
    </w:p>
    <w:p w:rsidR="00803D63" w:rsidRPr="00F06FB0" w:rsidRDefault="00B63583">
      <w:r w:rsidRPr="00F06FB0">
        <w:t xml:space="preserve">Didėjant antibiotikų vartojimui, ima plisti nauja grėsmė – antibiotikams atsparios bakterijos. Šie mikroorganizmai ypač lengvai plinta ligoninėse, kur gausu pacientų su pažeistu imunitetu. Infekcijos, plintančios gydymo įstaigose, net turi savo pavadinimą – tai hospitalinės infekcijos. Vienas dažniausių hospitalinių infekcijų sukėlėjų yra antibiotikui meticilinui atsparūs </w:t>
      </w:r>
      <w:r w:rsidRPr="00F06FB0">
        <w:rPr>
          <w:i/>
        </w:rPr>
        <w:t xml:space="preserve">Staphylococcus aureus </w:t>
      </w:r>
      <w:r w:rsidRPr="00F06FB0">
        <w:t xml:space="preserve">kamienai, sutrumpintai vadinami MRSA (angl. </w:t>
      </w:r>
      <w:r w:rsidRPr="00F06FB0">
        <w:rPr>
          <w:b/>
          <w:i/>
          <w:u w:val="single"/>
        </w:rPr>
        <w:t>m</w:t>
      </w:r>
      <w:r w:rsidRPr="00F06FB0">
        <w:rPr>
          <w:i/>
        </w:rPr>
        <w:t>ethicillin-</w:t>
      </w:r>
      <w:r w:rsidRPr="00F06FB0">
        <w:rPr>
          <w:b/>
          <w:i/>
          <w:u w:val="single"/>
        </w:rPr>
        <w:t>r</w:t>
      </w:r>
      <w:r w:rsidRPr="00F06FB0">
        <w:rPr>
          <w:i/>
        </w:rPr>
        <w:t xml:space="preserve">esistant </w:t>
      </w:r>
      <w:r w:rsidRPr="00F06FB0">
        <w:rPr>
          <w:b/>
          <w:i/>
          <w:u w:val="single"/>
        </w:rPr>
        <w:t>S</w:t>
      </w:r>
      <w:r w:rsidRPr="00F06FB0">
        <w:rPr>
          <w:i/>
        </w:rPr>
        <w:t xml:space="preserve">taphylococcus </w:t>
      </w:r>
      <w:r w:rsidRPr="00F06FB0">
        <w:rPr>
          <w:b/>
          <w:i/>
          <w:u w:val="single"/>
        </w:rPr>
        <w:t>a</w:t>
      </w:r>
      <w:r w:rsidRPr="00F06FB0">
        <w:rPr>
          <w:i/>
        </w:rPr>
        <w:t>ureus</w:t>
      </w:r>
      <w:r w:rsidRPr="00F06FB0">
        <w:t>).</w:t>
      </w:r>
      <w:r w:rsidR="00942846" w:rsidRPr="00F06FB0">
        <w:t xml:space="preserve"> Kadangi tokie mikrobai būna atsparūs daugumai žinomų antibiotikų, pagrindinis būdas su jais kovoti yra sustiprinti saugos ir higienos taisykles: pavyzdžiui, nenaudoti tų pačių įrankių keliems pacientams, išvalyti palatas išvykstant kiekvienam ligoniui ir t.t.</w:t>
      </w:r>
      <w:r w:rsidR="00803D63" w:rsidRPr="00F06FB0">
        <w:t xml:space="preserve"> </w:t>
      </w:r>
      <w:r w:rsidR="00942846" w:rsidRPr="00F06FB0">
        <w:t xml:space="preserve">Įvykus hospitalinės infekcijos protrūkiui, gydymo įstaigos vadovai nori išsiaiškinti, </w:t>
      </w:r>
      <w:r w:rsidR="00117551" w:rsidRPr="00F06FB0">
        <w:t>kodėl taip atsitiko. Tačiau išoriškai visos šios bakterijos vienodos – jos skiriasi tik keliomis DNR mutacijomis,</w:t>
      </w:r>
      <w:r w:rsidR="00803D63" w:rsidRPr="00F06FB0">
        <w:t xml:space="preserve"> taigi tokiam  detektyvui išaiškinti reikalinga biotechnologo pagalba. Tai</w:t>
      </w:r>
      <w:r w:rsidR="00117551" w:rsidRPr="00F06FB0">
        <w:t xml:space="preserve"> ir </w:t>
      </w:r>
      <w:r w:rsidR="00803D63" w:rsidRPr="00F06FB0">
        <w:t>bus jūsų užduotis šiame darbe.</w:t>
      </w:r>
    </w:p>
    <w:p w:rsidR="00B63583" w:rsidRPr="00F06FB0" w:rsidRDefault="00117551">
      <w:r w:rsidRPr="00F06FB0">
        <w:t>Vienoje Tailando ligoninėje</w:t>
      </w:r>
      <w:r w:rsidR="00803D63" w:rsidRPr="00F06FB0">
        <w:t>, infekcijos protrūkio metu,</w:t>
      </w:r>
      <w:r w:rsidRPr="00F06FB0">
        <w:t xml:space="preserve"> 3 mėnesius buvo ieškoma MRSA bakterijų ant įvairių paviršių, prietaisų, ligonių žaizdose, ant gydytojų odos ir t.t.</w:t>
      </w:r>
      <w:r w:rsidR="00803D63" w:rsidRPr="00F06FB0">
        <w:t xml:space="preserve"> Kiekvienas mėginys, kuriame buvo aptikta bakterijų, vadinamas izoliatu. Iš viso surinkta </w:t>
      </w:r>
      <w:r w:rsidR="00861679">
        <w:t>10</w:t>
      </w:r>
      <w:r w:rsidR="00803D63" w:rsidRPr="00F06FB0">
        <w:t xml:space="preserve"> izoliatų, </w:t>
      </w:r>
      <w:r w:rsidR="006D517D" w:rsidRPr="00F06FB0">
        <w:t>iš kiekvieno išskirta</w:t>
      </w:r>
      <w:r w:rsidR="00803D63" w:rsidRPr="00F06FB0">
        <w:t xml:space="preserve"> DNR ir nustatyta vieno labai lengvai mutuojančio geno seka. Šios sekos jums pateiktos faile bakteriju_genai.fasta. Pirmiausia turėsite </w:t>
      </w:r>
      <w:r w:rsidR="006D517D" w:rsidRPr="00F06FB0">
        <w:t xml:space="preserve">sekas </w:t>
      </w:r>
      <w:r w:rsidR="00803D63" w:rsidRPr="00F06FB0">
        <w:t>palyginti, o tada sudaryti filogenetinį medį ir pagal jį išaiškinti, kas galėjo sukelti šios infekcijos protrūkį.</w:t>
      </w:r>
    </w:p>
    <w:p w:rsidR="00C23C21" w:rsidRPr="00F06FB0" w:rsidRDefault="00C23C21">
      <w:r w:rsidRPr="00F06FB0">
        <w:rPr>
          <w:b/>
        </w:rPr>
        <w:t>Tikslas</w:t>
      </w:r>
      <w:r w:rsidRPr="00F06FB0">
        <w:t xml:space="preserve">: </w:t>
      </w:r>
      <w:r w:rsidR="006D517D" w:rsidRPr="00F06FB0">
        <w:t>sudaryti filogenetinį medį iš ligoninėje aptiktų MRSA bakterijų DNR sekų</w:t>
      </w:r>
      <w:r w:rsidR="005D2503" w:rsidRPr="00F06FB0">
        <w:t>.</w:t>
      </w:r>
    </w:p>
    <w:p w:rsidR="0091206D" w:rsidRPr="00F06FB0" w:rsidRDefault="00174AB4" w:rsidP="00174AB4">
      <w:r w:rsidRPr="00F06FB0">
        <w:rPr>
          <w:b/>
        </w:rPr>
        <w:t>Reikalingi failai</w:t>
      </w:r>
      <w:r w:rsidRPr="00F06FB0">
        <w:t>:</w:t>
      </w:r>
      <w:r w:rsidR="0091206D" w:rsidRPr="00F06FB0">
        <w:t xml:space="preserve"> </w:t>
      </w:r>
      <w:r w:rsidR="00090310" w:rsidRPr="00F06FB0">
        <w:t>bakteriju_genai</w:t>
      </w:r>
      <w:r w:rsidR="00922724" w:rsidRPr="00F06FB0">
        <w:t>.fasta</w:t>
      </w:r>
    </w:p>
    <w:p w:rsidR="00174AB4" w:rsidRPr="00F06FB0" w:rsidRDefault="00174AB4">
      <w:pPr>
        <w:rPr>
          <w:b/>
        </w:rPr>
      </w:pPr>
      <w:r w:rsidRPr="00F06FB0">
        <w:rPr>
          <w:b/>
        </w:rPr>
        <w:t>Eiga</w:t>
      </w:r>
    </w:p>
    <w:p w:rsidR="00090310" w:rsidRPr="00F06FB0" w:rsidRDefault="00090310" w:rsidP="00765626">
      <w:r w:rsidRPr="00F06FB0">
        <w:t>Pirmiausia palyginkime pačias genų sekas</w:t>
      </w:r>
      <w:r w:rsidR="00904C61">
        <w:t xml:space="preserve"> programa T-COFFEE</w:t>
      </w:r>
      <w:r w:rsidRPr="00F06FB0">
        <w:t>.</w:t>
      </w:r>
      <w:r w:rsidR="00861679">
        <w:t xml:space="preserve"> Jos pateiktos faile bakteriju_genai.fasta. </w:t>
      </w:r>
      <w:r w:rsidR="00904C61">
        <w:t>P</w:t>
      </w:r>
      <w:r w:rsidR="00861679">
        <w:t>avadinimai rodo izoliato numerį ir šaltinį: tai du gydytojai (A ir B) arba pacientai iš trijų skyrių (onkologijos, chirurgijos ir pediatrijos).</w:t>
      </w:r>
    </w:p>
    <w:p w:rsidR="00090310" w:rsidRPr="00F06FB0" w:rsidRDefault="00F06FB0" w:rsidP="00F06FB0">
      <w:pPr>
        <w:pStyle w:val="ListParagraph"/>
        <w:numPr>
          <w:ilvl w:val="0"/>
          <w:numId w:val="5"/>
        </w:numPr>
      </w:pPr>
      <w:r w:rsidRPr="00F06FB0">
        <w:t xml:space="preserve">Naršyklėje atsidarykite svetainę </w:t>
      </w:r>
      <w:hyperlink r:id="rId6" w:history="1">
        <w:r w:rsidRPr="00F06FB0">
          <w:rPr>
            <w:rStyle w:val="Hyperlink"/>
          </w:rPr>
          <w:t>http://tcoffee.crg.cat</w:t>
        </w:r>
      </w:hyperlink>
      <w:r w:rsidRPr="00F06FB0">
        <w:t>. Kadangi lyginsime genų sekas, užveskite pelę ant „DNA” laukelio ir pasirinkite „Combine popular aligners (M-Coffee)”.</w:t>
      </w:r>
    </w:p>
    <w:p w:rsidR="00F06FB0" w:rsidRDefault="00F06FB0" w:rsidP="00F06FB0">
      <w:pPr>
        <w:pStyle w:val="ListParagraph"/>
        <w:numPr>
          <w:ilvl w:val="0"/>
          <w:numId w:val="5"/>
        </w:numPr>
      </w:pPr>
      <w:r w:rsidRPr="00F06FB0">
        <w:t xml:space="preserve">Nukopijuokite visas sekas </w:t>
      </w:r>
      <w:r>
        <w:t xml:space="preserve">iš bakteriju_genai.fasta </w:t>
      </w:r>
      <w:r w:rsidRPr="00F06FB0">
        <w:t xml:space="preserve">į laukelį </w:t>
      </w:r>
      <w:r>
        <w:t>„Sequences to aling“ arba įkelkite sekų failą su „Click here to upload a file“. Paleiskite sulyginimą mygtuku „Submit“.</w:t>
      </w:r>
    </w:p>
    <w:p w:rsidR="00F06FB0" w:rsidRDefault="00F06FB0" w:rsidP="00F06FB0">
      <w:r>
        <w:t>K1. Kaip ši sulyginimo programa žymi sutampančias sekų dalis (t.y., jei abi sekos turi tuos pačius nukleotidus ar aminorūgštis)? Galite remtis savo sulyginimo rezultatais arba atsiversti BIOINF3 darbo aprašą.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F06FB0" w:rsidTr="00F06FB0">
        <w:tc>
          <w:tcPr>
            <w:tcW w:w="10051" w:type="dxa"/>
          </w:tcPr>
          <w:p w:rsidR="00F06FB0" w:rsidRPr="00F06FB0" w:rsidRDefault="00F06FB0" w:rsidP="00F06FB0">
            <w:pPr>
              <w:rPr>
                <w:color w:val="FF0000"/>
              </w:rPr>
            </w:pPr>
          </w:p>
          <w:p w:rsidR="00F06FB0" w:rsidRDefault="00F06FB0" w:rsidP="00F06FB0"/>
          <w:p w:rsidR="00F06FB0" w:rsidRDefault="00F06FB0" w:rsidP="00F06FB0"/>
        </w:tc>
      </w:tr>
    </w:tbl>
    <w:p w:rsidR="00F06FB0" w:rsidRDefault="00F06FB0" w:rsidP="00F06FB0"/>
    <w:p w:rsidR="00F06FB0" w:rsidRDefault="00F06FB0" w:rsidP="00F06FB0">
      <w:r>
        <w:lastRenderedPageBreak/>
        <w:t>K2. Apžiūrėkite sulyginimo rezultatą. Kiek nesutampančių vietų (t.y., vietų, kur įvyko mutacijos) išvis randate šiame gene?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F06FB0" w:rsidTr="00F06FB0">
        <w:tc>
          <w:tcPr>
            <w:tcW w:w="10051" w:type="dxa"/>
          </w:tcPr>
          <w:p w:rsidR="00F06FB0" w:rsidRDefault="00F06FB0" w:rsidP="00F06FB0">
            <w:pPr>
              <w:rPr>
                <w:color w:val="FF0000"/>
              </w:rPr>
            </w:pPr>
          </w:p>
          <w:p w:rsidR="00C57F22" w:rsidRDefault="00C57F22" w:rsidP="00F06FB0"/>
        </w:tc>
      </w:tr>
    </w:tbl>
    <w:p w:rsidR="00F06FB0" w:rsidRDefault="00F06FB0" w:rsidP="00F06FB0"/>
    <w:p w:rsidR="00491BB0" w:rsidRDefault="00491BB0" w:rsidP="00F06FB0">
      <w:r>
        <w:t>K3. Kaip manote, ar sulyginus baltymus bus matoma tiek pat, daugiau, ar mažiau skirtumų? Kodėl?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491BB0" w:rsidTr="00491BB0">
        <w:tc>
          <w:tcPr>
            <w:tcW w:w="10051" w:type="dxa"/>
          </w:tcPr>
          <w:p w:rsidR="00491BB0" w:rsidRDefault="00491BB0" w:rsidP="00F06FB0">
            <w:pPr>
              <w:rPr>
                <w:color w:val="FF0000"/>
              </w:rPr>
            </w:pPr>
          </w:p>
          <w:p w:rsidR="00C57F22" w:rsidRDefault="00C57F22" w:rsidP="00F06FB0"/>
          <w:p w:rsidR="00491BB0" w:rsidRDefault="00491BB0" w:rsidP="00F06FB0"/>
          <w:p w:rsidR="00491BB0" w:rsidRDefault="00491BB0" w:rsidP="00F06FB0"/>
        </w:tc>
      </w:tr>
    </w:tbl>
    <w:p w:rsidR="00491BB0" w:rsidRPr="00F06FB0" w:rsidRDefault="00491BB0" w:rsidP="00F06FB0"/>
    <w:p w:rsidR="00090310" w:rsidRDefault="00090310" w:rsidP="00765626">
      <w:r w:rsidRPr="00F06FB0">
        <w:t>Dabar pažiūrėkime, kuo skiriasi šiuose genuose koduojami baltymai – tam kompiuteriu atliksime transliaciją.</w:t>
      </w:r>
    </w:p>
    <w:p w:rsidR="002E093B" w:rsidRDefault="002E093B" w:rsidP="002E093B">
      <w:pPr>
        <w:pStyle w:val="ListParagraph"/>
        <w:numPr>
          <w:ilvl w:val="0"/>
          <w:numId w:val="5"/>
        </w:numPr>
      </w:pPr>
      <w:r>
        <w:t xml:space="preserve">Naršyklėje atverkite „Sequence Manipulation Suite“ adreseu </w:t>
      </w:r>
      <w:hyperlink r:id="rId7" w:history="1">
        <w:r w:rsidRPr="00E60624">
          <w:rPr>
            <w:rStyle w:val="Hyperlink"/>
          </w:rPr>
          <w:t>http://www.bioinformatics.org/sms2/</w:t>
        </w:r>
      </w:hyperlink>
      <w:r>
        <w:t>.</w:t>
      </w:r>
    </w:p>
    <w:p w:rsidR="00D944AA" w:rsidRDefault="002E093B" w:rsidP="002E093B">
      <w:pPr>
        <w:pStyle w:val="ListParagraph"/>
        <w:numPr>
          <w:ilvl w:val="0"/>
          <w:numId w:val="5"/>
        </w:numPr>
      </w:pPr>
      <w:r>
        <w:t>Čia sukaupta daug smulkių bioinformatikos įrankių. Mums reikalingas „Translate“ – virtuali transliacija – paprasčiausiai parenka aminorūgštis pagal genetinį kodą. Įrankių sąraše kairėje raskite ir paspauskite tokią nuorodą.</w:t>
      </w:r>
    </w:p>
    <w:p w:rsidR="002E093B" w:rsidRDefault="002E093B" w:rsidP="002E093B">
      <w:r>
        <w:rPr>
          <w:noProof/>
          <w:lang w:val="en-GB" w:eastAsia="en-GB"/>
        </w:rPr>
        <w:drawing>
          <wp:inline distT="0" distB="0" distL="0" distR="0">
            <wp:extent cx="3677902" cy="234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90" cy="234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3B" w:rsidRPr="00F06FB0" w:rsidRDefault="002E093B" w:rsidP="002E093B">
      <w:r>
        <w:t>Pav. 1. „Translate“ įrankis iš „Sequence Manipulation Suite“</w:t>
      </w:r>
      <w:r w:rsidR="00EE1CE8">
        <w:t xml:space="preserve"> rinkinio</w:t>
      </w:r>
      <w:r>
        <w:t>.</w:t>
      </w:r>
    </w:p>
    <w:p w:rsidR="002E093B" w:rsidRDefault="00F71CF9" w:rsidP="002E093B">
      <w:pPr>
        <w:pStyle w:val="ListParagraph"/>
        <w:numPr>
          <w:ilvl w:val="0"/>
          <w:numId w:val="5"/>
        </w:numPr>
      </w:pPr>
      <w:r>
        <w:t>Laukelio</w:t>
      </w:r>
      <w:r w:rsidR="002E093B">
        <w:t xml:space="preserve"> „A“</w:t>
      </w:r>
      <w:r>
        <w:t xml:space="preserve"> turinį ištrinkite, atvėrę failą</w:t>
      </w:r>
      <w:r w:rsidR="002E093B">
        <w:t xml:space="preserve"> bakteriju_genai.fasta</w:t>
      </w:r>
      <w:r>
        <w:t xml:space="preserve"> nukopijuokite visas genų sekas ir įterpkite į laukelį „A“</w:t>
      </w:r>
      <w:r w:rsidR="002E093B">
        <w:t>.</w:t>
      </w:r>
    </w:p>
    <w:p w:rsidR="00F71CF9" w:rsidRDefault="00F71CF9" w:rsidP="002E093B">
      <w:pPr>
        <w:pStyle w:val="ListParagraph"/>
        <w:numPr>
          <w:ilvl w:val="0"/>
          <w:numId w:val="5"/>
        </w:numPr>
      </w:pPr>
      <w:r>
        <w:t>Mygtuku „Submit“ paleiskite įrankį, ir iššoks langas su naujomis sekomis. Tai – baltymai, užkoduoti kiekviename iš pateiktų genų.</w:t>
      </w:r>
    </w:p>
    <w:p w:rsidR="00ED691B" w:rsidRPr="00ED691B" w:rsidRDefault="00ED691B" w:rsidP="00ED691B">
      <w:pPr>
        <w:pStyle w:val="kodas"/>
      </w:pPr>
      <w:r w:rsidRPr="00ED691B">
        <w:t>&gt;rf 1 izoliatas06_Chirurgijos</w:t>
      </w:r>
    </w:p>
    <w:p w:rsidR="00ED691B" w:rsidRPr="00ED691B" w:rsidRDefault="00ED691B" w:rsidP="00ED691B">
      <w:pPr>
        <w:pStyle w:val="kodas"/>
      </w:pPr>
      <w:r w:rsidRPr="00ED691B">
        <w:t>MPYLYPVIAIITEIIGTSFLKTAEGFTKLWPTLGTLISFGLCFYFLSVTMKYLPLNVSYA</w:t>
      </w:r>
    </w:p>
    <w:p w:rsidR="00ED691B" w:rsidRPr="00ED691B" w:rsidRDefault="00ED691B" w:rsidP="00ED691B">
      <w:pPr>
        <w:pStyle w:val="kodas"/>
      </w:pPr>
      <w:r w:rsidRPr="00ED691B">
        <w:t>TWAGLGLVLTTIVSVVIFKESVNLISIFSIILIIIGVVLLNVFGSSH*</w:t>
      </w:r>
    </w:p>
    <w:p w:rsidR="00ED691B" w:rsidRPr="00ED691B" w:rsidRDefault="00ED691B" w:rsidP="00ED691B">
      <w:r w:rsidRPr="00ED691B">
        <w:t>Pav. 2. Transliacijos produktas – baltymo seka. Kiekviena raidė žymi aminorūgštį (pvz., M – metioninas</w:t>
      </w:r>
      <w:r>
        <w:t>_</w:t>
      </w:r>
      <w:r w:rsidRPr="00ED691B">
        <w:t xml:space="preserve">, o žvaigždutė </w:t>
      </w:r>
      <w:r>
        <w:t>reiškia</w:t>
      </w:r>
      <w:r w:rsidRPr="00ED691B">
        <w:t xml:space="preserve"> STOP kodoną.</w:t>
      </w:r>
    </w:p>
    <w:p w:rsidR="00345910" w:rsidRDefault="00F71CF9" w:rsidP="00F71CF9">
      <w:r w:rsidRPr="00345910">
        <w:lastRenderedPageBreak/>
        <w:t xml:space="preserve">K4. </w:t>
      </w:r>
      <w:r w:rsidR="00345910" w:rsidRPr="00345910">
        <w:t>Viename</w:t>
      </w:r>
      <w:r w:rsidR="00345910">
        <w:t xml:space="preserve"> iš baltymų įvyko reikšminga mutacija – vienas kodonas pavirto STOP kodonu. Kuriame? Kaip šis baltymas skirs nuo likusių?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345910" w:rsidTr="00345910">
        <w:tc>
          <w:tcPr>
            <w:tcW w:w="10051" w:type="dxa"/>
          </w:tcPr>
          <w:p w:rsidR="00345910" w:rsidRDefault="00345910" w:rsidP="00F71CF9">
            <w:pPr>
              <w:rPr>
                <w:color w:val="FF0000"/>
              </w:rPr>
            </w:pPr>
          </w:p>
          <w:p w:rsidR="00C57F22" w:rsidRDefault="00C57F22" w:rsidP="00F71CF9"/>
          <w:p w:rsidR="00345910" w:rsidRDefault="00345910" w:rsidP="00F71CF9"/>
        </w:tc>
      </w:tr>
    </w:tbl>
    <w:p w:rsidR="00345910" w:rsidRDefault="00345910" w:rsidP="00F71CF9"/>
    <w:p w:rsidR="00090310" w:rsidRDefault="00090310" w:rsidP="00765626">
      <w:r w:rsidRPr="00F06FB0">
        <w:t>Grįžkime prie genų sekų ir sudėliokime jas į filogenetinį medį.</w:t>
      </w:r>
    </w:p>
    <w:p w:rsidR="00F41DD1" w:rsidRDefault="00F41DD1" w:rsidP="00F41DD1">
      <w:pPr>
        <w:pStyle w:val="ListParagraph"/>
        <w:numPr>
          <w:ilvl w:val="0"/>
          <w:numId w:val="5"/>
        </w:numPr>
      </w:pPr>
      <w:r>
        <w:t xml:space="preserve">Tam naudosimės Phylogeny.fr programa – ją ir atverkite </w:t>
      </w:r>
      <w:r w:rsidR="00345910">
        <w:t xml:space="preserve">naršyklėje, </w:t>
      </w:r>
      <w:r>
        <w:t xml:space="preserve">adresu </w:t>
      </w:r>
      <w:hyperlink r:id="rId9" w:history="1">
        <w:r w:rsidRPr="00E60624">
          <w:rPr>
            <w:rStyle w:val="Hyperlink"/>
          </w:rPr>
          <w:t>http://phylogeny.lirmm.fr</w:t>
        </w:r>
      </w:hyperlink>
      <w:r>
        <w:t>.</w:t>
      </w:r>
    </w:p>
    <w:p w:rsidR="00F41DD1" w:rsidRDefault="00F41DD1" w:rsidP="00F41DD1">
      <w:pPr>
        <w:pStyle w:val="ListParagraph"/>
        <w:numPr>
          <w:ilvl w:val="0"/>
          <w:numId w:val="5"/>
        </w:numPr>
      </w:pPr>
      <w:r>
        <w:t xml:space="preserve">Paslinkę vaizdą žemyn, ties „Phylogeny analysis“ spustelkite nuorodą „One Click“ – </w:t>
      </w:r>
      <w:r w:rsidR="00866F82">
        <w:t>tai paprasta šios programos versija, kur jums nereiks suvesti jokių nustatymų patiems</w:t>
      </w:r>
      <w:r>
        <w:t>.</w:t>
      </w:r>
    </w:p>
    <w:p w:rsidR="00866F82" w:rsidRDefault="00866F82" w:rsidP="00866F82">
      <w:r>
        <w:rPr>
          <w:noProof/>
          <w:lang w:val="en-GB" w:eastAsia="en-GB"/>
        </w:rPr>
        <w:drawing>
          <wp:inline distT="0" distB="0" distL="0" distR="0">
            <wp:extent cx="4484536" cy="44512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76" cy="445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82" w:rsidRDefault="00866F82" w:rsidP="00866F82">
      <w:r>
        <w:t>Pav. 2. Phylogeny.fr „One Click“ režimo vaizdas.</w:t>
      </w:r>
    </w:p>
    <w:p w:rsidR="00866F82" w:rsidRDefault="00866F82" w:rsidP="00866F82">
      <w:pPr>
        <w:pStyle w:val="ListParagraph"/>
        <w:numPr>
          <w:ilvl w:val="0"/>
          <w:numId w:val="5"/>
        </w:numPr>
      </w:pPr>
      <w:r>
        <w:t>Į A laukelį nukopijuokite visas sekas iš failo bakteriju_genai.fasta (arba pasirinkite failą mygtuku „Choose File“).</w:t>
      </w:r>
    </w:p>
    <w:p w:rsidR="00866F82" w:rsidRDefault="00866F82" w:rsidP="00866F82">
      <w:pPr>
        <w:pStyle w:val="ListParagraph"/>
        <w:numPr>
          <w:ilvl w:val="0"/>
          <w:numId w:val="5"/>
        </w:numPr>
      </w:pPr>
      <w:r>
        <w:t>Nuo laukelio B („Use the Gblocks program...“) nuimkite varnelę. „Gblocks“ programa reikalinga lyginant sekas iš mažai giminingų organizmų, pvz. augalų ir gyvūnų, o mes lyginame tos pačios rūšies bakterijas.</w:t>
      </w:r>
    </w:p>
    <w:p w:rsidR="00866F82" w:rsidRDefault="00866F82" w:rsidP="00866F82">
      <w:pPr>
        <w:pStyle w:val="ListParagraph"/>
        <w:numPr>
          <w:ilvl w:val="0"/>
          <w:numId w:val="5"/>
        </w:numPr>
      </w:pPr>
      <w:r>
        <w:t>Paspaudus mygtuką „Submit“, programa sulygins sekas ir braižys medį. Tai gali užtrukti kelias minu</w:t>
      </w:r>
      <w:r w:rsidR="00B9370B">
        <w:t>tes. Tuo tarpu galite apžiūrėti, kaip atrodo tipiškas filogenetinis medis</w:t>
      </w:r>
      <w:r>
        <w:t xml:space="preserve"> pav. 3.</w:t>
      </w:r>
    </w:p>
    <w:p w:rsidR="00F41DD1" w:rsidRDefault="00F41DD1" w:rsidP="00765626">
      <w:r>
        <w:rPr>
          <w:noProof/>
          <w:lang w:val="en-GB" w:eastAsia="en-GB"/>
        </w:rPr>
        <w:lastRenderedPageBreak/>
        <w:drawing>
          <wp:inline distT="0" distB="0" distL="0" distR="0" wp14:anchorId="6A58C2B9" wp14:editId="488D3D39">
            <wp:extent cx="4287329" cy="165095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123" cy="165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D1" w:rsidRDefault="00F41DD1" w:rsidP="00765626">
      <w:r>
        <w:t xml:space="preserve">Pav. </w:t>
      </w:r>
      <w:r w:rsidR="00866F82">
        <w:t>3. Tipiškas medis, nubraižytas Phylogeny.fr programa. Šakų ilgis rodo sekų skirtumus (raudoni skaičiai rodo, kokia dalis  iš visos sekos skiriasi, pvz. viena šimtoji arba 0,01 reikštų 1 mutaciją 100 nukleotidų). Pavyzdys 6 aiškiai skiriasi – tai galėtų bū</w:t>
      </w:r>
      <w:r w:rsidR="002C3096">
        <w:t>ti bakterija iš kitos ligoninės, nei likę pavyzdžiai. Pavyzdžiai 2 ir 3 nesiskiria visai. Tai reiškia, kad jie kilę iš bendro šaltinio – tai galėtų būti mėginiai iš dviejų pacientų, gulinčių toje pačioje palatoje. Tas pats galioja ir pavyzdžiams 1 ir 5.</w:t>
      </w:r>
    </w:p>
    <w:p w:rsidR="00521219" w:rsidRDefault="00521219" w:rsidP="00521219">
      <w:pPr>
        <w:pStyle w:val="ListParagraph"/>
        <w:numPr>
          <w:ilvl w:val="0"/>
          <w:numId w:val="5"/>
        </w:numPr>
      </w:pPr>
      <w:r>
        <w:t xml:space="preserve">Pasirodžius rezultatams, pamatysite nubraižytą medį, o žemiau jo – vaizdo nustatymus, kaip pav. 4. </w:t>
      </w:r>
      <w:r w:rsidR="00345910">
        <w:t>Čia s</w:t>
      </w:r>
      <w:r>
        <w:t>kyrelyje „Display“, greta „Branch annotation“ pažymėkite „Branch length values“ – tada raudoni skaičiai rodys sekų skirtumus.</w:t>
      </w:r>
    </w:p>
    <w:p w:rsidR="00521219" w:rsidRDefault="00521219" w:rsidP="00521219">
      <w:pPr>
        <w:pStyle w:val="ListParagraph"/>
        <w:numPr>
          <w:ilvl w:val="0"/>
          <w:numId w:val="5"/>
        </w:numPr>
      </w:pPr>
      <w:r>
        <w:t>Jei darbo gale liks laiko, galite išbandyti ir kitus nustatymus. Pavyzdžiui,  paspaudus „Flip subtree“ ir kurią nors medžio išsišakojimo vietą, šakos bus sukeistos vietomis.</w:t>
      </w:r>
    </w:p>
    <w:p w:rsidR="00B9370B" w:rsidRDefault="00521219" w:rsidP="00765626">
      <w:r>
        <w:rPr>
          <w:noProof/>
          <w:lang w:val="en-GB" w:eastAsia="en-GB"/>
        </w:rPr>
        <w:drawing>
          <wp:inline distT="0" distB="0" distL="0" distR="0" wp14:anchorId="4EC66CAF" wp14:editId="4A943BB9">
            <wp:extent cx="6245225" cy="299986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29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19" w:rsidRDefault="00521219" w:rsidP="00765626">
      <w:r>
        <w:t>Pav. 4. Filogenetinio medžio vaizdo nustatymai.</w:t>
      </w:r>
    </w:p>
    <w:p w:rsidR="00521219" w:rsidRDefault="00521219" w:rsidP="00765626">
      <w:r>
        <w:t xml:space="preserve">K5. </w:t>
      </w:r>
      <w:r w:rsidR="00861679">
        <w:t>Remdamiesi gautu medžiu, pažymėkite, kurie iš žemiau pateiktų teiginių teisingi arba ne (T/N), ir paaiškinkite savo pasirinkimą.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567"/>
        <w:gridCol w:w="6115"/>
      </w:tblGrid>
      <w:tr w:rsidR="00861679" w:rsidTr="00904C61">
        <w:tc>
          <w:tcPr>
            <w:tcW w:w="3369" w:type="dxa"/>
          </w:tcPr>
          <w:p w:rsidR="00861679" w:rsidRPr="00861679" w:rsidRDefault="00861679" w:rsidP="00765626">
            <w:pPr>
              <w:rPr>
                <w:b/>
              </w:rPr>
            </w:pPr>
            <w:r w:rsidRPr="00861679">
              <w:rPr>
                <w:b/>
              </w:rPr>
              <w:t>Teiginys</w:t>
            </w:r>
          </w:p>
        </w:tc>
        <w:tc>
          <w:tcPr>
            <w:tcW w:w="567" w:type="dxa"/>
          </w:tcPr>
          <w:p w:rsidR="00861679" w:rsidRPr="00861679" w:rsidRDefault="00861679" w:rsidP="00ED691B">
            <w:pPr>
              <w:jc w:val="center"/>
              <w:rPr>
                <w:b/>
              </w:rPr>
            </w:pPr>
            <w:r w:rsidRPr="00861679">
              <w:rPr>
                <w:b/>
              </w:rPr>
              <w:t>T/N</w:t>
            </w:r>
          </w:p>
        </w:tc>
        <w:tc>
          <w:tcPr>
            <w:tcW w:w="6115" w:type="dxa"/>
          </w:tcPr>
          <w:p w:rsidR="00861679" w:rsidRPr="00861679" w:rsidRDefault="00861679" w:rsidP="00765626">
            <w:pPr>
              <w:rPr>
                <w:b/>
              </w:rPr>
            </w:pPr>
            <w:r w:rsidRPr="00861679">
              <w:rPr>
                <w:b/>
              </w:rPr>
              <w:t>Paaiškinimas</w:t>
            </w:r>
          </w:p>
        </w:tc>
      </w:tr>
      <w:tr w:rsidR="00861679" w:rsidTr="00904C61">
        <w:tc>
          <w:tcPr>
            <w:tcW w:w="3369" w:type="dxa"/>
          </w:tcPr>
          <w:p w:rsidR="00861679" w:rsidRDefault="00861679" w:rsidP="00861679">
            <w:r>
              <w:t>Visos bakterijos, rastos onkologiniame skyriuje, vienodos</w:t>
            </w:r>
          </w:p>
        </w:tc>
        <w:tc>
          <w:tcPr>
            <w:tcW w:w="567" w:type="dxa"/>
          </w:tcPr>
          <w:p w:rsidR="00861679" w:rsidRPr="00ED691B" w:rsidRDefault="00861679" w:rsidP="00ED691B">
            <w:pPr>
              <w:jc w:val="center"/>
              <w:rPr>
                <w:color w:val="FF0000"/>
              </w:rPr>
            </w:pPr>
          </w:p>
        </w:tc>
        <w:tc>
          <w:tcPr>
            <w:tcW w:w="6115" w:type="dxa"/>
          </w:tcPr>
          <w:p w:rsidR="00904C61" w:rsidRDefault="00904C61" w:rsidP="00861679">
            <w:pPr>
              <w:rPr>
                <w:color w:val="FF0000"/>
              </w:rPr>
            </w:pPr>
          </w:p>
          <w:p w:rsidR="00904C61" w:rsidRDefault="00904C61" w:rsidP="00861679">
            <w:pPr>
              <w:rPr>
                <w:color w:val="FF0000"/>
              </w:rPr>
            </w:pPr>
          </w:p>
          <w:p w:rsidR="00904C61" w:rsidRPr="00ED691B" w:rsidRDefault="00904C61" w:rsidP="00861679">
            <w:pPr>
              <w:rPr>
                <w:color w:val="FF0000"/>
              </w:rPr>
            </w:pPr>
          </w:p>
        </w:tc>
      </w:tr>
      <w:tr w:rsidR="00861679" w:rsidTr="00904C61">
        <w:tc>
          <w:tcPr>
            <w:tcW w:w="3369" w:type="dxa"/>
          </w:tcPr>
          <w:p w:rsidR="00861679" w:rsidRDefault="00861679" w:rsidP="00E60483">
            <w:r>
              <w:lastRenderedPageBreak/>
              <w:t xml:space="preserve">Infekciją pediatrijos skyriuje </w:t>
            </w:r>
            <w:r w:rsidR="00E60483">
              <w:t>turbūt</w:t>
            </w:r>
            <w:r>
              <w:t xml:space="preserve"> sukėlė bakterijos iš vieno bendro šaltinio, pvz. vieno užkrėsto instrumento</w:t>
            </w:r>
          </w:p>
        </w:tc>
        <w:tc>
          <w:tcPr>
            <w:tcW w:w="567" w:type="dxa"/>
          </w:tcPr>
          <w:p w:rsidR="00861679" w:rsidRPr="00ED691B" w:rsidRDefault="00861679" w:rsidP="00ED691B">
            <w:pPr>
              <w:jc w:val="center"/>
              <w:rPr>
                <w:color w:val="FF0000"/>
              </w:rPr>
            </w:pPr>
          </w:p>
        </w:tc>
        <w:tc>
          <w:tcPr>
            <w:tcW w:w="6115" w:type="dxa"/>
          </w:tcPr>
          <w:p w:rsidR="00861679" w:rsidRPr="00ED691B" w:rsidRDefault="00861679" w:rsidP="00765626">
            <w:pPr>
              <w:rPr>
                <w:color w:val="FF0000"/>
              </w:rPr>
            </w:pPr>
          </w:p>
        </w:tc>
      </w:tr>
      <w:tr w:rsidR="00861679" w:rsidTr="00904C61">
        <w:tc>
          <w:tcPr>
            <w:tcW w:w="3369" w:type="dxa"/>
          </w:tcPr>
          <w:p w:rsidR="00861679" w:rsidRDefault="00E60483" w:rsidP="00765626">
            <w:r>
              <w:t>Gydytojas A galėjo užsikrėsti bakterijomis nuo onkologijos skyriaus pacientų</w:t>
            </w:r>
          </w:p>
        </w:tc>
        <w:tc>
          <w:tcPr>
            <w:tcW w:w="567" w:type="dxa"/>
          </w:tcPr>
          <w:p w:rsidR="00861679" w:rsidRPr="00ED691B" w:rsidRDefault="00861679" w:rsidP="00ED691B">
            <w:pPr>
              <w:jc w:val="center"/>
              <w:rPr>
                <w:color w:val="FF0000"/>
              </w:rPr>
            </w:pPr>
          </w:p>
        </w:tc>
        <w:tc>
          <w:tcPr>
            <w:tcW w:w="6115" w:type="dxa"/>
          </w:tcPr>
          <w:p w:rsidR="00904C61" w:rsidRPr="00ED691B" w:rsidRDefault="00904C61" w:rsidP="00765626">
            <w:pPr>
              <w:rPr>
                <w:color w:val="FF0000"/>
              </w:rPr>
            </w:pPr>
          </w:p>
        </w:tc>
      </w:tr>
      <w:tr w:rsidR="00861679" w:rsidTr="00904C61">
        <w:tc>
          <w:tcPr>
            <w:tcW w:w="3369" w:type="dxa"/>
          </w:tcPr>
          <w:p w:rsidR="00861679" w:rsidRDefault="00E60483" w:rsidP="00765626">
            <w:r>
              <w:t>Į pediatrijos skyrių užkratas pateko iš chirurgijos skyriaus</w:t>
            </w:r>
          </w:p>
        </w:tc>
        <w:tc>
          <w:tcPr>
            <w:tcW w:w="567" w:type="dxa"/>
          </w:tcPr>
          <w:p w:rsidR="00861679" w:rsidRPr="00ED691B" w:rsidRDefault="00861679" w:rsidP="00ED691B">
            <w:pPr>
              <w:jc w:val="center"/>
              <w:rPr>
                <w:color w:val="FF0000"/>
              </w:rPr>
            </w:pPr>
          </w:p>
        </w:tc>
        <w:tc>
          <w:tcPr>
            <w:tcW w:w="6115" w:type="dxa"/>
          </w:tcPr>
          <w:p w:rsidR="00904C61" w:rsidRDefault="00904C61" w:rsidP="00765626">
            <w:pPr>
              <w:rPr>
                <w:color w:val="FF0000"/>
              </w:rPr>
            </w:pPr>
          </w:p>
          <w:p w:rsidR="00C57F22" w:rsidRDefault="00C57F22" w:rsidP="00765626">
            <w:pPr>
              <w:rPr>
                <w:color w:val="FF0000"/>
              </w:rPr>
            </w:pPr>
          </w:p>
          <w:p w:rsidR="00C57F22" w:rsidRPr="00ED691B" w:rsidRDefault="00C57F22" w:rsidP="00765626">
            <w:pPr>
              <w:rPr>
                <w:color w:val="FF0000"/>
              </w:rPr>
            </w:pPr>
          </w:p>
        </w:tc>
      </w:tr>
      <w:tr w:rsidR="00861679" w:rsidTr="00904C61">
        <w:tc>
          <w:tcPr>
            <w:tcW w:w="3369" w:type="dxa"/>
          </w:tcPr>
          <w:p w:rsidR="00861679" w:rsidRDefault="00E60483" w:rsidP="00765626">
            <w:r>
              <w:t>Tikėtina, kad į šią ligoninę MRSA užkratas pateko du kartus</w:t>
            </w:r>
          </w:p>
        </w:tc>
        <w:tc>
          <w:tcPr>
            <w:tcW w:w="567" w:type="dxa"/>
          </w:tcPr>
          <w:p w:rsidR="00861679" w:rsidRPr="00ED691B" w:rsidRDefault="00861679" w:rsidP="00ED691B">
            <w:pPr>
              <w:jc w:val="center"/>
              <w:rPr>
                <w:color w:val="FF0000"/>
              </w:rPr>
            </w:pPr>
          </w:p>
        </w:tc>
        <w:tc>
          <w:tcPr>
            <w:tcW w:w="6115" w:type="dxa"/>
          </w:tcPr>
          <w:p w:rsidR="00904C61" w:rsidRDefault="00904C61" w:rsidP="00765626">
            <w:pPr>
              <w:rPr>
                <w:color w:val="FF0000"/>
              </w:rPr>
            </w:pPr>
          </w:p>
          <w:p w:rsidR="00C57F22" w:rsidRDefault="00C57F22" w:rsidP="00765626">
            <w:pPr>
              <w:rPr>
                <w:color w:val="FF0000"/>
              </w:rPr>
            </w:pPr>
          </w:p>
          <w:p w:rsidR="00C57F22" w:rsidRPr="00ED691B" w:rsidRDefault="00C57F22" w:rsidP="00765626">
            <w:pPr>
              <w:rPr>
                <w:color w:val="FF0000"/>
              </w:rPr>
            </w:pPr>
          </w:p>
        </w:tc>
      </w:tr>
      <w:tr w:rsidR="00E60483" w:rsidTr="00904C61">
        <w:tc>
          <w:tcPr>
            <w:tcW w:w="3369" w:type="dxa"/>
          </w:tcPr>
          <w:p w:rsidR="00E60483" w:rsidRDefault="00E60483" w:rsidP="00E60483">
            <w:r>
              <w:t>Gali būti, kad gydytojas B pernešė užkratą tarp onkologijos ir pediatrijos skyrių</w:t>
            </w:r>
          </w:p>
        </w:tc>
        <w:tc>
          <w:tcPr>
            <w:tcW w:w="567" w:type="dxa"/>
          </w:tcPr>
          <w:p w:rsidR="00E60483" w:rsidRPr="00ED691B" w:rsidRDefault="00E60483" w:rsidP="00ED691B">
            <w:pPr>
              <w:jc w:val="center"/>
              <w:rPr>
                <w:color w:val="FF0000"/>
              </w:rPr>
            </w:pPr>
          </w:p>
        </w:tc>
        <w:tc>
          <w:tcPr>
            <w:tcW w:w="6115" w:type="dxa"/>
          </w:tcPr>
          <w:p w:rsidR="00904C61" w:rsidRDefault="00904C61" w:rsidP="00E60483">
            <w:pPr>
              <w:rPr>
                <w:color w:val="FF0000"/>
              </w:rPr>
            </w:pPr>
          </w:p>
          <w:p w:rsidR="00C57F22" w:rsidRPr="00ED691B" w:rsidRDefault="00C57F22" w:rsidP="00E60483">
            <w:pPr>
              <w:rPr>
                <w:color w:val="FF0000"/>
              </w:rPr>
            </w:pPr>
          </w:p>
        </w:tc>
      </w:tr>
    </w:tbl>
    <w:p w:rsidR="00861679" w:rsidRDefault="00861679" w:rsidP="00765626"/>
    <w:p w:rsidR="00345910" w:rsidRDefault="00345910" w:rsidP="00765626">
      <w:r>
        <w:t>K6. Kaip pasikeistų gautas medis, jei naudotumėte baltymų, o ne genų sekas?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345910" w:rsidTr="00345910">
        <w:tc>
          <w:tcPr>
            <w:tcW w:w="10051" w:type="dxa"/>
          </w:tcPr>
          <w:p w:rsidR="00345910" w:rsidRDefault="00345910" w:rsidP="00765626">
            <w:pPr>
              <w:rPr>
                <w:color w:val="FF0000"/>
              </w:rPr>
            </w:pPr>
          </w:p>
          <w:p w:rsidR="00C57F22" w:rsidRDefault="00C57F22" w:rsidP="00765626">
            <w:pPr>
              <w:rPr>
                <w:color w:val="FF0000"/>
              </w:rPr>
            </w:pPr>
          </w:p>
          <w:p w:rsidR="00C57F22" w:rsidRDefault="00C57F22" w:rsidP="00765626">
            <w:pPr>
              <w:rPr>
                <w:color w:val="FF0000"/>
              </w:rPr>
            </w:pPr>
          </w:p>
          <w:p w:rsidR="00C57F22" w:rsidRDefault="00C57F22" w:rsidP="00765626"/>
          <w:p w:rsidR="00345910" w:rsidRDefault="00345910" w:rsidP="00765626"/>
          <w:p w:rsidR="00345910" w:rsidRDefault="00345910" w:rsidP="00765626"/>
          <w:p w:rsidR="00345910" w:rsidRDefault="00345910" w:rsidP="00765626"/>
        </w:tc>
      </w:tr>
    </w:tbl>
    <w:p w:rsidR="00345910" w:rsidRDefault="00345910" w:rsidP="00765626"/>
    <w:p w:rsidR="00345910" w:rsidRDefault="00345910" w:rsidP="00765626">
      <w:r>
        <w:t>K7. Ką geriau lyginti – baltymus ar genus – kai analizuojame panašius organizmus, o kas labiau tinka tolimiems giminaičiams?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345910" w:rsidTr="00345910">
        <w:tc>
          <w:tcPr>
            <w:tcW w:w="10051" w:type="dxa"/>
          </w:tcPr>
          <w:p w:rsidR="00345910" w:rsidRDefault="00345910" w:rsidP="00345910">
            <w:pPr>
              <w:rPr>
                <w:color w:val="FF0000"/>
              </w:rPr>
            </w:pPr>
          </w:p>
          <w:p w:rsidR="00C57F22" w:rsidRDefault="00C57F22" w:rsidP="00345910">
            <w:pPr>
              <w:rPr>
                <w:color w:val="FF0000"/>
              </w:rPr>
            </w:pPr>
          </w:p>
          <w:p w:rsidR="00C57F22" w:rsidRDefault="00C57F22" w:rsidP="00345910">
            <w:pPr>
              <w:rPr>
                <w:color w:val="FF0000"/>
              </w:rPr>
            </w:pPr>
          </w:p>
          <w:p w:rsidR="00C57F22" w:rsidRDefault="00C57F22" w:rsidP="00345910">
            <w:pPr>
              <w:rPr>
                <w:color w:val="FF0000"/>
              </w:rPr>
            </w:pPr>
            <w:bookmarkStart w:id="0" w:name="_GoBack"/>
            <w:bookmarkEnd w:id="0"/>
          </w:p>
          <w:p w:rsidR="00345910" w:rsidRDefault="00345910" w:rsidP="00345910"/>
        </w:tc>
      </w:tr>
    </w:tbl>
    <w:p w:rsidR="00345910" w:rsidRPr="00F06FB0" w:rsidRDefault="00345910" w:rsidP="00765626"/>
    <w:sectPr w:rsidR="00345910" w:rsidRPr="00F06FB0" w:rsidSect="00583BFA">
      <w:pgSz w:w="11906" w:h="16838"/>
      <w:pgMar w:top="1440" w:right="991" w:bottom="1440" w:left="108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24E7A"/>
    <w:multiLevelType w:val="hybridMultilevel"/>
    <w:tmpl w:val="89921D6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444CA"/>
    <w:multiLevelType w:val="hybridMultilevel"/>
    <w:tmpl w:val="83EEB9A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250EE"/>
    <w:multiLevelType w:val="hybridMultilevel"/>
    <w:tmpl w:val="6DC0D39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60756"/>
    <w:multiLevelType w:val="hybridMultilevel"/>
    <w:tmpl w:val="61FEA7BE"/>
    <w:lvl w:ilvl="0" w:tplc="B2C60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E5EF8"/>
    <w:multiLevelType w:val="hybridMultilevel"/>
    <w:tmpl w:val="B97ED12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21"/>
    <w:rsid w:val="0006621E"/>
    <w:rsid w:val="000677A0"/>
    <w:rsid w:val="00090310"/>
    <w:rsid w:val="00096896"/>
    <w:rsid w:val="000D06DC"/>
    <w:rsid w:val="000E576B"/>
    <w:rsid w:val="00103E73"/>
    <w:rsid w:val="00114E72"/>
    <w:rsid w:val="00117551"/>
    <w:rsid w:val="00173AEF"/>
    <w:rsid w:val="00174AB4"/>
    <w:rsid w:val="00175597"/>
    <w:rsid w:val="0018228F"/>
    <w:rsid w:val="00193954"/>
    <w:rsid w:val="001D1E8A"/>
    <w:rsid w:val="001E78BF"/>
    <w:rsid w:val="002035F8"/>
    <w:rsid w:val="002331B5"/>
    <w:rsid w:val="00261E0E"/>
    <w:rsid w:val="00275985"/>
    <w:rsid w:val="002834B2"/>
    <w:rsid w:val="002C3096"/>
    <w:rsid w:val="002E093B"/>
    <w:rsid w:val="002F6515"/>
    <w:rsid w:val="003178D2"/>
    <w:rsid w:val="00322E2D"/>
    <w:rsid w:val="00345910"/>
    <w:rsid w:val="00356BC5"/>
    <w:rsid w:val="003B7624"/>
    <w:rsid w:val="00422083"/>
    <w:rsid w:val="00426BF3"/>
    <w:rsid w:val="00477EBA"/>
    <w:rsid w:val="00481AFB"/>
    <w:rsid w:val="00491BB0"/>
    <w:rsid w:val="004B3536"/>
    <w:rsid w:val="004C7A68"/>
    <w:rsid w:val="00517B8B"/>
    <w:rsid w:val="00521219"/>
    <w:rsid w:val="005237B6"/>
    <w:rsid w:val="00541958"/>
    <w:rsid w:val="005456E2"/>
    <w:rsid w:val="00552090"/>
    <w:rsid w:val="00567BCB"/>
    <w:rsid w:val="00583BFA"/>
    <w:rsid w:val="005D2503"/>
    <w:rsid w:val="0062070B"/>
    <w:rsid w:val="0062184A"/>
    <w:rsid w:val="00633218"/>
    <w:rsid w:val="00685B8B"/>
    <w:rsid w:val="006D517D"/>
    <w:rsid w:val="006E135D"/>
    <w:rsid w:val="00710FD8"/>
    <w:rsid w:val="00715966"/>
    <w:rsid w:val="00736C2E"/>
    <w:rsid w:val="007458AA"/>
    <w:rsid w:val="00760F14"/>
    <w:rsid w:val="007649F8"/>
    <w:rsid w:val="00765626"/>
    <w:rsid w:val="007848AF"/>
    <w:rsid w:val="007A039D"/>
    <w:rsid w:val="00803D63"/>
    <w:rsid w:val="00822B24"/>
    <w:rsid w:val="00861679"/>
    <w:rsid w:val="00866F82"/>
    <w:rsid w:val="00883E1B"/>
    <w:rsid w:val="00893288"/>
    <w:rsid w:val="008A632C"/>
    <w:rsid w:val="008E745C"/>
    <w:rsid w:val="00904C61"/>
    <w:rsid w:val="0091206D"/>
    <w:rsid w:val="00922724"/>
    <w:rsid w:val="00942846"/>
    <w:rsid w:val="00956802"/>
    <w:rsid w:val="0098674F"/>
    <w:rsid w:val="009F3AC7"/>
    <w:rsid w:val="00A23EDA"/>
    <w:rsid w:val="00A34F58"/>
    <w:rsid w:val="00A942C1"/>
    <w:rsid w:val="00A97972"/>
    <w:rsid w:val="00AB6009"/>
    <w:rsid w:val="00B63583"/>
    <w:rsid w:val="00B902B2"/>
    <w:rsid w:val="00B9370B"/>
    <w:rsid w:val="00BA5490"/>
    <w:rsid w:val="00C114D4"/>
    <w:rsid w:val="00C23C21"/>
    <w:rsid w:val="00C57F22"/>
    <w:rsid w:val="00C80189"/>
    <w:rsid w:val="00C931F0"/>
    <w:rsid w:val="00C97D8B"/>
    <w:rsid w:val="00CF40C7"/>
    <w:rsid w:val="00D944AA"/>
    <w:rsid w:val="00DA7867"/>
    <w:rsid w:val="00DE11A2"/>
    <w:rsid w:val="00DF02CB"/>
    <w:rsid w:val="00E01AAA"/>
    <w:rsid w:val="00E60483"/>
    <w:rsid w:val="00EC4618"/>
    <w:rsid w:val="00ED34B3"/>
    <w:rsid w:val="00ED691B"/>
    <w:rsid w:val="00EE148F"/>
    <w:rsid w:val="00EE1CE8"/>
    <w:rsid w:val="00F06FB0"/>
    <w:rsid w:val="00F41DD1"/>
    <w:rsid w:val="00F53B4E"/>
    <w:rsid w:val="00F71CF9"/>
    <w:rsid w:val="00F86658"/>
    <w:rsid w:val="00FB1FA9"/>
    <w:rsid w:val="00FC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5234"/>
  <w15:docId w15:val="{C62D49C5-2B85-4586-9411-DB97C99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23C21"/>
  </w:style>
  <w:style w:type="paragraph" w:styleId="Heading1">
    <w:name w:val="heading 1"/>
    <w:basedOn w:val="Normal"/>
    <w:next w:val="Normal"/>
    <w:link w:val="Heading1Char"/>
    <w:uiPriority w:val="9"/>
    <w:qFormat/>
    <w:rsid w:val="00C23C21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C2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C2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C2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C2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C2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C2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C2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C2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21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C2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C2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C2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C2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C2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C2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C2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C2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3C2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C2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2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C2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23C21"/>
    <w:rPr>
      <w:b/>
      <w:bCs/>
    </w:rPr>
  </w:style>
  <w:style w:type="character" w:styleId="Emphasis">
    <w:name w:val="Emphasis"/>
    <w:uiPriority w:val="20"/>
    <w:qFormat/>
    <w:rsid w:val="00C23C2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23C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3C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3C2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3C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C2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C21"/>
    <w:rPr>
      <w:b/>
      <w:bCs/>
      <w:i/>
      <w:iCs/>
    </w:rPr>
  </w:style>
  <w:style w:type="character" w:styleId="SubtleEmphasis">
    <w:name w:val="Subtle Emphasis"/>
    <w:uiPriority w:val="19"/>
    <w:qFormat/>
    <w:rsid w:val="00C23C21"/>
    <w:rPr>
      <w:i/>
      <w:iCs/>
    </w:rPr>
  </w:style>
  <w:style w:type="character" w:styleId="IntenseEmphasis">
    <w:name w:val="Intense Emphasis"/>
    <w:uiPriority w:val="21"/>
    <w:qFormat/>
    <w:rsid w:val="00C23C21"/>
    <w:rPr>
      <w:b/>
      <w:bCs/>
    </w:rPr>
  </w:style>
  <w:style w:type="character" w:styleId="SubtleReference">
    <w:name w:val="Subtle Reference"/>
    <w:uiPriority w:val="31"/>
    <w:qFormat/>
    <w:rsid w:val="00C23C21"/>
    <w:rPr>
      <w:smallCaps/>
    </w:rPr>
  </w:style>
  <w:style w:type="character" w:styleId="IntenseReference">
    <w:name w:val="Intense Reference"/>
    <w:uiPriority w:val="32"/>
    <w:qFormat/>
    <w:rsid w:val="00C23C21"/>
    <w:rPr>
      <w:smallCaps/>
      <w:spacing w:val="5"/>
      <w:u w:val="single"/>
    </w:rPr>
  </w:style>
  <w:style w:type="character" w:styleId="BookTitle">
    <w:name w:val="Book Title"/>
    <w:uiPriority w:val="33"/>
    <w:qFormat/>
    <w:rsid w:val="00C23C2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C21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B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6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6BF3"/>
    <w:rPr>
      <w:color w:val="0000FF" w:themeColor="hyperlink"/>
      <w:u w:val="single"/>
    </w:rPr>
  </w:style>
  <w:style w:type="paragraph" w:customStyle="1" w:styleId="kodas">
    <w:name w:val="kodas"/>
    <w:basedOn w:val="Normal"/>
    <w:link w:val="kodasChar"/>
    <w:qFormat/>
    <w:rsid w:val="00822B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  <w:shd w:val="clear" w:color="auto" w:fill="D9D9D9" w:themeFill="background1" w:themeFillShade="D9"/>
      <w:spacing w:after="240"/>
      <w:contextualSpacing/>
    </w:pPr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A97972"/>
    <w:rPr>
      <w:sz w:val="16"/>
      <w:szCs w:val="16"/>
    </w:rPr>
  </w:style>
  <w:style w:type="character" w:customStyle="1" w:styleId="kodasChar">
    <w:name w:val="kodas Char"/>
    <w:basedOn w:val="DefaultParagraphFont"/>
    <w:link w:val="kodas"/>
    <w:rsid w:val="00822B24"/>
    <w:rPr>
      <w:rFonts w:ascii="Courier New" w:hAnsi="Courier New" w:cs="Courier New"/>
      <w:shd w:val="clear" w:color="auto" w:fill="D9D9D9" w:themeFill="background1" w:themeFillShade="D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9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9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972"/>
    <w:rPr>
      <w:b/>
      <w:bCs/>
      <w:sz w:val="20"/>
      <w:szCs w:val="20"/>
    </w:rPr>
  </w:style>
  <w:style w:type="character" w:customStyle="1" w:styleId="value0">
    <w:name w:val="value0"/>
    <w:basedOn w:val="DefaultParagraphFont"/>
    <w:rsid w:val="000D06DC"/>
  </w:style>
  <w:style w:type="character" w:customStyle="1" w:styleId="value1">
    <w:name w:val="value1"/>
    <w:basedOn w:val="DefaultParagraphFont"/>
    <w:rsid w:val="000D06DC"/>
  </w:style>
  <w:style w:type="character" w:customStyle="1" w:styleId="value2">
    <w:name w:val="value2"/>
    <w:basedOn w:val="DefaultParagraphFont"/>
    <w:rsid w:val="000D06DC"/>
  </w:style>
  <w:style w:type="character" w:customStyle="1" w:styleId="value3">
    <w:name w:val="value3"/>
    <w:basedOn w:val="DefaultParagraphFont"/>
    <w:rsid w:val="000D06DC"/>
  </w:style>
  <w:style w:type="character" w:customStyle="1" w:styleId="value4">
    <w:name w:val="value4"/>
    <w:basedOn w:val="DefaultParagraphFont"/>
    <w:rsid w:val="000D06DC"/>
  </w:style>
  <w:style w:type="character" w:customStyle="1" w:styleId="value5">
    <w:name w:val="value5"/>
    <w:basedOn w:val="DefaultParagraphFont"/>
    <w:rsid w:val="000D06DC"/>
  </w:style>
  <w:style w:type="character" w:customStyle="1" w:styleId="value6">
    <w:name w:val="value6"/>
    <w:basedOn w:val="DefaultParagraphFont"/>
    <w:rsid w:val="000D06DC"/>
  </w:style>
  <w:style w:type="character" w:customStyle="1" w:styleId="value7">
    <w:name w:val="value7"/>
    <w:basedOn w:val="DefaultParagraphFont"/>
    <w:rsid w:val="000D06DC"/>
  </w:style>
  <w:style w:type="character" w:customStyle="1" w:styleId="value8">
    <w:name w:val="value8"/>
    <w:basedOn w:val="DefaultParagraphFont"/>
    <w:rsid w:val="000D06DC"/>
  </w:style>
  <w:style w:type="character" w:customStyle="1" w:styleId="value9">
    <w:name w:val="value9"/>
    <w:basedOn w:val="DefaultParagraphFont"/>
    <w:rsid w:val="000D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4986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ioinformatics.org/sms2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coffee.crg.ca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hylogeny.lirmm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B73CD-CC78-4CA3-A47A-6716E4625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5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</dc:creator>
  <cp:lastModifiedBy>Paulius Tamosiunas</cp:lastModifiedBy>
  <cp:revision>12</cp:revision>
  <dcterms:created xsi:type="dcterms:W3CDTF">2015-03-03T10:19:00Z</dcterms:created>
  <dcterms:modified xsi:type="dcterms:W3CDTF">2016-02-22T08:41:00Z</dcterms:modified>
</cp:coreProperties>
</file>