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5EF36">
      <w:pPr>
        <w:spacing w:before="80" w:after="80"/>
      </w:pPr>
    </w:p>
    <w:p w14:paraId="4CE27D23">
      <w:pPr>
        <w:spacing w:before="80" w:after="80"/>
      </w:pPr>
    </w:p>
    <w:p w14:paraId="1B5B5252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888888"/>
          <w:sz w:val="28"/>
          <w:szCs w:val="28"/>
        </w:rPr>
        <w:t>KIIT SAP CAPSTONE PROJECT</w:t>
      </w:r>
    </w:p>
    <w:p w14:paraId="4832C772">
      <w:pPr>
        <w:pBdr>
          <w:bottom w:val="single" w:color="1F5C99" w:sz="6" w:space="1"/>
        </w:pBdr>
        <w:spacing w:before="100" w:after="200"/>
        <w:jc w:val="center"/>
      </w:pPr>
      <w:r>
        <w:rPr>
          <w:rFonts w:ascii="Arial" w:hAnsi="Arial" w:eastAsia="Arial" w:cs="Arial"/>
          <w:b/>
          <w:bCs/>
          <w:color w:val="1F5C99"/>
          <w:sz w:val="40"/>
          <w:szCs w:val="40"/>
        </w:rPr>
        <w:t xml:space="preserve">Order-to-Cash (O2C) </w:t>
      </w:r>
      <w:r>
        <w:rPr>
          <w:rFonts w:hint="default" w:cs="Arial"/>
          <w:b/>
          <w:bCs/>
          <w:color w:val="1F5C99"/>
          <w:sz w:val="40"/>
          <w:szCs w:val="40"/>
          <w:lang w:val="en-US"/>
        </w:rPr>
        <w:t>-</w:t>
      </w:r>
      <w:r>
        <w:rPr>
          <w:rFonts w:ascii="Arial" w:hAnsi="Arial" w:eastAsia="Arial" w:cs="Arial"/>
          <w:b/>
          <w:bCs/>
          <w:color w:val="1F5C99"/>
          <w:sz w:val="40"/>
          <w:szCs w:val="40"/>
        </w:rPr>
        <w:t xml:space="preserve"> Complete Sales Cycle</w:t>
      </w:r>
    </w:p>
    <w:p w14:paraId="6EC03257">
      <w:pPr>
        <w:spacing w:before="200" w:after="60"/>
        <w:jc w:val="center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NovaTex Industries Pvt. Ltd.</w:t>
      </w:r>
    </w:p>
    <w:p w14:paraId="66907FFD">
      <w:pPr>
        <w:spacing w:before="60" w:after="300"/>
        <w:jc w:val="center"/>
      </w:pPr>
      <w:r>
        <w:rPr>
          <w:rFonts w:ascii="Arial" w:hAnsi="Arial" w:eastAsia="Arial" w:cs="Arial"/>
          <w:i/>
          <w:iCs/>
          <w:color w:val="666666"/>
          <w:sz w:val="24"/>
          <w:szCs w:val="24"/>
        </w:rPr>
        <w:t>A Fictitious Textile Enterprise | SAP SD End-to-End Scenario</w:t>
      </w:r>
    </w:p>
    <w:p w14:paraId="16AE29A2">
      <w:pPr>
        <w:spacing w:before="80" w:after="80"/>
      </w:pPr>
      <w:bookmarkStart w:id="0" w:name="_GoBack"/>
      <w:bookmarkEnd w:id="0"/>
    </w:p>
    <w:p w14:paraId="676E31C8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1C8C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58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5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DF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102E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8B63">
            <w:r>
              <w:rPr>
                <w:rFonts w:ascii="Arial" w:hAnsi="Arial" w:eastAsia="Arial" w:cs="Arial"/>
                <w:sz w:val="22"/>
                <w:szCs w:val="22"/>
              </w:rPr>
              <w:t>Student Name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64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Armita Patro</w:t>
            </w:r>
          </w:p>
        </w:tc>
      </w:tr>
      <w:tr w14:paraId="653C3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C3FA">
            <w:r>
              <w:rPr>
                <w:rFonts w:ascii="Arial" w:hAnsi="Arial" w:eastAsia="Arial" w:cs="Arial"/>
                <w:sz w:val="22"/>
                <w:szCs w:val="22"/>
              </w:rPr>
              <w:t>Roll Number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80D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23051737</w:t>
            </w:r>
          </w:p>
        </w:tc>
      </w:tr>
      <w:tr w14:paraId="4018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BF54">
            <w:r>
              <w:rPr>
                <w:rFonts w:ascii="Arial" w:hAnsi="Arial" w:eastAsia="Arial" w:cs="Arial"/>
                <w:sz w:val="22"/>
                <w:szCs w:val="22"/>
              </w:rPr>
              <w:t>Batch / Program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2807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SAP </w:t>
            </w:r>
            <w:r>
              <w:rPr>
                <w:rFonts w:hint="default" w:cs="Arial"/>
                <w:sz w:val="22"/>
                <w:szCs w:val="22"/>
                <w:lang w:val="en-US"/>
              </w:rPr>
              <w:t>BTP DEVELOPER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| KIIT</w:t>
            </w:r>
            <w:r>
              <w:rPr>
                <w:rFonts w:hint="default" w:cs="Arial"/>
                <w:sz w:val="22"/>
                <w:szCs w:val="22"/>
                <w:lang w:val="en-US"/>
              </w:rPr>
              <w:t xml:space="preserve"> DU </w:t>
            </w:r>
          </w:p>
        </w:tc>
      </w:tr>
      <w:tr w14:paraId="5565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AAC6">
            <w:r>
              <w:rPr>
                <w:rFonts w:ascii="Arial" w:hAnsi="Arial" w:eastAsia="Arial" w:cs="Arial"/>
                <w:sz w:val="22"/>
                <w:szCs w:val="22"/>
              </w:rPr>
              <w:t>Submission Date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DC2D">
            <w:r>
              <w:rPr>
                <w:rFonts w:ascii="Arial" w:hAnsi="Arial" w:eastAsia="Arial" w:cs="Arial"/>
                <w:sz w:val="22"/>
                <w:szCs w:val="22"/>
              </w:rPr>
              <w:t>April 21, 2026</w:t>
            </w:r>
          </w:p>
        </w:tc>
      </w:tr>
      <w:tr w14:paraId="32CE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CB48">
            <w:r>
              <w:rPr>
                <w:rFonts w:ascii="Arial" w:hAnsi="Arial" w:eastAsia="Arial" w:cs="Arial"/>
                <w:sz w:val="22"/>
                <w:szCs w:val="22"/>
              </w:rPr>
              <w:t>SAP Module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F961">
            <w:r>
              <w:rPr>
                <w:rFonts w:ascii="Arial" w:hAnsi="Arial" w:eastAsia="Arial" w:cs="Arial"/>
                <w:sz w:val="22"/>
                <w:szCs w:val="22"/>
              </w:rPr>
              <w:t>SAP SD (Sales &amp; Distribution)</w:t>
            </w:r>
          </w:p>
        </w:tc>
      </w:tr>
      <w:tr w14:paraId="65E0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AE41">
            <w:r>
              <w:rPr>
                <w:rFonts w:ascii="Arial" w:hAnsi="Arial" w:eastAsia="Arial" w:cs="Arial"/>
                <w:sz w:val="22"/>
                <w:szCs w:val="22"/>
              </w:rPr>
              <w:t>Topic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98B3">
            <w:r>
              <w:rPr>
                <w:rFonts w:ascii="Arial" w:hAnsi="Arial" w:eastAsia="Arial" w:cs="Arial"/>
                <w:sz w:val="22"/>
                <w:szCs w:val="22"/>
              </w:rPr>
              <w:t xml:space="preserve">Order-to-Cash (O2C) </w:t>
            </w:r>
            <w:r>
              <w:rPr>
                <w:rFonts w:hint="default" w:cs="Arial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Complete Sales Cycle</w:t>
            </w:r>
          </w:p>
        </w:tc>
      </w:tr>
    </w:tbl>
    <w:p w14:paraId="307526E7">
      <w:r>
        <w:br w:type="page"/>
      </w:r>
    </w:p>
    <w:p w14:paraId="22055E0A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1. Introduction</w:t>
      </w:r>
    </w:p>
    <w:p w14:paraId="2593B82C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Order-to-Cash (O2C) cycle is one of the most fundamental and business-critical processes in any product-based enterprise. It represents the complete lifecycle from the moment a customer places an order to the moment the company receives and reconciles payment for goods or services rendered. In SAP, this process is managed primarily within the Sales &amp; Distribution (SD) module, with critical integration points in Materials Management (MM) and Financial Accounting (FI).</w:t>
      </w:r>
    </w:p>
    <w:p w14:paraId="156501EE">
      <w:pPr>
        <w:spacing w:before="80" w:after="80"/>
      </w:pPr>
    </w:p>
    <w:p w14:paraId="630254C4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This project simulates the O2C cycle for NovaTex Industries Pvt. Ltd., a fictitious mid-sized textile manufacturer and distributor headquartered in Bhubaneswar, Odisha. NovaTex sells premium and economy fabric rolls to wholesale distributors across eastern India. The project demonstrates the complete end-to-end configuration and execution within an SAP system, covering enterprise structure setup, master data creation, and all transactional steps from sales order to payment receipt.</w:t>
      </w:r>
    </w:p>
    <w:p w14:paraId="00B21F0C">
      <w:pPr>
        <w:spacing w:before="80" w:after="80"/>
      </w:pPr>
    </w:p>
    <w:p w14:paraId="1E381451">
      <w:pPr>
        <w:pStyle w:val="3"/>
        <w:spacing w:before="200" w:after="80"/>
        <w:rPr>
          <w:rStyle w:val="21"/>
          <w:b/>
          <w:bCs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</w:t>
      </w:r>
      <w:r>
        <w:rPr>
          <w:rStyle w:val="21"/>
          <w:b/>
          <w:bCs/>
        </w:rPr>
        <w:t xml:space="preserve"> Company Profile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694D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72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55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A4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1958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6528">
            <w:r>
              <w:rPr>
                <w:rFonts w:ascii="Arial" w:hAnsi="Arial" w:eastAsia="Arial" w:cs="Arial"/>
                <w:sz w:val="22"/>
                <w:szCs w:val="22"/>
              </w:rPr>
              <w:t>Company Name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80C8">
            <w:r>
              <w:rPr>
                <w:rFonts w:ascii="Arial" w:hAnsi="Arial" w:eastAsia="Arial" w:cs="Arial"/>
                <w:sz w:val="22"/>
                <w:szCs w:val="22"/>
              </w:rPr>
              <w:t>NovaTex Industries Pvt. Ltd.</w:t>
            </w:r>
          </w:p>
        </w:tc>
      </w:tr>
      <w:tr w14:paraId="70F9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307B">
            <w:r>
              <w:rPr>
                <w:rFonts w:ascii="Arial" w:hAnsi="Arial" w:eastAsia="Arial" w:cs="Arial"/>
                <w:sz w:val="22"/>
                <w:szCs w:val="22"/>
              </w:rPr>
              <w:t>Company Code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0F6D">
            <w:r>
              <w:rPr>
                <w:rFonts w:ascii="Arial" w:hAnsi="Arial" w:eastAsia="Arial" w:cs="Arial"/>
                <w:sz w:val="22"/>
                <w:szCs w:val="22"/>
              </w:rPr>
              <w:t>NTX1</w:t>
            </w:r>
          </w:p>
        </w:tc>
      </w:tr>
      <w:tr w14:paraId="25831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2E95">
            <w:r>
              <w:rPr>
                <w:rFonts w:ascii="Arial" w:hAnsi="Arial" w:eastAsia="Arial" w:cs="Arial"/>
                <w:sz w:val="22"/>
                <w:szCs w:val="22"/>
              </w:rPr>
              <w:t>Industry Sector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E643">
            <w:r>
              <w:rPr>
                <w:rFonts w:ascii="Arial" w:hAnsi="Arial" w:eastAsia="Arial" w:cs="Arial"/>
                <w:sz w:val="22"/>
                <w:szCs w:val="22"/>
              </w:rPr>
              <w:t>Textile Manufacturing &amp; Distribution</w:t>
            </w:r>
          </w:p>
        </w:tc>
      </w:tr>
      <w:tr w14:paraId="5469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9CCB">
            <w:r>
              <w:rPr>
                <w:rFonts w:ascii="Arial" w:hAnsi="Arial" w:eastAsia="Arial" w:cs="Arial"/>
                <w:sz w:val="22"/>
                <w:szCs w:val="22"/>
              </w:rPr>
              <w:t>Headquarters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24E1">
            <w:r>
              <w:rPr>
                <w:rFonts w:ascii="Arial" w:hAnsi="Arial" w:eastAsia="Arial" w:cs="Arial"/>
                <w:sz w:val="22"/>
                <w:szCs w:val="22"/>
              </w:rPr>
              <w:t>Bhubaneswar, Odisha, India</w:t>
            </w:r>
          </w:p>
        </w:tc>
      </w:tr>
      <w:tr w14:paraId="0304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13AD">
            <w:r>
              <w:rPr>
                <w:rFonts w:ascii="Arial" w:hAnsi="Arial" w:eastAsia="Arial" w:cs="Arial"/>
                <w:sz w:val="22"/>
                <w:szCs w:val="22"/>
              </w:rPr>
              <w:t>Functional Currency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9C84">
            <w:r>
              <w:rPr>
                <w:rFonts w:ascii="Arial" w:hAnsi="Arial" w:eastAsia="Arial" w:cs="Arial"/>
                <w:sz w:val="22"/>
                <w:szCs w:val="22"/>
              </w:rPr>
              <w:t>INR (Indian Rupee)</w:t>
            </w:r>
          </w:p>
        </w:tc>
      </w:tr>
      <w:tr w14:paraId="796C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2CDF">
            <w:r>
              <w:rPr>
                <w:rFonts w:ascii="Arial" w:hAnsi="Arial" w:eastAsia="Arial" w:cs="Arial"/>
                <w:sz w:val="22"/>
                <w:szCs w:val="22"/>
              </w:rPr>
              <w:t>Fiscal Year Variant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D20B">
            <w:r>
              <w:rPr>
                <w:rFonts w:ascii="Arial" w:hAnsi="Arial" w:eastAsia="Arial" w:cs="Arial"/>
                <w:sz w:val="22"/>
                <w:szCs w:val="22"/>
              </w:rPr>
              <w:t>K4 (April – March)</w:t>
            </w:r>
          </w:p>
        </w:tc>
      </w:tr>
      <w:tr w14:paraId="0E91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29B8">
            <w:r>
              <w:rPr>
                <w:rFonts w:ascii="Arial" w:hAnsi="Arial" w:eastAsia="Arial" w:cs="Arial"/>
                <w:sz w:val="22"/>
                <w:szCs w:val="22"/>
              </w:rPr>
              <w:t>SAP Sales Org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812C">
            <w:r>
              <w:rPr>
                <w:rFonts w:ascii="Arial" w:hAnsi="Arial" w:eastAsia="Arial" w:cs="Arial"/>
                <w:sz w:val="22"/>
                <w:szCs w:val="22"/>
              </w:rPr>
              <w:t>NTX_SO</w:t>
            </w:r>
          </w:p>
        </w:tc>
      </w:tr>
      <w:tr w14:paraId="6442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8693">
            <w:r>
              <w:rPr>
                <w:rFonts w:ascii="Arial" w:hAnsi="Arial" w:eastAsia="Arial" w:cs="Arial"/>
                <w:sz w:val="22"/>
                <w:szCs w:val="22"/>
              </w:rPr>
              <w:t>Distribution Channel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EB78">
            <w:r>
              <w:rPr>
                <w:rFonts w:ascii="Arial" w:hAnsi="Arial" w:eastAsia="Arial" w:cs="Arial"/>
                <w:sz w:val="22"/>
                <w:szCs w:val="22"/>
              </w:rPr>
              <w:t>10 – Wholesale</w:t>
            </w:r>
          </w:p>
        </w:tc>
      </w:tr>
      <w:tr w14:paraId="5451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A59A">
            <w:r>
              <w:rPr>
                <w:rFonts w:ascii="Arial" w:hAnsi="Arial" w:eastAsia="Arial" w:cs="Arial"/>
                <w:sz w:val="22"/>
                <w:szCs w:val="22"/>
              </w:rPr>
              <w:t>Division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0532">
            <w:r>
              <w:rPr>
                <w:rFonts w:ascii="Arial" w:hAnsi="Arial" w:eastAsia="Arial" w:cs="Arial"/>
                <w:sz w:val="22"/>
                <w:szCs w:val="22"/>
              </w:rPr>
              <w:t>01 – Textiles</w:t>
            </w:r>
          </w:p>
        </w:tc>
      </w:tr>
    </w:tbl>
    <w:p w14:paraId="1B063272">
      <w:pPr>
        <w:spacing w:before="80" w:after="80"/>
      </w:pPr>
    </w:p>
    <w:p w14:paraId="51156D5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 Objective</w:t>
      </w:r>
    </w:p>
    <w:p w14:paraId="797D18F6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primary objective of this project is to configure and execute a complete SAP SD Order-to-Cash scenario for NovaTex Industries, demonstrating proficiency in:</w:t>
      </w:r>
    </w:p>
    <w:p w14:paraId="5AC5CD4F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SAP enterprise structure configuration for SD and FI modules</w:t>
      </w:r>
    </w:p>
    <w:p w14:paraId="49AFFC9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Customer and material master data creation with all relevant views</w:t>
      </w:r>
    </w:p>
    <w:p w14:paraId="25B8207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Pricing procedure configuration using condition technique</w:t>
      </w:r>
    </w:p>
    <w:p w14:paraId="4025975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End-to-end transaction execution: Inquiry → Quotation → Sales Order → Delivery → Goods Issue → Billing → Payment</w:t>
      </w:r>
    </w:p>
    <w:p w14:paraId="55AC2A7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SD-FI and SD-MM integration touchpoints and accounting entries</w:t>
      </w:r>
    </w:p>
    <w:p w14:paraId="16C9F7FC">
      <w:r>
        <w:br w:type="page"/>
      </w:r>
    </w:p>
    <w:p w14:paraId="5253257E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2. Enterprise Structure Configuration</w:t>
      </w:r>
    </w:p>
    <w:p w14:paraId="375D1B25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Before executing any business transaction in SAP, the organizational structure must be defined and assigned. The enterprise structure in SAP SD defines how the company is represented from a sales and distribution perspective.</w:t>
      </w:r>
    </w:p>
    <w:p w14:paraId="74AD5832">
      <w:pPr>
        <w:spacing w:before="80" w:after="80"/>
      </w:pPr>
    </w:p>
    <w:p w14:paraId="6671B574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Organizational Units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800"/>
        <w:gridCol w:w="3426"/>
      </w:tblGrid>
      <w:tr w14:paraId="3D9D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B3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Org Unit</w:t>
            </w:r>
          </w:p>
        </w:tc>
        <w:tc>
          <w:tcPr>
            <w:tcW w:w="16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78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18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28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 / Value</w:t>
            </w:r>
          </w:p>
        </w:tc>
        <w:tc>
          <w:tcPr>
            <w:tcW w:w="34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10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1746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20C8">
            <w:r>
              <w:rPr>
                <w:rFonts w:ascii="Arial" w:hAnsi="Arial" w:eastAsia="Arial" w:cs="Arial"/>
                <w:sz w:val="22"/>
                <w:szCs w:val="22"/>
              </w:rPr>
              <w:t>Company Code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EB0B">
            <w:r>
              <w:rPr>
                <w:rFonts w:ascii="Arial" w:hAnsi="Arial" w:eastAsia="Arial" w:cs="Arial"/>
                <w:sz w:val="22"/>
                <w:szCs w:val="22"/>
              </w:rPr>
              <w:t>OX02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DCA8">
            <w:r>
              <w:rPr>
                <w:rFonts w:ascii="Arial" w:hAnsi="Arial" w:eastAsia="Arial" w:cs="Arial"/>
                <w:sz w:val="22"/>
                <w:szCs w:val="22"/>
              </w:rPr>
              <w:t>NTX1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B980">
            <w:r>
              <w:rPr>
                <w:rFonts w:ascii="Arial" w:hAnsi="Arial" w:eastAsia="Arial" w:cs="Arial"/>
                <w:sz w:val="22"/>
                <w:szCs w:val="22"/>
              </w:rPr>
              <w:t>NovaTex Industries Pvt. Ltd.</w:t>
            </w:r>
          </w:p>
        </w:tc>
      </w:tr>
      <w:tr w14:paraId="535A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0808">
            <w:r>
              <w:rPr>
                <w:rFonts w:ascii="Arial" w:hAnsi="Arial" w:eastAsia="Arial" w:cs="Arial"/>
                <w:sz w:val="22"/>
                <w:szCs w:val="22"/>
              </w:rPr>
              <w:t>Sales Organization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A992">
            <w:r>
              <w:rPr>
                <w:rFonts w:ascii="Arial" w:hAnsi="Arial" w:eastAsia="Arial" w:cs="Arial"/>
                <w:sz w:val="22"/>
                <w:szCs w:val="22"/>
              </w:rPr>
              <w:t>OVX5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A164">
            <w:r>
              <w:rPr>
                <w:rFonts w:ascii="Arial" w:hAnsi="Arial" w:eastAsia="Arial" w:cs="Arial"/>
                <w:sz w:val="22"/>
                <w:szCs w:val="22"/>
              </w:rPr>
              <w:t>NTX_SO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7E3A">
            <w:r>
              <w:rPr>
                <w:rFonts w:ascii="Arial" w:hAnsi="Arial" w:eastAsia="Arial" w:cs="Arial"/>
                <w:sz w:val="22"/>
                <w:szCs w:val="22"/>
              </w:rPr>
              <w:t>NovaTex Sales Organization</w:t>
            </w:r>
          </w:p>
        </w:tc>
      </w:tr>
      <w:tr w14:paraId="144B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61BF">
            <w:r>
              <w:rPr>
                <w:rFonts w:ascii="Arial" w:hAnsi="Arial" w:eastAsia="Arial" w:cs="Arial"/>
                <w:sz w:val="22"/>
                <w:szCs w:val="22"/>
              </w:rPr>
              <w:t>Distribution Channel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C4F4">
            <w:r>
              <w:rPr>
                <w:rFonts w:ascii="Arial" w:hAnsi="Arial" w:eastAsia="Arial" w:cs="Arial"/>
                <w:sz w:val="22"/>
                <w:szCs w:val="22"/>
              </w:rPr>
              <w:t>OVXI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7A82">
            <w:r>
              <w:rPr>
                <w:rFonts w:ascii="Arial" w:hAnsi="Arial" w:eastAsia="Arial" w:cs="Arial"/>
                <w:sz w:val="22"/>
                <w:szCs w:val="22"/>
              </w:rPr>
              <w:t>10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D4C2">
            <w:r>
              <w:rPr>
                <w:rFonts w:ascii="Arial" w:hAnsi="Arial" w:eastAsia="Arial" w:cs="Arial"/>
                <w:sz w:val="22"/>
                <w:szCs w:val="22"/>
              </w:rPr>
              <w:t>Wholesale</w:t>
            </w:r>
          </w:p>
        </w:tc>
      </w:tr>
      <w:tr w14:paraId="6F70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2383">
            <w:r>
              <w:rPr>
                <w:rFonts w:ascii="Arial" w:hAnsi="Arial" w:eastAsia="Arial" w:cs="Arial"/>
                <w:sz w:val="22"/>
                <w:szCs w:val="22"/>
              </w:rPr>
              <w:t>Division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3A77">
            <w:r>
              <w:rPr>
                <w:rFonts w:ascii="Arial" w:hAnsi="Arial" w:eastAsia="Arial" w:cs="Arial"/>
                <w:sz w:val="22"/>
                <w:szCs w:val="22"/>
              </w:rPr>
              <w:t>OVX3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DD2E">
            <w:r>
              <w:rPr>
                <w:rFonts w:ascii="Arial" w:hAnsi="Arial" w:eastAsia="Arial" w:cs="Arial"/>
                <w:sz w:val="22"/>
                <w:szCs w:val="22"/>
              </w:rPr>
              <w:t>01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CFE4">
            <w:r>
              <w:rPr>
                <w:rFonts w:ascii="Arial" w:hAnsi="Arial" w:eastAsia="Arial" w:cs="Arial"/>
                <w:sz w:val="22"/>
                <w:szCs w:val="22"/>
              </w:rPr>
              <w:t>Textiles</w:t>
            </w:r>
          </w:p>
        </w:tc>
      </w:tr>
      <w:tr w14:paraId="76FF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6D1E">
            <w:r>
              <w:rPr>
                <w:rFonts w:ascii="Arial" w:hAnsi="Arial" w:eastAsia="Arial" w:cs="Arial"/>
                <w:sz w:val="22"/>
                <w:szCs w:val="22"/>
              </w:rPr>
              <w:t>Shipping Point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897D">
            <w:r>
              <w:rPr>
                <w:rFonts w:ascii="Arial" w:hAnsi="Arial" w:eastAsia="Arial" w:cs="Arial"/>
                <w:sz w:val="22"/>
                <w:szCs w:val="22"/>
              </w:rPr>
              <w:t>OVXD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2900">
            <w:r>
              <w:rPr>
                <w:rFonts w:ascii="Arial" w:hAnsi="Arial" w:eastAsia="Arial" w:cs="Arial"/>
                <w:sz w:val="22"/>
                <w:szCs w:val="22"/>
              </w:rPr>
              <w:t>NTX_SP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349A">
            <w:r>
              <w:rPr>
                <w:rFonts w:ascii="Arial" w:hAnsi="Arial" w:eastAsia="Arial" w:cs="Arial"/>
                <w:sz w:val="22"/>
                <w:szCs w:val="22"/>
              </w:rPr>
              <w:t>NovaTex Shipping Point</w:t>
            </w:r>
          </w:p>
        </w:tc>
      </w:tr>
      <w:tr w14:paraId="293E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FB7D">
            <w:r>
              <w:rPr>
                <w:rFonts w:ascii="Arial" w:hAnsi="Arial" w:eastAsia="Arial" w:cs="Arial"/>
                <w:sz w:val="22"/>
                <w:szCs w:val="22"/>
              </w:rPr>
              <w:t>Plant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4167">
            <w:r>
              <w:rPr>
                <w:rFonts w:ascii="Arial" w:hAnsi="Arial" w:eastAsia="Arial" w:cs="Arial"/>
                <w:sz w:val="22"/>
                <w:szCs w:val="22"/>
              </w:rPr>
              <w:t>OX10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0EBE">
            <w:r>
              <w:rPr>
                <w:rFonts w:ascii="Arial" w:hAnsi="Arial" w:eastAsia="Arial" w:cs="Arial"/>
                <w:sz w:val="22"/>
                <w:szCs w:val="22"/>
              </w:rPr>
              <w:t>NTX_P1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661A">
            <w:r>
              <w:rPr>
                <w:rFonts w:ascii="Arial" w:hAnsi="Arial" w:eastAsia="Arial" w:cs="Arial"/>
                <w:sz w:val="22"/>
                <w:szCs w:val="22"/>
              </w:rPr>
              <w:t>Bhubaneswar Manufacturing Plant</w:t>
            </w:r>
          </w:p>
        </w:tc>
      </w:tr>
      <w:tr w14:paraId="0E2E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68A3">
            <w:r>
              <w:rPr>
                <w:rFonts w:ascii="Arial" w:hAnsi="Arial" w:eastAsia="Arial" w:cs="Arial"/>
                <w:sz w:val="22"/>
                <w:szCs w:val="22"/>
              </w:rPr>
              <w:t>Storage Location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673D">
            <w:r>
              <w:rPr>
                <w:rFonts w:ascii="Arial" w:hAnsi="Arial" w:eastAsia="Arial" w:cs="Arial"/>
                <w:sz w:val="22"/>
                <w:szCs w:val="22"/>
              </w:rPr>
              <w:t>OX09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DF51">
            <w:r>
              <w:rPr>
                <w:rFonts w:ascii="Arial" w:hAnsi="Arial" w:eastAsia="Arial" w:cs="Arial"/>
                <w:sz w:val="22"/>
                <w:szCs w:val="22"/>
              </w:rPr>
              <w:t>0001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6365">
            <w:r>
              <w:rPr>
                <w:rFonts w:ascii="Arial" w:hAnsi="Arial" w:eastAsia="Arial" w:cs="Arial"/>
                <w:sz w:val="22"/>
                <w:szCs w:val="22"/>
              </w:rPr>
              <w:t>Finished Goods Store</w:t>
            </w:r>
          </w:p>
        </w:tc>
      </w:tr>
    </w:tbl>
    <w:p w14:paraId="1870C092">
      <w:pPr>
        <w:spacing w:before="80" w:after="80"/>
      </w:pPr>
    </w:p>
    <w:p w14:paraId="49328B11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Assignments</w:t>
      </w:r>
    </w:p>
    <w:p w14:paraId="554EE2CA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Assignments link organizational units to form the operational backbone of SAP. The key assignments configured for NovaTex are:</w:t>
      </w:r>
    </w:p>
    <w:p w14:paraId="248C46E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Sales Organization NTX_SO assigned to Company Code NTX1</w:t>
      </w:r>
    </w:p>
    <w:p w14:paraId="4923F77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Distribution Channel 10 assigned to Sales Organization NTX_SO</w:t>
      </w:r>
    </w:p>
    <w:p w14:paraId="1A655E3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Division 01 assigned to Sales Organization NTX_SO</w:t>
      </w:r>
    </w:p>
    <w:p w14:paraId="76F7FCE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Sales Area created: NTX_SO / 10 / 01 (Primary Sales Area)</w:t>
      </w:r>
    </w:p>
    <w:p w14:paraId="1F80883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Plant NTX_P1 assigned to Company Code NTX1</w:t>
      </w:r>
    </w:p>
    <w:p w14:paraId="7099A28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Shipping Point NTX_SP assigned to Plant NTX_P1</w:t>
      </w:r>
    </w:p>
    <w:p w14:paraId="146F2F8D">
      <w:pPr>
        <w:spacing w:before="80" w:after="80"/>
      </w:pPr>
    </w:p>
    <w:p w14:paraId="6C8E0219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3. Master Data</w:t>
      </w:r>
    </w:p>
    <w:p w14:paraId="4419FBA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Customer Master (T-Code: XD01)</w:t>
      </w:r>
    </w:p>
    <w:p w14:paraId="52D4A9F7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customer master record is the central repository for all information relating to a customer. For NovaTex, three customers were created in the Wholesale segment. The primary customer used in the O2C scenario is:</w:t>
      </w:r>
    </w:p>
    <w:p w14:paraId="080879F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31DB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B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5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DC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703F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1F9C">
            <w:r>
              <w:rPr>
                <w:rFonts w:ascii="Arial" w:hAnsi="Arial" w:eastAsia="Arial" w:cs="Arial"/>
                <w:sz w:val="22"/>
                <w:szCs w:val="22"/>
              </w:rPr>
              <w:t>Customer Number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1DBF">
            <w:r>
              <w:rPr>
                <w:rFonts w:ascii="Arial" w:hAnsi="Arial" w:eastAsia="Arial" w:cs="Arial"/>
                <w:sz w:val="22"/>
                <w:szCs w:val="22"/>
              </w:rPr>
              <w:t>100001</w:t>
            </w:r>
          </w:p>
        </w:tc>
      </w:tr>
      <w:tr w14:paraId="5754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D641">
            <w:r>
              <w:rPr>
                <w:rFonts w:ascii="Arial" w:hAnsi="Arial" w:eastAsia="Arial" w:cs="Arial"/>
                <w:sz w:val="22"/>
                <w:szCs w:val="22"/>
              </w:rPr>
              <w:t>Name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51A7">
            <w:r>
              <w:rPr>
                <w:rFonts w:ascii="Arial" w:hAnsi="Arial" w:eastAsia="Arial" w:cs="Arial"/>
                <w:sz w:val="22"/>
                <w:szCs w:val="22"/>
              </w:rPr>
              <w:t>Fabric Bazaar Ltd.</w:t>
            </w:r>
          </w:p>
        </w:tc>
      </w:tr>
      <w:tr w14:paraId="7B7D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F464">
            <w:r>
              <w:rPr>
                <w:rFonts w:ascii="Arial" w:hAnsi="Arial" w:eastAsia="Arial" w:cs="Arial"/>
                <w:sz w:val="22"/>
                <w:szCs w:val="22"/>
              </w:rPr>
              <w:t>Account Group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F3C9">
            <w:r>
              <w:rPr>
                <w:rFonts w:ascii="Arial" w:hAnsi="Arial" w:eastAsia="Arial" w:cs="Arial"/>
                <w:sz w:val="22"/>
                <w:szCs w:val="22"/>
              </w:rPr>
              <w:t xml:space="preserve">0001 </w:t>
            </w:r>
            <w:r>
              <w:rPr>
                <w:rFonts w:hint="default" w:cs="Arial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Sold-to Party</w:t>
            </w:r>
          </w:p>
        </w:tc>
      </w:tr>
      <w:tr w14:paraId="39E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2057">
            <w:r>
              <w:rPr>
                <w:rFonts w:ascii="Arial" w:hAnsi="Arial" w:eastAsia="Arial" w:cs="Arial"/>
                <w:sz w:val="22"/>
                <w:szCs w:val="22"/>
              </w:rPr>
              <w:t>City / State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ECC1">
            <w:r>
              <w:rPr>
                <w:rFonts w:ascii="Arial" w:hAnsi="Arial" w:eastAsia="Arial" w:cs="Arial"/>
                <w:sz w:val="22"/>
                <w:szCs w:val="22"/>
              </w:rPr>
              <w:t>Cuttack, Odisha</w:t>
            </w:r>
          </w:p>
        </w:tc>
      </w:tr>
      <w:tr w14:paraId="31FB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647F">
            <w:r>
              <w:rPr>
                <w:rFonts w:ascii="Arial" w:hAnsi="Arial" w:eastAsia="Arial" w:cs="Arial"/>
                <w:sz w:val="22"/>
                <w:szCs w:val="22"/>
              </w:rPr>
              <w:t>Payment Terms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504B">
            <w:r>
              <w:rPr>
                <w:rFonts w:ascii="Arial" w:hAnsi="Arial" w:eastAsia="Arial" w:cs="Arial"/>
                <w:sz w:val="22"/>
                <w:szCs w:val="22"/>
              </w:rPr>
              <w:t>ZN30 (Net 30 Days)</w:t>
            </w:r>
          </w:p>
        </w:tc>
      </w:tr>
      <w:tr w14:paraId="4459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BC5F">
            <w:r>
              <w:rPr>
                <w:rFonts w:ascii="Arial" w:hAnsi="Arial" w:eastAsia="Arial" w:cs="Arial"/>
                <w:sz w:val="22"/>
                <w:szCs w:val="22"/>
              </w:rPr>
              <w:t>Incoterms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92E2">
            <w:r>
              <w:rPr>
                <w:rFonts w:ascii="Arial" w:hAnsi="Arial" w:eastAsia="Arial" w:cs="Arial"/>
                <w:sz w:val="22"/>
                <w:szCs w:val="22"/>
              </w:rPr>
              <w:t xml:space="preserve">CIF </w:t>
            </w:r>
            <w:r>
              <w:rPr>
                <w:rFonts w:hint="default" w:cs="Arial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Cuttack</w:t>
            </w:r>
          </w:p>
        </w:tc>
      </w:tr>
      <w:tr w14:paraId="56E9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3B98">
            <w:r>
              <w:rPr>
                <w:rFonts w:ascii="Arial" w:hAnsi="Arial" w:eastAsia="Arial" w:cs="Arial"/>
                <w:sz w:val="22"/>
                <w:szCs w:val="22"/>
              </w:rPr>
              <w:t>Delivery Priority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D851">
            <w:r>
              <w:rPr>
                <w:rFonts w:ascii="Arial" w:hAnsi="Arial" w:eastAsia="Arial" w:cs="Arial"/>
                <w:sz w:val="22"/>
                <w:szCs w:val="22"/>
              </w:rPr>
              <w:t xml:space="preserve">02 </w:t>
            </w:r>
            <w:r>
              <w:rPr>
                <w:rFonts w:hint="default" w:cs="Arial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Normal</w:t>
            </w:r>
          </w:p>
        </w:tc>
      </w:tr>
      <w:tr w14:paraId="367B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D99F">
            <w:r>
              <w:rPr>
                <w:rFonts w:ascii="Arial" w:hAnsi="Arial" w:eastAsia="Arial" w:cs="Arial"/>
                <w:sz w:val="22"/>
                <w:szCs w:val="22"/>
              </w:rPr>
              <w:t>Reconciliation Account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68F2">
            <w:r>
              <w:rPr>
                <w:rFonts w:ascii="Arial" w:hAnsi="Arial" w:eastAsia="Arial" w:cs="Arial"/>
                <w:sz w:val="22"/>
                <w:szCs w:val="22"/>
              </w:rPr>
              <w:t>140000 (Trade Debtors)</w:t>
            </w:r>
          </w:p>
        </w:tc>
      </w:tr>
    </w:tbl>
    <w:p w14:paraId="24FD1E33">
      <w:pPr>
        <w:spacing w:before="80" w:after="80"/>
      </w:pPr>
    </w:p>
    <w:p w14:paraId="3CB1FA0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Material Master (T-Code: MM01)</w:t>
      </w:r>
    </w:p>
    <w:p w14:paraId="64427608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material master contains all data required to manage a material across procurement, production, sales, and accounting. The primary material for this scenario is:</w:t>
      </w:r>
    </w:p>
    <w:p w14:paraId="5943E76F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4B89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64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5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46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7BDB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EB03">
            <w:r>
              <w:rPr>
                <w:rFonts w:ascii="Arial" w:hAnsi="Arial" w:eastAsia="Arial" w:cs="Arial"/>
                <w:sz w:val="22"/>
                <w:szCs w:val="22"/>
              </w:rPr>
              <w:t>Material Number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A261">
            <w:r>
              <w:rPr>
                <w:rFonts w:ascii="Arial" w:hAnsi="Arial" w:eastAsia="Arial" w:cs="Arial"/>
                <w:sz w:val="22"/>
                <w:szCs w:val="22"/>
              </w:rPr>
              <w:t>MAT-CTN-001</w:t>
            </w:r>
          </w:p>
        </w:tc>
      </w:tr>
      <w:tr w14:paraId="2989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609E">
            <w:r>
              <w:rPr>
                <w:rFonts w:ascii="Arial" w:hAnsi="Arial" w:eastAsia="Arial" w:cs="Arial"/>
                <w:sz w:val="22"/>
                <w:szCs w:val="22"/>
              </w:rPr>
              <w:t>Description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5210">
            <w:r>
              <w:rPr>
                <w:rFonts w:ascii="Arial" w:hAnsi="Arial" w:eastAsia="Arial" w:cs="Arial"/>
                <w:sz w:val="22"/>
                <w:szCs w:val="22"/>
              </w:rPr>
              <w:t>Premium Cotton Fabric Roll</w:t>
            </w:r>
          </w:p>
        </w:tc>
      </w:tr>
      <w:tr w14:paraId="7113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D4A5">
            <w:r>
              <w:rPr>
                <w:rFonts w:ascii="Arial" w:hAnsi="Arial" w:eastAsia="Arial" w:cs="Arial"/>
                <w:sz w:val="22"/>
                <w:szCs w:val="22"/>
              </w:rPr>
              <w:t>Material Type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E3BA">
            <w:r>
              <w:rPr>
                <w:rFonts w:ascii="Arial" w:hAnsi="Arial" w:eastAsia="Arial" w:cs="Arial"/>
                <w:sz w:val="22"/>
                <w:szCs w:val="22"/>
              </w:rPr>
              <w:t>FERT (Finished Product)</w:t>
            </w:r>
          </w:p>
        </w:tc>
      </w:tr>
      <w:tr w14:paraId="413CD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5DBC">
            <w:r>
              <w:rPr>
                <w:rFonts w:ascii="Arial" w:hAnsi="Arial" w:eastAsia="Arial" w:cs="Arial"/>
                <w:sz w:val="22"/>
                <w:szCs w:val="22"/>
              </w:rPr>
              <w:t>Base Unit of Measure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0C60">
            <w:r>
              <w:rPr>
                <w:rFonts w:ascii="Arial" w:hAnsi="Arial" w:eastAsia="Arial" w:cs="Arial"/>
                <w:sz w:val="22"/>
                <w:szCs w:val="22"/>
              </w:rPr>
              <w:t>ROL (Roll)</w:t>
            </w:r>
          </w:p>
        </w:tc>
      </w:tr>
      <w:tr w14:paraId="6789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93D0">
            <w:r>
              <w:rPr>
                <w:rFonts w:ascii="Arial" w:hAnsi="Arial" w:eastAsia="Arial" w:cs="Arial"/>
                <w:sz w:val="22"/>
                <w:szCs w:val="22"/>
              </w:rPr>
              <w:t>Item Category Group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436F">
            <w:r>
              <w:rPr>
                <w:rFonts w:ascii="Arial" w:hAnsi="Arial" w:eastAsia="Arial" w:cs="Arial"/>
                <w:sz w:val="22"/>
                <w:szCs w:val="22"/>
              </w:rPr>
              <w:t>NORM (Standard Item)</w:t>
            </w:r>
          </w:p>
        </w:tc>
      </w:tr>
      <w:tr w14:paraId="6236F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ED14">
            <w:r>
              <w:rPr>
                <w:rFonts w:ascii="Arial" w:hAnsi="Arial" w:eastAsia="Arial" w:cs="Arial"/>
                <w:sz w:val="22"/>
                <w:szCs w:val="22"/>
              </w:rPr>
              <w:t>Standard Price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2CC8">
            <w:r>
              <w:rPr>
                <w:rFonts w:ascii="Arial" w:hAnsi="Arial" w:eastAsia="Arial" w:cs="Arial"/>
                <w:sz w:val="22"/>
                <w:szCs w:val="22"/>
              </w:rPr>
              <w:t>INR 5,000 per Roll</w:t>
            </w:r>
          </w:p>
        </w:tc>
      </w:tr>
      <w:tr w14:paraId="78FE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B9AE">
            <w:r>
              <w:rPr>
                <w:rFonts w:ascii="Arial" w:hAnsi="Arial" w:eastAsia="Arial" w:cs="Arial"/>
                <w:sz w:val="22"/>
                <w:szCs w:val="22"/>
              </w:rPr>
              <w:t>Tax Category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3D73">
            <w:r>
              <w:rPr>
                <w:rFonts w:ascii="Arial" w:hAnsi="Arial" w:eastAsia="Arial" w:cs="Arial"/>
                <w:sz w:val="22"/>
                <w:szCs w:val="22"/>
              </w:rPr>
              <w:t>MWST (GST Applicable)</w:t>
            </w:r>
          </w:p>
        </w:tc>
      </w:tr>
      <w:tr w14:paraId="251B5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66F5">
            <w:r>
              <w:rPr>
                <w:rFonts w:ascii="Arial" w:hAnsi="Arial" w:eastAsia="Arial" w:cs="Arial"/>
                <w:sz w:val="22"/>
                <w:szCs w:val="22"/>
              </w:rPr>
              <w:t>MRP Type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5596">
            <w:r>
              <w:rPr>
                <w:rFonts w:ascii="Arial" w:hAnsi="Arial" w:eastAsia="Arial" w:cs="Arial"/>
                <w:sz w:val="22"/>
                <w:szCs w:val="22"/>
              </w:rPr>
              <w:t>PD (MRP)</w:t>
            </w:r>
          </w:p>
        </w:tc>
      </w:tr>
    </w:tbl>
    <w:p w14:paraId="0676D7E0">
      <w:pPr>
        <w:spacing w:before="80" w:after="80"/>
      </w:pPr>
    </w:p>
    <w:p w14:paraId="2625B11A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Pricing Condition Records (T-Code: VK11)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200"/>
        <w:gridCol w:w="2426"/>
      </w:tblGrid>
      <w:tr w14:paraId="4D1A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C6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Condition Type</w:t>
            </w:r>
          </w:p>
        </w:tc>
        <w:tc>
          <w:tcPr>
            <w:tcW w:w="26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9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2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45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24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7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Basis</w:t>
            </w:r>
          </w:p>
        </w:tc>
      </w:tr>
      <w:tr w14:paraId="7531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8ABC">
            <w:r>
              <w:rPr>
                <w:rFonts w:ascii="Arial" w:hAnsi="Arial" w:eastAsia="Arial" w:cs="Arial"/>
                <w:sz w:val="22"/>
                <w:szCs w:val="22"/>
              </w:rPr>
              <w:t>PR00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2502">
            <w:r>
              <w:rPr>
                <w:rFonts w:ascii="Arial" w:hAnsi="Arial" w:eastAsia="Arial" w:cs="Arial"/>
                <w:sz w:val="22"/>
                <w:szCs w:val="22"/>
              </w:rPr>
              <w:t>Base Price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AC66">
            <w:r>
              <w:rPr>
                <w:rFonts w:ascii="Arial" w:hAnsi="Arial" w:eastAsia="Arial" w:cs="Arial"/>
                <w:sz w:val="22"/>
                <w:szCs w:val="22"/>
              </w:rPr>
              <w:t>INR 5,500 / ROL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D323">
            <w:r>
              <w:rPr>
                <w:rFonts w:ascii="Arial" w:hAnsi="Arial" w:eastAsia="Arial" w:cs="Arial"/>
                <w:sz w:val="22"/>
                <w:szCs w:val="22"/>
              </w:rPr>
              <w:t>Customer-Material</w:t>
            </w:r>
          </w:p>
        </w:tc>
      </w:tr>
      <w:tr w14:paraId="754A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BE02">
            <w:r>
              <w:rPr>
                <w:rFonts w:ascii="Arial" w:hAnsi="Arial" w:eastAsia="Arial" w:cs="Arial"/>
                <w:sz w:val="22"/>
                <w:szCs w:val="22"/>
              </w:rPr>
              <w:t>MWST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A37B">
            <w:r>
              <w:rPr>
                <w:rFonts w:ascii="Arial" w:hAnsi="Arial" w:eastAsia="Arial" w:cs="Arial"/>
                <w:sz w:val="22"/>
                <w:szCs w:val="22"/>
              </w:rPr>
              <w:t>GST (Output Tax)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41E5">
            <w:r>
              <w:rPr>
                <w:rFonts w:ascii="Arial" w:hAnsi="Arial" w:eastAsia="Arial" w:cs="Arial"/>
                <w:sz w:val="22"/>
                <w:szCs w:val="22"/>
              </w:rPr>
              <w:t>12%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E2C3">
            <w:r>
              <w:rPr>
                <w:rFonts w:ascii="Arial" w:hAnsi="Arial" w:eastAsia="Arial" w:cs="Arial"/>
                <w:sz w:val="22"/>
                <w:szCs w:val="22"/>
              </w:rPr>
              <w:t>Automatic from Tax code</w:t>
            </w:r>
          </w:p>
        </w:tc>
      </w:tr>
      <w:tr w14:paraId="40C9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6583">
            <w:r>
              <w:rPr>
                <w:rFonts w:ascii="Arial" w:hAnsi="Arial" w:eastAsia="Arial" w:cs="Arial"/>
                <w:sz w:val="22"/>
                <w:szCs w:val="22"/>
              </w:rPr>
              <w:t>KF00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107A">
            <w:r>
              <w:rPr>
                <w:rFonts w:ascii="Arial" w:hAnsi="Arial" w:eastAsia="Arial" w:cs="Arial"/>
                <w:sz w:val="22"/>
                <w:szCs w:val="22"/>
              </w:rPr>
              <w:t>Freight Surcharge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26B9">
            <w:r>
              <w:rPr>
                <w:rFonts w:ascii="Arial" w:hAnsi="Arial" w:eastAsia="Arial" w:cs="Arial"/>
                <w:sz w:val="22"/>
                <w:szCs w:val="22"/>
              </w:rPr>
              <w:t>INR 500 / Order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2B0">
            <w:r>
              <w:rPr>
                <w:rFonts w:ascii="Arial" w:hAnsi="Arial" w:eastAsia="Arial" w:cs="Arial"/>
                <w:sz w:val="22"/>
                <w:szCs w:val="22"/>
              </w:rPr>
              <w:t>Fixed amount</w:t>
            </w:r>
          </w:p>
        </w:tc>
      </w:tr>
    </w:tbl>
    <w:p w14:paraId="14905EA8">
      <w:r>
        <w:br w:type="page"/>
      </w:r>
    </w:p>
    <w:p w14:paraId="4C069574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4. Order-to-Cash Process Execution</w:t>
      </w:r>
    </w:p>
    <w:p w14:paraId="46721256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following section documents the step-by-step execution of the complete O2C cycle for a sample transaction: Fabric Bazaar Ltd. ordering 100 rolls of Premium Cotton Fabric.</w:t>
      </w:r>
    </w:p>
    <w:p w14:paraId="113E3445">
      <w:pPr>
        <w:spacing w:before="80" w:after="80"/>
      </w:pPr>
    </w:p>
    <w:p w14:paraId="0572BFE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Process Flow Diagram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2377"/>
        <w:gridCol w:w="1485"/>
        <w:gridCol w:w="4447"/>
      </w:tblGrid>
      <w:tr w14:paraId="04FB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D1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4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BF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Transaction</w:t>
            </w:r>
          </w:p>
        </w:tc>
        <w:tc>
          <w:tcPr>
            <w:tcW w:w="15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47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45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7C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Document Generated</w:t>
            </w:r>
          </w:p>
        </w:tc>
      </w:tr>
      <w:tr w14:paraId="3C18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BD50"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06B9">
            <w:r>
              <w:rPr>
                <w:rFonts w:ascii="Arial" w:hAnsi="Arial" w:eastAsia="Arial" w:cs="Arial"/>
                <w:sz w:val="22"/>
                <w:szCs w:val="22"/>
              </w:rPr>
              <w:t>Customer Inquiry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B15F">
            <w:r>
              <w:rPr>
                <w:rFonts w:ascii="Arial" w:hAnsi="Arial" w:eastAsia="Arial" w:cs="Arial"/>
                <w:sz w:val="22"/>
                <w:szCs w:val="22"/>
              </w:rPr>
              <w:t>VA11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BC71">
            <w:r>
              <w:rPr>
                <w:rFonts w:ascii="Arial" w:hAnsi="Arial" w:eastAsia="Arial" w:cs="Arial"/>
                <w:sz w:val="22"/>
                <w:szCs w:val="22"/>
              </w:rPr>
              <w:t>Inquiry No: 0000000001</w:t>
            </w:r>
          </w:p>
        </w:tc>
      </w:tr>
      <w:tr w14:paraId="2B2F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4A24"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9313">
            <w:r>
              <w:rPr>
                <w:rFonts w:ascii="Arial" w:hAnsi="Arial" w:eastAsia="Arial" w:cs="Arial"/>
                <w:sz w:val="22"/>
                <w:szCs w:val="22"/>
              </w:rPr>
              <w:t>Sales Quotation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39E">
            <w:r>
              <w:rPr>
                <w:rFonts w:ascii="Arial" w:hAnsi="Arial" w:eastAsia="Arial" w:cs="Arial"/>
                <w:sz w:val="22"/>
                <w:szCs w:val="22"/>
              </w:rPr>
              <w:t>VA21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8C6D">
            <w:r>
              <w:rPr>
                <w:rFonts w:ascii="Arial" w:hAnsi="Arial" w:eastAsia="Arial" w:cs="Arial"/>
                <w:sz w:val="22"/>
                <w:szCs w:val="22"/>
              </w:rPr>
              <w:t>Quotation No: 0000020001</w:t>
            </w:r>
          </w:p>
        </w:tc>
      </w:tr>
      <w:tr w14:paraId="148A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8EF7"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02A8">
            <w:r>
              <w:rPr>
                <w:rFonts w:ascii="Arial" w:hAnsi="Arial" w:eastAsia="Arial" w:cs="Arial"/>
                <w:sz w:val="22"/>
                <w:szCs w:val="22"/>
              </w:rPr>
              <w:t>Sales Order Creation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DE25">
            <w:r>
              <w:rPr>
                <w:rFonts w:ascii="Arial" w:hAnsi="Arial" w:eastAsia="Arial" w:cs="Arial"/>
                <w:sz w:val="22"/>
                <w:szCs w:val="22"/>
              </w:rPr>
              <w:t>VA01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05FB">
            <w:r>
              <w:rPr>
                <w:rFonts w:ascii="Arial" w:hAnsi="Arial" w:eastAsia="Arial" w:cs="Arial"/>
                <w:sz w:val="22"/>
                <w:szCs w:val="22"/>
              </w:rPr>
              <w:t>Sales Order: 0000012345</w:t>
            </w:r>
          </w:p>
        </w:tc>
      </w:tr>
      <w:tr w14:paraId="51FC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6746"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FD8">
            <w:r>
              <w:rPr>
                <w:rFonts w:ascii="Arial" w:hAnsi="Arial" w:eastAsia="Arial" w:cs="Arial"/>
                <w:sz w:val="22"/>
                <w:szCs w:val="22"/>
              </w:rPr>
              <w:t>Outbound Delivery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6AFA">
            <w:r>
              <w:rPr>
                <w:rFonts w:ascii="Arial" w:hAnsi="Arial" w:eastAsia="Arial" w:cs="Arial"/>
                <w:sz w:val="22"/>
                <w:szCs w:val="22"/>
              </w:rPr>
              <w:t>VL01N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324F">
            <w:r>
              <w:rPr>
                <w:rFonts w:ascii="Arial" w:hAnsi="Arial" w:eastAsia="Arial" w:cs="Arial"/>
                <w:sz w:val="22"/>
                <w:szCs w:val="22"/>
              </w:rPr>
              <w:t>Delivery No: 0080001234</w:t>
            </w:r>
          </w:p>
        </w:tc>
      </w:tr>
      <w:tr w14:paraId="7AE7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D5DB"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3741">
            <w:r>
              <w:rPr>
                <w:rFonts w:ascii="Arial" w:hAnsi="Arial" w:eastAsia="Arial" w:cs="Arial"/>
                <w:sz w:val="22"/>
                <w:szCs w:val="22"/>
              </w:rPr>
              <w:t>Post Goods Issue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6B35">
            <w:r>
              <w:rPr>
                <w:rFonts w:ascii="Arial" w:hAnsi="Arial" w:eastAsia="Arial" w:cs="Arial"/>
                <w:sz w:val="22"/>
                <w:szCs w:val="22"/>
              </w:rPr>
              <w:t>VL02N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D73C">
            <w:r>
              <w:rPr>
                <w:rFonts w:ascii="Arial" w:hAnsi="Arial" w:eastAsia="Arial" w:cs="Arial"/>
                <w:sz w:val="22"/>
                <w:szCs w:val="22"/>
              </w:rPr>
              <w:t>Material Doc: 4900001234</w:t>
            </w:r>
          </w:p>
        </w:tc>
      </w:tr>
      <w:tr w14:paraId="0EB3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1347"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2F9E">
            <w:r>
              <w:rPr>
                <w:rFonts w:ascii="Arial" w:hAnsi="Arial" w:eastAsia="Arial" w:cs="Arial"/>
                <w:sz w:val="22"/>
                <w:szCs w:val="22"/>
              </w:rPr>
              <w:t>Billing / Invoice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AFEF">
            <w:r>
              <w:rPr>
                <w:rFonts w:ascii="Arial" w:hAnsi="Arial" w:eastAsia="Arial" w:cs="Arial"/>
                <w:sz w:val="22"/>
                <w:szCs w:val="22"/>
              </w:rPr>
              <w:t>VF01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F343">
            <w:r>
              <w:rPr>
                <w:rFonts w:ascii="Arial" w:hAnsi="Arial" w:eastAsia="Arial" w:cs="Arial"/>
                <w:sz w:val="22"/>
                <w:szCs w:val="22"/>
              </w:rPr>
              <w:t>Billing Doc: 0090001234</w:t>
            </w:r>
          </w:p>
        </w:tc>
      </w:tr>
      <w:tr w14:paraId="79DE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A024"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1F68">
            <w:r>
              <w:rPr>
                <w:rFonts w:ascii="Arial" w:hAnsi="Arial" w:eastAsia="Arial" w:cs="Arial"/>
                <w:sz w:val="22"/>
                <w:szCs w:val="22"/>
              </w:rPr>
              <w:t>Accounting Document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C876">
            <w:r>
              <w:rPr>
                <w:rFonts w:ascii="Arial" w:hAnsi="Arial" w:eastAsia="Arial" w:cs="Arial"/>
                <w:sz w:val="22"/>
                <w:szCs w:val="22"/>
              </w:rPr>
              <w:t>FB03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EF6B">
            <w:r>
              <w:rPr>
                <w:rFonts w:ascii="Arial" w:hAnsi="Arial" w:eastAsia="Arial" w:cs="Arial"/>
                <w:sz w:val="22"/>
                <w:szCs w:val="22"/>
              </w:rPr>
              <w:t>Acc. Doc: 1400001234</w:t>
            </w:r>
          </w:p>
        </w:tc>
      </w:tr>
      <w:tr w14:paraId="06D4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09A8"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6C83">
            <w:r>
              <w:rPr>
                <w:rFonts w:ascii="Arial" w:hAnsi="Arial" w:eastAsia="Arial" w:cs="Arial"/>
                <w:sz w:val="22"/>
                <w:szCs w:val="22"/>
              </w:rPr>
              <w:t>Payment Receipt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6730">
            <w:r>
              <w:rPr>
                <w:rFonts w:ascii="Arial" w:hAnsi="Arial" w:eastAsia="Arial" w:cs="Arial"/>
                <w:sz w:val="22"/>
                <w:szCs w:val="22"/>
              </w:rPr>
              <w:t>F-28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57FE">
            <w:r>
              <w:rPr>
                <w:rFonts w:ascii="Arial" w:hAnsi="Arial" w:eastAsia="Arial" w:cs="Arial"/>
                <w:sz w:val="22"/>
                <w:szCs w:val="22"/>
              </w:rPr>
              <w:t>Clearing Doc: 1500001234</w:t>
            </w:r>
          </w:p>
        </w:tc>
      </w:tr>
    </w:tbl>
    <w:p w14:paraId="1408BB4B">
      <w:pPr>
        <w:spacing w:before="80" w:after="80"/>
      </w:pPr>
    </w:p>
    <w:p w14:paraId="74CC32A5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Sales Order (VA01)</w:t>
      </w:r>
    </w:p>
    <w:p w14:paraId="623DE7F9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sales order is the central document in the O2C cycle. It captures the customer's purchase intent and drives all downstream logistics and billing processes.</w:t>
      </w:r>
    </w:p>
    <w:p w14:paraId="36E0537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Order Type: OR (Standard Order)</w:t>
      </w:r>
    </w:p>
    <w:p w14:paraId="14E2AFC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Sold-to Party: 100001 – Fabric Bazaar Ltd.</w:t>
      </w:r>
    </w:p>
    <w:p w14:paraId="2DAA456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Customer PO: PO-FAB-2026-001 | PO Date: 01.04.2026</w:t>
      </w:r>
    </w:p>
    <w:p w14:paraId="5E75ABE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Material: MAT-CTN-001 | Quantity: 100 ROL</w:t>
      </w:r>
    </w:p>
    <w:p w14:paraId="420A4AC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Pricing: Base Price INR 5,50,000 + GST INR 66,000 = Net INR 6,16,000</w:t>
      </w:r>
    </w:p>
    <w:p w14:paraId="36F5A4C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Requested Delivery Date: 05.05.2026</w:t>
      </w:r>
    </w:p>
    <w:p w14:paraId="63B6FC4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Item Category: TAN (Standard) | Schedule Line: CP (Planned)</w:t>
      </w:r>
    </w:p>
    <w:p w14:paraId="709118C4">
      <w:pPr>
        <w:spacing w:before="80" w:after="80"/>
      </w:pPr>
    </w:p>
    <w:p w14:paraId="76CCD411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Delivery and Goods Issue (VL01N / VL02N)</w:t>
      </w:r>
    </w:p>
    <w:p w14:paraId="1FD6414D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Outbound delivery is created with reference to the sales order. After picking is confirmed, goods issue is posted, which triggers inventory reduction and COGS accounting.</w:t>
      </w:r>
    </w:p>
    <w:p w14:paraId="4FA8277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Delivery Type: LF (Outbound Delivery)</w:t>
      </w:r>
    </w:p>
    <w:p w14:paraId="64EF182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Shipping Point: NTX_SP | Storage Location: 0001</w:t>
      </w:r>
    </w:p>
    <w:p w14:paraId="3582886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Picked Quantity: 100 ROL (full delivery)</w:t>
      </w:r>
    </w:p>
    <w:p w14:paraId="7DC751A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Goods Issue Movement Type: 601</w:t>
      </w:r>
    </w:p>
    <w:p w14:paraId="6C81205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Accounting: Dr. COGS (500100) INR 5,00,000 | Cr. Inventory (300000) INR 5,00,000</w:t>
      </w:r>
    </w:p>
    <w:p w14:paraId="599086E5">
      <w:pPr>
        <w:spacing w:before="80" w:after="80"/>
      </w:pPr>
    </w:p>
    <w:p w14:paraId="1839566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 Billing and FI Integration (VF01)</w:t>
      </w:r>
    </w:p>
    <w:p w14:paraId="36F512F5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billing document (invoice) is created with reference to the delivery. Upon saving, an accounting document is automatically posted in FI, creating a customer open item.</w:t>
      </w:r>
    </w:p>
    <w:p w14:paraId="18299A4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Billing Type: F2 (Standard Invoice)</w:t>
      </w:r>
    </w:p>
    <w:p w14:paraId="4B6901C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Billing Date: 05.05.2026</w:t>
      </w:r>
    </w:p>
    <w:p w14:paraId="3F23E97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Net Amount: INR 5,50,000 | GST: INR 66,000 | Total: INR 6,16,000</w:t>
      </w:r>
    </w:p>
    <w:p w14:paraId="50592DF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Dr. Customer Account (140000): INR 6,16,000</w:t>
      </w:r>
    </w:p>
    <w:p w14:paraId="6B4C0F3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Cr. Revenue Account (500000): INR 5,50,000</w:t>
      </w:r>
    </w:p>
    <w:p w14:paraId="71EF4E3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Cr. GST Payable (175000): INR 66,000</w:t>
      </w:r>
    </w:p>
    <w:p w14:paraId="1AAE0C88">
      <w:pPr>
        <w:spacing w:before="80" w:after="80"/>
      </w:pPr>
    </w:p>
    <w:p w14:paraId="7D22750F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4.5  Payment Processing (F-28)</w:t>
      </w:r>
    </w:p>
    <w:p w14:paraId="408997C3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When Fabric Bazaar Ltd. remits payment, the incoming payment is posted in FI, clearing the open customer item and completing the O2C cycle.</w:t>
      </w:r>
    </w:p>
    <w:p w14:paraId="22E6562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Payment Amount: INR 6,16,000</w:t>
      </w:r>
    </w:p>
    <w:p w14:paraId="5B01B75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Payment Method: NEFT Bank Transfer</w:t>
      </w:r>
    </w:p>
    <w:p w14:paraId="50AEFBF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Bank Account Debited: 113000 (HDFC Current Account)</w:t>
      </w:r>
    </w:p>
    <w:p w14:paraId="02E3AE2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Customer Open Item Cleared: Billing Doc 0090001234</w:t>
      </w:r>
    </w:p>
    <w:p w14:paraId="3C20737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Customer Balance: Zero (cycle fully complete)</w:t>
      </w:r>
    </w:p>
    <w:p w14:paraId="6D7AA3E7">
      <w:r>
        <w:br w:type="page"/>
      </w:r>
    </w:p>
    <w:p w14:paraId="3A52684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5. Module Integration &amp; Key Outcomes</w:t>
      </w:r>
    </w:p>
    <w:p w14:paraId="65EFA8C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SD-MM-FI Integration Summary</w:t>
      </w:r>
    </w:p>
    <w:p w14:paraId="498F2B4C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O2C process demonstrates tight integration across three SAP modules. Each key event in the SD process triggers corresponding updates in MM and FI:</w:t>
      </w:r>
    </w:p>
    <w:p w14:paraId="0D059DB9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3826"/>
      </w:tblGrid>
      <w:tr w14:paraId="427C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23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SD Event</w:t>
            </w:r>
          </w:p>
        </w:tc>
        <w:tc>
          <w:tcPr>
            <w:tcW w:w="2600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EA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MM Impact</w:t>
            </w:r>
          </w:p>
        </w:tc>
        <w:tc>
          <w:tcPr>
            <w:tcW w:w="3826" w:type="dxa"/>
            <w:tcBorders>
              <w:top w:val="single" w:color="1F5C99" w:sz="0" w:space="0"/>
              <w:left w:val="single" w:color="1F5C99" w:sz="0" w:space="0"/>
              <w:bottom w:val="single" w:color="1F5C99" w:sz="0" w:space="0"/>
              <w:right w:val="single" w:color="1F5C99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BB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 Impact</w:t>
            </w:r>
          </w:p>
        </w:tc>
      </w:tr>
      <w:tr w14:paraId="4BC5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3525">
            <w:r>
              <w:rPr>
                <w:rFonts w:ascii="Arial" w:hAnsi="Arial" w:eastAsia="Arial" w:cs="Arial"/>
                <w:sz w:val="22"/>
                <w:szCs w:val="22"/>
              </w:rPr>
              <w:t>Sales Order Created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D105">
            <w:r>
              <w:rPr>
                <w:rFonts w:ascii="Arial" w:hAnsi="Arial" w:eastAsia="Arial" w:cs="Arial"/>
                <w:sz w:val="22"/>
                <w:szCs w:val="22"/>
              </w:rPr>
              <w:t>Availability check against stock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D724">
            <w:r>
              <w:rPr>
                <w:rFonts w:ascii="Arial" w:hAnsi="Arial" w:eastAsia="Arial" w:cs="Arial"/>
                <w:sz w:val="22"/>
                <w:szCs w:val="22"/>
              </w:rPr>
              <w:t>Credit check against AR</w:t>
            </w:r>
          </w:p>
        </w:tc>
      </w:tr>
      <w:tr w14:paraId="066B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8557">
            <w:r>
              <w:rPr>
                <w:rFonts w:ascii="Arial" w:hAnsi="Arial" w:eastAsia="Arial" w:cs="Arial"/>
                <w:sz w:val="22"/>
                <w:szCs w:val="22"/>
              </w:rPr>
              <w:t>Goods Issue Posted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1254">
            <w:r>
              <w:rPr>
                <w:rFonts w:ascii="Arial" w:hAnsi="Arial" w:eastAsia="Arial" w:cs="Arial"/>
                <w:sz w:val="22"/>
                <w:szCs w:val="22"/>
              </w:rPr>
              <w:t>Stock reduced by 100 ROL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27DE">
            <w:r>
              <w:rPr>
                <w:rFonts w:ascii="Arial" w:hAnsi="Arial" w:eastAsia="Arial" w:cs="Arial"/>
                <w:sz w:val="22"/>
                <w:szCs w:val="22"/>
              </w:rPr>
              <w:t>COGS Dr / Inventory Cr</w:t>
            </w:r>
          </w:p>
        </w:tc>
      </w:tr>
      <w:tr w14:paraId="485F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4E8A">
            <w:r>
              <w:rPr>
                <w:rFonts w:ascii="Arial" w:hAnsi="Arial" w:eastAsia="Arial" w:cs="Arial"/>
                <w:sz w:val="22"/>
                <w:szCs w:val="22"/>
              </w:rPr>
              <w:t>Billing Document Saved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1883">
            <w:r>
              <w:rPr>
                <w:rFonts w:ascii="Arial" w:hAnsi="Arial" w:eastAsia="Arial" w:cs="Arial"/>
                <w:sz w:val="22"/>
                <w:szCs w:val="22"/>
              </w:rPr>
              <w:t>No MM impact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84CF">
            <w:r>
              <w:rPr>
                <w:rFonts w:ascii="Arial" w:hAnsi="Arial" w:eastAsia="Arial" w:cs="Arial"/>
                <w:sz w:val="22"/>
                <w:szCs w:val="22"/>
              </w:rPr>
              <w:t>Customer Dr / Revenue Cr / GST Cr</w:t>
            </w:r>
          </w:p>
        </w:tc>
      </w:tr>
      <w:tr w14:paraId="1C96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4A19">
            <w:r>
              <w:rPr>
                <w:rFonts w:ascii="Arial" w:hAnsi="Arial" w:eastAsia="Arial" w:cs="Arial"/>
                <w:sz w:val="22"/>
                <w:szCs w:val="22"/>
              </w:rPr>
              <w:t>Payment Posted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B919">
            <w:r>
              <w:rPr>
                <w:rFonts w:ascii="Arial" w:hAnsi="Arial" w:eastAsia="Arial" w:cs="Arial"/>
                <w:sz w:val="22"/>
                <w:szCs w:val="22"/>
              </w:rPr>
              <w:t>No MM impact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1985">
            <w:r>
              <w:rPr>
                <w:rFonts w:ascii="Arial" w:hAnsi="Arial" w:eastAsia="Arial" w:cs="Arial"/>
                <w:sz w:val="22"/>
                <w:szCs w:val="22"/>
              </w:rPr>
              <w:t>Bank Dr / Customer Cr (cleared)</w:t>
            </w:r>
          </w:p>
        </w:tc>
      </w:tr>
    </w:tbl>
    <w:p w14:paraId="555A46C7">
      <w:pPr>
        <w:spacing w:before="80" w:after="80"/>
      </w:pPr>
    </w:p>
    <w:p w14:paraId="6FA9D8A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Document Flow Verification</w:t>
      </w:r>
    </w:p>
    <w:p w14:paraId="2246C431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After completing all steps, the document flow (Environment &gt; Document Flow in VA03) confirms a fully linked chain:</w:t>
      </w:r>
    </w:p>
    <w:p w14:paraId="1A60786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Sales Order 0000012345 — Status: Completed</w:t>
      </w:r>
    </w:p>
    <w:p w14:paraId="5C5446A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Delivery 0080001234 — Status: Goods Issued</w:t>
      </w:r>
    </w:p>
    <w:p w14:paraId="6204810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Material Document 4900001234 — Posted</w:t>
      </w:r>
    </w:p>
    <w:p w14:paraId="1BAC381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Billing Document 0090001234 — Status: Cleared</w:t>
      </w:r>
    </w:p>
    <w:p w14:paraId="6DAF597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Accounting Document 1400001234 — Cleared</w:t>
      </w:r>
    </w:p>
    <w:p w14:paraId="22A6F185">
      <w:pPr>
        <w:spacing w:before="80" w:after="80"/>
      </w:pPr>
    </w:p>
    <w:p w14:paraId="7BE548EC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Key Learnings</w:t>
      </w:r>
    </w:p>
    <w:p w14:paraId="2E83A2D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SAP SD enterprise structure design directly impacts all downstream transactions — correct assignments are foundational</w:t>
      </w:r>
    </w:p>
    <w:p w14:paraId="618626C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The condition technique enables flexible pricing with up to 999 condition types chained in a pricing procedure</w:t>
      </w:r>
    </w:p>
    <w:p w14:paraId="1671BFA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Goods Issue is the critical SD-MM integration point — it reduces stock and initiates COGS posting simultaneously</w:t>
      </w:r>
    </w:p>
    <w:p w14:paraId="19F5DC9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Billing in SAP SD is not just invoicing — it is the trigger for automatic financial accounting entry creation</w:t>
      </w:r>
    </w:p>
    <w:p w14:paraId="77C35C5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Payment in F-28 closes the loop by clearing customer open items, making AR reconciliation seamless</w:t>
      </w:r>
    </w:p>
    <w:p w14:paraId="4CDBAF1B">
      <w:pPr>
        <w:spacing w:before="80" w:after="80"/>
      </w:pPr>
    </w:p>
    <w:p w14:paraId="550B34B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5C99"/>
          <w:sz w:val="30"/>
          <w:szCs w:val="30"/>
        </w:rPr>
        <w:t>6. Unique Features &amp; Future Improvements</w:t>
      </w:r>
    </w:p>
    <w:p w14:paraId="7FDFA61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Unique Aspects of This Project</w:t>
      </w:r>
    </w:p>
    <w:p w14:paraId="5F51274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Designed around a realistic Indian textile company scenario with GST-compliant pricing</w:t>
      </w:r>
    </w:p>
    <w:p w14:paraId="26D34AF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Covers all 8 sub-steps of O2C including the often-overlooked Inquiry and Quotation phases</w:t>
      </w:r>
    </w:p>
    <w:p w14:paraId="7392C95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Includes complete accounting entries at each integration point, bridging SD and FI understanding</w:t>
      </w:r>
    </w:p>
    <w:p w14:paraId="246093B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Fictitious master data designed for reusability and easy demo in SAP trial systems</w:t>
      </w:r>
    </w:p>
    <w:p w14:paraId="2B4454EE">
      <w:pPr>
        <w:spacing w:before="80" w:after="80"/>
      </w:pPr>
    </w:p>
    <w:p w14:paraId="3C4E5A83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Future Improvements</w:t>
      </w:r>
    </w:p>
    <w:p w14:paraId="3EB8A25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Implement SAP Credit Management (FD32) with automatic credit holds on sales orders</w:t>
      </w:r>
    </w:p>
    <w:p w14:paraId="1E4DBCB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Configure Returns Order (RE) and Credit Memo (G2) process for complaint handling</w:t>
      </w:r>
    </w:p>
    <w:p w14:paraId="700815A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Add Intercompany Sales scenario between two company codes</w:t>
      </w:r>
    </w:p>
    <w:p w14:paraId="50E41A1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Integrate SAP Business Partner (BP) transaction replacing legacy XD01</w:t>
      </w:r>
    </w:p>
    <w:p w14:paraId="0CDC0E3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4"/>
          <w:szCs w:val="24"/>
        </w:rPr>
        <w:t>Extend to SAP S/4HANA Fiori apps for a modern UX demonstration</w:t>
      </w:r>
    </w:p>
    <w:p w14:paraId="259DE534">
      <w:pPr>
        <w:spacing w:before="80" w:after="80"/>
      </w:pPr>
    </w:p>
    <w:p w14:paraId="0EA97A4B">
      <w:pPr>
        <w:pBdr>
          <w:top w:val="single" w:color="1F5C99" w:sz="4" w:space="1"/>
        </w:pBdr>
        <w:spacing w:before="400" w:after="100"/>
        <w:jc w:val="center"/>
      </w:pPr>
      <w:r>
        <w:rPr>
          <w:rFonts w:ascii="Arial" w:hAnsi="Arial" w:eastAsia="Arial" w:cs="Arial"/>
          <w:b/>
          <w:bCs/>
          <w:i/>
          <w:iCs/>
          <w:color w:val="888888"/>
          <w:sz w:val="22"/>
          <w:szCs w:val="22"/>
        </w:rPr>
        <w:t>End of Project Documentation</w:t>
      </w:r>
    </w:p>
    <w:p w14:paraId="7DB03D05">
      <w:pPr>
        <w:jc w:val="center"/>
        <w:rPr>
          <w:rFonts w:hint="default" w:cs="Arial"/>
          <w:b/>
          <w:bCs/>
          <w:i/>
          <w:iCs/>
          <w:color w:val="AAAAAA"/>
          <w:sz w:val="20"/>
          <w:szCs w:val="20"/>
          <w:lang w:val="en-US"/>
        </w:rPr>
      </w:pP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 xml:space="preserve">Submitted by: </w:t>
      </w:r>
      <w:r>
        <w:rPr>
          <w:rFonts w:hint="default" w:cs="Arial"/>
          <w:b/>
          <w:bCs/>
          <w:i/>
          <w:iCs/>
          <w:color w:val="AAAAAA"/>
          <w:sz w:val="20"/>
          <w:szCs w:val="20"/>
          <w:lang w:val="en-US"/>
        </w:rPr>
        <w:t>ARMITA PATRO</w:t>
      </w:r>
    </w:p>
    <w:p w14:paraId="0A4F80AD">
      <w:pPr>
        <w:jc w:val="center"/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>Roll No:</w:t>
      </w:r>
      <w:r>
        <w:rPr>
          <w:rFonts w:hint="default" w:cs="Arial"/>
          <w:b/>
          <w:bCs/>
          <w:i/>
          <w:iCs/>
          <w:color w:val="AAAAAA"/>
          <w:sz w:val="20"/>
          <w:szCs w:val="20"/>
          <w:lang w:val="en-US"/>
        </w:rPr>
        <w:t>23051737</w:t>
      </w: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 xml:space="preserve"> </w:t>
      </w:r>
    </w:p>
    <w:p w14:paraId="1716B06F">
      <w:pPr>
        <w:jc w:val="center"/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 xml:space="preserve">KIIT SAP </w:t>
      </w:r>
      <w:r>
        <w:rPr>
          <w:rFonts w:hint="default" w:cs="Arial"/>
          <w:b/>
          <w:bCs/>
          <w:i/>
          <w:iCs/>
          <w:color w:val="AAAAAA"/>
          <w:sz w:val="20"/>
          <w:szCs w:val="20"/>
          <w:lang w:val="en-US"/>
        </w:rPr>
        <w:t xml:space="preserve">BTP </w:t>
      </w: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 xml:space="preserve">Program </w:t>
      </w:r>
    </w:p>
    <w:p w14:paraId="1510CE1F">
      <w:pPr>
        <w:jc w:val="center"/>
        <w:rPr>
          <w:b/>
          <w:bCs/>
        </w:rPr>
      </w:pPr>
      <w:r>
        <w:rPr>
          <w:rFonts w:ascii="Arial" w:hAnsi="Arial" w:eastAsia="Arial" w:cs="Arial"/>
          <w:b/>
          <w:bCs/>
          <w:i/>
          <w:iCs/>
          <w:color w:val="AAAAAA"/>
          <w:sz w:val="20"/>
          <w:szCs w:val="20"/>
        </w:rPr>
        <w:t xml:space="preserve"> April 2026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982FF">
    <w:pPr>
      <w:jc w:val="right"/>
    </w:pPr>
    <w:r>
      <w:rPr>
        <w:rFonts w:ascii="Arial" w:hAnsi="Arial" w:eastAsia="Arial" w:cs="Arial"/>
        <w:color w:val="888888"/>
        <w:sz w:val="20"/>
        <w:szCs w:val="20"/>
      </w:rPr>
      <w:t xml:space="preserve">NovaTex Industries </w:t>
    </w:r>
    <w:r>
      <w:rPr>
        <w:rFonts w:hint="default" w:cs="Arial"/>
        <w:color w:val="888888"/>
        <w:sz w:val="20"/>
        <w:szCs w:val="20"/>
        <w:lang w:val="en-US"/>
      </w:rPr>
      <w:t>-</w:t>
    </w:r>
    <w:r>
      <w:rPr>
        <w:rFonts w:ascii="Arial" w:hAnsi="Arial" w:eastAsia="Arial" w:cs="Arial"/>
        <w:color w:val="888888"/>
        <w:sz w:val="20"/>
        <w:szCs w:val="20"/>
      </w:rPr>
      <w:t xml:space="preserve"> SAP O2C Capstone  |  Page </w:t>
    </w:r>
    <w:r>
      <w:rPr>
        <w:rFonts w:ascii="Arial" w:hAnsi="Arial" w:eastAsia="Arial" w:cs="Arial"/>
        <w:color w:val="888888"/>
        <w:sz w:val="20"/>
        <w:szCs w:val="20"/>
      </w:rPr>
      <w:fldChar w:fldCharType="begin"/>
    </w:r>
    <w:r>
      <w:rPr>
        <w:rFonts w:ascii="Arial" w:hAnsi="Arial" w:eastAsia="Arial" w:cs="Arial"/>
        <w:color w:val="888888"/>
        <w:sz w:val="20"/>
        <w:szCs w:val="20"/>
      </w:rPr>
      <w:instrText xml:space="preserve">PAGE</w:instrText>
    </w:r>
    <w:r>
      <w:rPr>
        <w:rFonts w:ascii="Arial" w:hAnsi="Arial" w:eastAsia="Arial" w:cs="Arial"/>
        <w:color w:val="888888"/>
        <w:sz w:val="20"/>
        <w:szCs w:val="20"/>
      </w:rPr>
      <w:fldChar w:fldCharType="separate"/>
    </w:r>
    <w:r>
      <w:rPr>
        <w:rFonts w:ascii="Arial" w:hAnsi="Arial" w:eastAsia="Arial" w:cs="Arial"/>
        <w:color w:val="888888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480D3A"/>
    <w:rsid w:val="41695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link w:val="20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F5C99"/>
      <w:sz w:val="30"/>
      <w:szCs w:val="30"/>
    </w:rPr>
  </w:style>
  <w:style w:type="paragraph" w:styleId="3">
    <w:name w:val="heading 2"/>
    <w:next w:val="1"/>
    <w:link w:val="2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Heading 1 Char"/>
    <w:link w:val="2"/>
    <w:uiPriority w:val="0"/>
    <w:rPr>
      <w:rFonts w:ascii="Arial" w:hAnsi="Arial" w:eastAsia="Arial" w:cs="Arial"/>
      <w:b/>
      <w:bCs/>
      <w:color w:val="1F5C99"/>
      <w:sz w:val="30"/>
      <w:szCs w:val="30"/>
    </w:rPr>
  </w:style>
  <w:style w:type="character" w:customStyle="1" w:styleId="21">
    <w:name w:val="Heading 2 Char"/>
    <w:link w:val="3"/>
    <w:uiPriority w:val="0"/>
    <w:rPr>
      <w:rFonts w:ascii="Arial" w:hAnsi="Arial" w:eastAsia="Arial" w:cs="Arial"/>
      <w:b/>
      <w:bCs/>
      <w:color w:val="2E75B6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2026-04-20T18:47:00Z</dcterms:created>
  <dc:creator>Un-named</dc:creator>
  <cp:lastModifiedBy>ARMITA PATRO</cp:lastModifiedBy>
  <dcterms:modified xsi:type="dcterms:W3CDTF">2026-04-20T18:58:57Z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90E6C631842947998E2B18E2928C9D78_13</vt:lpwstr>
  </property>
</Properties>
</file>