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6654CD8B" w:rsidR="00B030D7" w:rsidRDefault="00B030D7" w:rsidP="00B030D7">
      <w:pPr>
        <w:pStyle w:val="keywords"/>
      </w:pPr>
      <w:r>
        <w:rPr>
          <w:b/>
          <w:bCs/>
        </w:rPr>
        <w:t>Keywords:</w:t>
      </w:r>
      <w:r>
        <w:t xml:space="preserve"> </w:t>
      </w:r>
      <w:r w:rsidR="00714499">
        <w:t>Knowledge Integration</w:t>
      </w:r>
      <w:r>
        <w:t xml:space="preserve">, </w:t>
      </w:r>
      <w:r w:rsidR="00A12D85">
        <w:t>Onboarding</w:t>
      </w:r>
      <w:r>
        <w:t xml:space="preserve">, </w:t>
      </w:r>
      <w:r w:rsidR="00FB461E">
        <w:t xml:space="preserve">Project </w:t>
      </w:r>
      <w:r w:rsidR="00714499">
        <w:t>Planning</w:t>
      </w:r>
    </w:p>
    <w:p w14:paraId="679329D3" w14:textId="0CEF0FD9" w:rsidR="00B030D7" w:rsidRDefault="00FF74F9" w:rsidP="00B030D7">
      <w:pPr>
        <w:pStyle w:val="heading1"/>
        <w:numPr>
          <w:ilvl w:val="0"/>
          <w:numId w:val="2"/>
        </w:numPr>
      </w:pPr>
      <w:r>
        <w:t>Introduction</w:t>
      </w:r>
    </w:p>
    <w:p w14:paraId="1500C6D5" w14:textId="6EC0D5EC" w:rsidR="00FF74F9" w:rsidRDefault="00FF74F9" w:rsidP="00FF74F9">
      <w:pPr>
        <w:pStyle w:val="Heading3"/>
      </w:pPr>
      <w:r>
        <w:t xml:space="preserve">We’re going to delve into the challenges and nuances of onboarding individuals into project teams. The focus is on the onboarding experiences of practitioners joining project teams, which is crucial for newcomers to integrate into the organization effectively. </w:t>
      </w:r>
    </w:p>
    <w:p w14:paraId="676C1F05" w14:textId="668976E5" w:rsidR="00FF74F9" w:rsidRDefault="00FF74F9" w:rsidP="00FF74F9">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3E5D79D3" w14:textId="7EF1B70F" w:rsidR="00FF74F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We will be introducing some myths about rapid onboarding and a new approach to this problem.</w:t>
      </w:r>
      <w:r w:rsidR="008D142B">
        <w:t xml:space="preserve"> </w:t>
      </w:r>
    </w:p>
    <w:p w14:paraId="27E6DD31" w14:textId="04C47F3E" w:rsidR="0062148B"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5B1B54A7" w14:textId="063EAE85" w:rsidR="00004F85" w:rsidRDefault="00004F85" w:rsidP="0062148B">
      <w:pPr>
        <w:spacing w:before="120"/>
        <w:ind w:firstLine="0"/>
        <w:rPr>
          <w:rFonts w:asciiTheme="majorBidi" w:hAnsiTheme="majorBidi" w:cstheme="majorBidi"/>
          <w:color w:val="0F0F0F"/>
        </w:rPr>
      </w:pPr>
    </w:p>
    <w:p w14:paraId="7FD3FF73" w14:textId="77777777" w:rsidR="00004F85" w:rsidRDefault="00004F85" w:rsidP="0062148B">
      <w:pPr>
        <w:spacing w:before="120"/>
        <w:ind w:firstLine="0"/>
        <w:rPr>
          <w:rFonts w:asciiTheme="majorBidi" w:hAnsiTheme="majorBidi" w:cstheme="majorBidi"/>
          <w:color w:val="0F0F0F"/>
        </w:rPr>
      </w:pPr>
    </w:p>
    <w:p w14:paraId="15D0DBE6" w14:textId="77777777" w:rsidR="00004F85" w:rsidRDefault="00004F85" w:rsidP="0062148B">
      <w:pPr>
        <w:spacing w:before="120"/>
        <w:ind w:firstLine="0"/>
        <w:rPr>
          <w:rFonts w:asciiTheme="majorBidi" w:hAnsiTheme="majorBidi" w:cstheme="majorBidi"/>
          <w:color w:val="0F0F0F"/>
        </w:rPr>
      </w:pPr>
    </w:p>
    <w:p w14:paraId="34B63CA4" w14:textId="77777777" w:rsidR="00004F85" w:rsidRDefault="00004F85" w:rsidP="0062148B">
      <w:pPr>
        <w:spacing w:before="120"/>
        <w:ind w:firstLine="0"/>
        <w:rPr>
          <w:rFonts w:asciiTheme="majorBidi" w:hAnsiTheme="majorBidi" w:cstheme="majorBidi"/>
          <w:color w:val="0F0F0F"/>
        </w:rPr>
      </w:pPr>
    </w:p>
    <w:p w14:paraId="356D24C1" w14:textId="77777777" w:rsidR="00004F85" w:rsidRDefault="00004F85" w:rsidP="0062148B">
      <w:pPr>
        <w:spacing w:before="120"/>
        <w:ind w:firstLine="0"/>
        <w:rPr>
          <w:rFonts w:asciiTheme="majorBidi" w:hAnsiTheme="majorBidi" w:cstheme="majorBidi"/>
          <w:color w:val="0F0F0F"/>
        </w:rPr>
      </w:pPr>
    </w:p>
    <w:p w14:paraId="3708681A" w14:textId="67811D66" w:rsidR="003B1B2F" w:rsidRPr="00FE4E10" w:rsidRDefault="003B1B2F" w:rsidP="003B1B2F">
      <w:pPr>
        <w:spacing w:before="120"/>
        <w:ind w:firstLine="0"/>
        <w:rPr>
          <w:rFonts w:asciiTheme="majorBidi" w:hAnsiTheme="majorBidi" w:cstheme="majorBidi"/>
          <w:color w:val="0F0F0F"/>
        </w:rPr>
      </w:pPr>
    </w:p>
    <w:p w14:paraId="117D8561" w14:textId="0747E814" w:rsidR="009170B3" w:rsidRDefault="0062148B" w:rsidP="009170B3">
      <w:pPr>
        <w:pStyle w:val="heading1"/>
        <w:numPr>
          <w:ilvl w:val="0"/>
          <w:numId w:val="2"/>
        </w:numPr>
      </w:pPr>
      <w:r>
        <w:lastRenderedPageBreak/>
        <w:t>Challenges</w:t>
      </w:r>
    </w:p>
    <w:p w14:paraId="497A1BFB" w14:textId="2BD03BF8" w:rsidR="009170B3" w:rsidRDefault="006262E1" w:rsidP="009170B3">
      <w:pPr>
        <w:pStyle w:val="heading2"/>
        <w:numPr>
          <w:ilvl w:val="1"/>
          <w:numId w:val="2"/>
        </w:numPr>
        <w:rPr>
          <w:bCs/>
          <w:szCs w:val="18"/>
        </w:rPr>
      </w:pPr>
      <w:r>
        <w:rPr>
          <w:bCs/>
          <w:szCs w:val="18"/>
        </w:rPr>
        <w:t>Making Time</w:t>
      </w:r>
    </w:p>
    <w:p w14:paraId="599631BB" w14:textId="1DED296A" w:rsidR="006262E1" w:rsidRDefault="006262E1" w:rsidP="006262E1">
      <w:pPr>
        <w:pStyle w:val="p1a"/>
      </w:pPr>
      <w:r w:rsidRPr="006262E1">
        <w:t>The challenge of time in onboarding underscores the importance of prioritizing interpersonal connections amid competing responsibilities. It necessitates a deliberate effort to allocate time for meaningful interactions and relationship-building during the onboarding process. Meeting and getting to know new team members require a proactive approach, even if it means adjusting existing work commitments. By acknowledging the significance of investing time in these initial connections, organizations can foster a more inclusive and collaborative onboarding experience, contributing to stronger team cohesion and individual satisfaction.</w:t>
      </w:r>
    </w:p>
    <w:p w14:paraId="71FEAAF9" w14:textId="4329FC45" w:rsidR="006262E1" w:rsidRDefault="006262E1" w:rsidP="006262E1">
      <w:pPr>
        <w:pStyle w:val="heading2"/>
        <w:numPr>
          <w:ilvl w:val="1"/>
          <w:numId w:val="2"/>
        </w:numPr>
        <w:rPr>
          <w:bCs/>
          <w:szCs w:val="18"/>
        </w:rPr>
      </w:pPr>
      <w:r>
        <w:rPr>
          <w:bCs/>
          <w:szCs w:val="18"/>
        </w:rPr>
        <w:t xml:space="preserve">Making </w:t>
      </w:r>
      <w:r>
        <w:rPr>
          <w:bCs/>
          <w:szCs w:val="18"/>
        </w:rPr>
        <w:t>Connections</w:t>
      </w:r>
    </w:p>
    <w:p w14:paraId="61BACF39" w14:textId="1C142C5E" w:rsidR="004B130A" w:rsidRDefault="004B130A" w:rsidP="004B130A">
      <w:pPr>
        <w:pStyle w:val="p1a"/>
      </w:pPr>
      <w:r w:rsidRPr="004B130A">
        <w:rPr>
          <w:rFonts w:asciiTheme="majorBidi" w:hAnsiTheme="majorBidi" w:cstheme="majorBidi"/>
          <w:color w:val="0F0F0F"/>
        </w:rPr>
        <w:t xml:space="preserve">The challenge of connection in onboarding emphasizes the need to actively facilitate the integration of new team members into existing dynamics. It involves intentional efforts to foster connections between the newcomer and other team members during meetings and various interactions. Building and maintaining good teamwork </w:t>
      </w:r>
      <w:r>
        <w:rPr>
          <w:rFonts w:asciiTheme="majorBidi" w:hAnsiTheme="majorBidi" w:cstheme="majorBidi"/>
          <w:color w:val="0F0F0F"/>
        </w:rPr>
        <w:t>requires</w:t>
      </w:r>
      <w:r w:rsidRPr="004B130A">
        <w:rPr>
          <w:rFonts w:asciiTheme="majorBidi" w:hAnsiTheme="majorBidi" w:cstheme="majorBidi"/>
          <w:color w:val="0F0F0F"/>
        </w:rPr>
        <w:t xml:space="preserve"> a conscious approach to encourage communication, collaboration, and relationship-building. By proactively working to connect the new person with the team, organizations can enhance the onboarding experience, promoting a sense of belonging and contributing to a positive team culture.</w:t>
      </w:r>
    </w:p>
    <w:p w14:paraId="56ACB238" w14:textId="4E2A0EC2" w:rsidR="004B130A" w:rsidRDefault="004B130A" w:rsidP="004B130A">
      <w:pPr>
        <w:pStyle w:val="heading2"/>
        <w:numPr>
          <w:ilvl w:val="1"/>
          <w:numId w:val="2"/>
        </w:numPr>
        <w:rPr>
          <w:bCs/>
          <w:szCs w:val="18"/>
        </w:rPr>
      </w:pPr>
      <w:r>
        <w:rPr>
          <w:bCs/>
          <w:szCs w:val="18"/>
        </w:rPr>
        <w:t>Delegating Responsibilities</w:t>
      </w:r>
    </w:p>
    <w:p w14:paraId="4EBF506C" w14:textId="2BE069CD" w:rsidR="004B130A" w:rsidRDefault="004B130A" w:rsidP="004B130A">
      <w:pPr>
        <w:pStyle w:val="p1a"/>
      </w:pPr>
      <w:r w:rsidRPr="004B130A">
        <w:rPr>
          <w:rFonts w:asciiTheme="majorBidi" w:hAnsiTheme="majorBidi" w:cstheme="majorBidi"/>
          <w:color w:val="0F0F0F"/>
        </w:rPr>
        <w:t>The challenge of delegation in onboarding necessitates a strategic approach to integrate new team members efficiently. When faced with the loss of a key contributor, it is crucial to assess which responsibilities can be swiftly transitioned to the new person. Identifying tasks that may require more time for the newcomer to handle allows for a proactive delegation plan. Additionally, determining alternative team members who can temporarily assume specific responsibilities ensures a smooth workflow and optimal utilization of available talent. Adapting plans to accommodate the strengths and development areas of the new team member contributes to effective onboarding and maintains productivity in the face of personnel changes.</w:t>
      </w:r>
    </w:p>
    <w:p w14:paraId="1C7D2EE1" w14:textId="797643C9" w:rsidR="004B130A" w:rsidRDefault="004B130A" w:rsidP="004B130A">
      <w:pPr>
        <w:pStyle w:val="heading2"/>
        <w:numPr>
          <w:ilvl w:val="1"/>
          <w:numId w:val="2"/>
        </w:numPr>
        <w:rPr>
          <w:bCs/>
          <w:szCs w:val="18"/>
        </w:rPr>
      </w:pPr>
      <w:r>
        <w:rPr>
          <w:bCs/>
          <w:szCs w:val="18"/>
        </w:rPr>
        <w:t>Budgeting</w:t>
      </w:r>
    </w:p>
    <w:p w14:paraId="2B67E813" w14:textId="453FA7DC" w:rsidR="004B130A" w:rsidRDefault="004B130A" w:rsidP="004B130A">
      <w:pPr>
        <w:pStyle w:val="p1a"/>
      </w:pPr>
      <w:r w:rsidRPr="004B130A">
        <w:rPr>
          <w:rFonts w:asciiTheme="majorBidi" w:hAnsiTheme="majorBidi" w:cstheme="majorBidi"/>
          <w:color w:val="0F0F0F"/>
        </w:rPr>
        <w:t>Effectively addressing the challenge of budgeting in onboarding requires foresight and strategic planning. When formulating onboarding plans, it is essential to incorporate a sufficient budget reserve to contend with potential costs associated with staff turnover. Staff turnover can impose unexpected financial burdens, and having a dedicated budgetary allocation for such scenarios is a proactive measure to mitigate risks. By factoring in this reserve, organizations can enhance their preparedness, ensuring that financial resources are readily available to manage transitions and maintain the continuity of onboarding initiatives in the face of unforeseen personnel changes. This approach contributes to a more resilient and adaptable onboarding strategy that aligns with the dynamic nature of workforce dynamics and organizational needs.</w:t>
      </w:r>
    </w:p>
    <w:p w14:paraId="4C3EE9A8" w14:textId="57E27854" w:rsidR="004B130A" w:rsidRDefault="004B130A" w:rsidP="004B130A">
      <w:pPr>
        <w:pStyle w:val="heading2"/>
        <w:numPr>
          <w:ilvl w:val="1"/>
          <w:numId w:val="2"/>
        </w:numPr>
        <w:rPr>
          <w:bCs/>
          <w:szCs w:val="18"/>
        </w:rPr>
      </w:pPr>
      <w:r>
        <w:rPr>
          <w:bCs/>
          <w:szCs w:val="18"/>
        </w:rPr>
        <w:t xml:space="preserve">Losing a Key </w:t>
      </w:r>
      <w:r w:rsidR="00004F85">
        <w:rPr>
          <w:bCs/>
          <w:szCs w:val="18"/>
        </w:rPr>
        <w:t>Contributor</w:t>
      </w:r>
    </w:p>
    <w:p w14:paraId="151A595B" w14:textId="2E937D59" w:rsidR="0062148B" w:rsidRDefault="00004F85" w:rsidP="00FE4E10">
      <w:pPr>
        <w:spacing w:before="120"/>
        <w:ind w:firstLine="0"/>
        <w:rPr>
          <w:rFonts w:asciiTheme="majorBidi" w:hAnsiTheme="majorBidi" w:cstheme="majorBidi"/>
          <w:color w:val="0F0F0F"/>
        </w:rPr>
      </w:pPr>
      <w:r w:rsidRPr="00004F85">
        <w:rPr>
          <w:rFonts w:asciiTheme="majorBidi" w:hAnsiTheme="majorBidi" w:cstheme="majorBidi"/>
          <w:color w:val="0F0F0F"/>
        </w:rPr>
        <w:t>The challenge of losing a key contributor in onboarding necessitates a proactive approach to ensure a smooth transition for the new person. It involves a comprehensive understanding of the missing team member's assignments, necessary skills, and other critical factors that contribute to project success. For team members with specialized skills, this exercise becomes particularly crucial, emphasizing the need for a contingency plan. Identifying specific points in the project where the loss of a critical contributor would be most detrimental allows for strategic planning. Developing a contingency plan outlines the necessary steps to navigate through any potential loss of key personnel, ensuring that the onboarding process remains resilient and capable of addressing unforeseen challenges.</w:t>
      </w:r>
    </w:p>
    <w:p w14:paraId="4C7D382A" w14:textId="3D0581E5" w:rsidR="004B130A" w:rsidRDefault="004B130A" w:rsidP="00FE4E10">
      <w:pPr>
        <w:spacing w:before="120"/>
        <w:ind w:firstLine="0"/>
        <w:rPr>
          <w:rFonts w:asciiTheme="majorBidi" w:hAnsiTheme="majorBidi" w:cstheme="majorBidi"/>
          <w:color w:val="0F0F0F"/>
        </w:rPr>
      </w:pPr>
    </w:p>
    <w:p w14:paraId="03622181" w14:textId="447EF836" w:rsidR="003B1B2F" w:rsidRDefault="003B1B2F" w:rsidP="00FE4E10">
      <w:pPr>
        <w:spacing w:before="120"/>
        <w:ind w:firstLine="0"/>
        <w:rPr>
          <w:rFonts w:asciiTheme="majorBidi" w:hAnsiTheme="majorBidi" w:cstheme="majorBidi"/>
          <w:color w:val="0F0F0F"/>
        </w:rPr>
      </w:pPr>
      <w:r>
        <w:rPr>
          <w:noProof/>
        </w:rPr>
        <w:lastRenderedPageBreak/>
        <mc:AlternateContent>
          <mc:Choice Requires="wps">
            <w:drawing>
              <wp:anchor distT="0" distB="0" distL="114300" distR="114300" simplePos="0" relativeHeight="251669504" behindDoc="0" locked="0" layoutInCell="1" allowOverlap="1" wp14:anchorId="2AE2F840" wp14:editId="711041FE">
                <wp:simplePos x="0" y="0"/>
                <wp:positionH relativeFrom="column">
                  <wp:posOffset>1929022</wp:posOffset>
                </wp:positionH>
                <wp:positionV relativeFrom="paragraph">
                  <wp:posOffset>251</wp:posOffset>
                </wp:positionV>
                <wp:extent cx="1949450" cy="207010"/>
                <wp:effectExtent l="0" t="0" r="0" b="2540"/>
                <wp:wrapSquare wrapText="bothSides"/>
                <wp:docPr id="288836246" name="Text Box 1"/>
                <wp:cNvGraphicFramePr/>
                <a:graphic xmlns:a="http://schemas.openxmlformats.org/drawingml/2006/main">
                  <a:graphicData uri="http://schemas.microsoft.com/office/word/2010/wordprocessingShape">
                    <wps:wsp>
                      <wps:cNvSpPr txBox="1"/>
                      <wps:spPr>
                        <a:xfrm>
                          <a:off x="0" y="0"/>
                          <a:ext cx="1949450" cy="207010"/>
                        </a:xfrm>
                        <a:prstGeom prst="rect">
                          <a:avLst/>
                        </a:prstGeom>
                        <a:solidFill>
                          <a:prstClr val="white"/>
                        </a:solidFill>
                        <a:ln>
                          <a:noFill/>
                        </a:ln>
                      </wps:spPr>
                      <wps:txbx>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2F840" id="_x0000_t202" coordsize="21600,21600" o:spt="202" path="m,l,21600r21600,l21600,xe">
                <v:stroke joinstyle="miter"/>
                <v:path gradientshapeok="t" o:connecttype="rect"/>
              </v:shapetype>
              <v:shape id="Text Box 1" o:spid="_x0000_s1026" type="#_x0000_t202" style="position:absolute;left:0;text-align:left;margin-left:151.9pt;margin-top:0;width:153.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" stroked="f">
                <v:textbox inset="0,0,0,0">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v:textbox>
                <w10:wrap type="square"/>
              </v:shape>
            </w:pict>
          </mc:Fallback>
        </mc:AlternateContent>
      </w:r>
    </w:p>
    <w:p w14:paraId="19B0E6CC" w14:textId="492B7DF1" w:rsidR="003B1B2F" w:rsidRDefault="003B1B2F" w:rsidP="00FE4E10">
      <w:pPr>
        <w:spacing w:before="120"/>
        <w:ind w:firstLine="0"/>
        <w:rPr>
          <w:rFonts w:asciiTheme="majorBidi" w:hAnsiTheme="majorBidi" w:cstheme="majorBidi"/>
          <w:color w:val="0F0F0F"/>
        </w:rPr>
      </w:pPr>
      <w:r>
        <w:rPr>
          <w:rFonts w:asciiTheme="majorBidi" w:hAnsiTheme="majorBidi" w:cstheme="majorBidi"/>
          <w:noProof/>
          <w:color w:val="0F0F0F"/>
          <w14:ligatures w14:val="standardContextual"/>
        </w:rPr>
        <w:drawing>
          <wp:anchor distT="0" distB="0" distL="114300" distR="114300" simplePos="0" relativeHeight="251667456" behindDoc="0" locked="0" layoutInCell="1" allowOverlap="1" wp14:anchorId="7CE21CFD" wp14:editId="51372E9D">
            <wp:simplePos x="0" y="0"/>
            <wp:positionH relativeFrom="column">
              <wp:posOffset>974341</wp:posOffset>
            </wp:positionH>
            <wp:positionV relativeFrom="paragraph">
              <wp:posOffset>54610</wp:posOffset>
            </wp:positionV>
            <wp:extent cx="4079875" cy="2092325"/>
            <wp:effectExtent l="0" t="0" r="0" b="3175"/>
            <wp:wrapSquare wrapText="bothSides"/>
            <wp:docPr id="101787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8982" name="Picture 1017878982"/>
                    <pic:cNvPicPr/>
                  </pic:nvPicPr>
                  <pic:blipFill>
                    <a:blip r:embed="rId7">
                      <a:extLst>
                        <a:ext uri="{28A0092B-C50C-407E-A947-70E740481C1C}">
                          <a14:useLocalDpi xmlns:a14="http://schemas.microsoft.com/office/drawing/2010/main" val="0"/>
                        </a:ext>
                      </a:extLst>
                    </a:blip>
                    <a:stretch>
                      <a:fillRect/>
                    </a:stretch>
                  </pic:blipFill>
                  <pic:spPr>
                    <a:xfrm>
                      <a:off x="0" y="0"/>
                      <a:ext cx="4079875" cy="2092325"/>
                    </a:xfrm>
                    <a:prstGeom prst="rect">
                      <a:avLst/>
                    </a:prstGeom>
                  </pic:spPr>
                </pic:pic>
              </a:graphicData>
            </a:graphic>
            <wp14:sizeRelH relativeFrom="margin">
              <wp14:pctWidth>0</wp14:pctWidth>
            </wp14:sizeRelH>
            <wp14:sizeRelV relativeFrom="margin">
              <wp14:pctHeight>0</wp14:pctHeight>
            </wp14:sizeRelV>
          </wp:anchor>
        </w:drawing>
      </w:r>
    </w:p>
    <w:p w14:paraId="4A71FD9F" w14:textId="0FB5D333" w:rsidR="003B1B2F" w:rsidRDefault="003B1B2F" w:rsidP="00FE4E10">
      <w:pPr>
        <w:spacing w:before="120"/>
        <w:ind w:firstLine="0"/>
        <w:rPr>
          <w:rFonts w:asciiTheme="majorBidi" w:hAnsiTheme="majorBidi" w:cstheme="majorBidi"/>
          <w:color w:val="0F0F0F"/>
        </w:rPr>
      </w:pPr>
    </w:p>
    <w:p w14:paraId="4A64417A" w14:textId="77777777" w:rsidR="003B1B2F" w:rsidRDefault="003B1B2F" w:rsidP="00FE4E10">
      <w:pPr>
        <w:spacing w:before="120"/>
        <w:ind w:firstLine="0"/>
        <w:rPr>
          <w:rFonts w:asciiTheme="majorBidi" w:hAnsiTheme="majorBidi" w:cstheme="majorBidi"/>
          <w:color w:val="0F0F0F"/>
        </w:rPr>
      </w:pPr>
    </w:p>
    <w:p w14:paraId="7E003223" w14:textId="2927A5E1" w:rsidR="003B1B2F" w:rsidRDefault="003B1B2F" w:rsidP="00FE4E10">
      <w:pPr>
        <w:spacing w:before="120"/>
        <w:ind w:firstLine="0"/>
        <w:rPr>
          <w:rFonts w:asciiTheme="majorBidi" w:hAnsiTheme="majorBidi" w:cstheme="majorBidi"/>
          <w:color w:val="0F0F0F"/>
        </w:rPr>
      </w:pPr>
    </w:p>
    <w:p w14:paraId="03A08FE2" w14:textId="77777777" w:rsidR="003B1B2F" w:rsidRDefault="003B1B2F" w:rsidP="00FE4E10">
      <w:pPr>
        <w:spacing w:before="120"/>
        <w:ind w:firstLine="0"/>
        <w:rPr>
          <w:rFonts w:asciiTheme="majorBidi" w:hAnsiTheme="majorBidi" w:cstheme="majorBidi"/>
          <w:color w:val="0F0F0F"/>
        </w:rPr>
      </w:pPr>
    </w:p>
    <w:p w14:paraId="1433F487" w14:textId="77777777" w:rsidR="003B1B2F" w:rsidRDefault="003B1B2F" w:rsidP="00FE4E10">
      <w:pPr>
        <w:spacing w:before="120"/>
        <w:ind w:firstLine="0"/>
        <w:rPr>
          <w:rFonts w:asciiTheme="majorBidi" w:hAnsiTheme="majorBidi" w:cstheme="majorBidi"/>
          <w:color w:val="0F0F0F"/>
        </w:rPr>
      </w:pPr>
    </w:p>
    <w:p w14:paraId="552E0376" w14:textId="77777777" w:rsidR="003B1B2F" w:rsidRDefault="003B1B2F" w:rsidP="00FE4E10">
      <w:pPr>
        <w:spacing w:before="120"/>
        <w:ind w:firstLine="0"/>
        <w:rPr>
          <w:rFonts w:asciiTheme="majorBidi" w:hAnsiTheme="majorBidi" w:cstheme="majorBidi"/>
          <w:color w:val="0F0F0F"/>
        </w:rPr>
      </w:pPr>
    </w:p>
    <w:p w14:paraId="12DAFF09" w14:textId="77777777" w:rsidR="003B1B2F" w:rsidRDefault="003B1B2F" w:rsidP="00FE4E10">
      <w:pPr>
        <w:spacing w:before="120"/>
        <w:ind w:firstLine="0"/>
        <w:rPr>
          <w:rFonts w:asciiTheme="majorBidi" w:hAnsiTheme="majorBidi" w:cstheme="majorBidi"/>
          <w:color w:val="0F0F0F"/>
        </w:rPr>
      </w:pPr>
    </w:p>
    <w:p w14:paraId="41161182" w14:textId="77777777" w:rsidR="003B1B2F" w:rsidRDefault="003B1B2F" w:rsidP="00FE4E10">
      <w:pPr>
        <w:spacing w:before="120"/>
        <w:ind w:firstLine="0"/>
        <w:rPr>
          <w:rFonts w:asciiTheme="majorBidi" w:hAnsiTheme="majorBidi" w:cstheme="majorBidi"/>
          <w:color w:val="0F0F0F"/>
        </w:rPr>
      </w:pPr>
    </w:p>
    <w:p w14:paraId="328C50F1" w14:textId="47F97C89" w:rsidR="00004F85" w:rsidRDefault="00004F85" w:rsidP="00FE4E10">
      <w:pPr>
        <w:spacing w:before="120"/>
        <w:ind w:firstLine="0"/>
        <w:rPr>
          <w:rFonts w:asciiTheme="majorBidi" w:hAnsiTheme="majorBidi" w:cstheme="majorBidi"/>
          <w:color w:val="0F0F0F"/>
        </w:rPr>
      </w:pPr>
    </w:p>
    <w:p w14:paraId="34413AC4" w14:textId="08751F06" w:rsidR="005E45BC" w:rsidRPr="00FE4E10" w:rsidRDefault="005E45BC" w:rsidP="00FE4E10">
      <w:pPr>
        <w:spacing w:before="120"/>
        <w:ind w:firstLine="0"/>
        <w:rPr>
          <w:rFonts w:asciiTheme="majorBidi" w:hAnsiTheme="majorBidi" w:cstheme="majorBidi"/>
          <w:color w:val="0F0F0F"/>
        </w:rPr>
      </w:pPr>
      <w:r w:rsidRPr="005E45BC">
        <w:rPr>
          <w:rFonts w:asciiTheme="majorBidi" w:hAnsiTheme="majorBidi" w:cstheme="majorBidi"/>
          <w:color w:val="0F0F0F"/>
        </w:rPr>
        <w:t>Navigating the challenges in onboarding involves addressing various aspects, including time management, fostering connections, effective delegation, and budgeting considerations. Allocating time to meet and understand new team members, ensuring strong connections within the team, delegating responsibilities thoughtfully, and incorporating budgetary reserves for staff turnover are integral components. Additionally, preparing for the possibility of losing a key contributor requires a strategic contingency plan. As we delve into the next models, it becomes evident that a nuanced understanding of these challenges is crucial for developing effective onboarding strategies. The upcoming models promise to shed light on intricate dynamics, providing insights and frameworks essential for overcoming these challenges and optimizing the onboarding process.</w:t>
      </w:r>
    </w:p>
    <w:p w14:paraId="1B7FA53B" w14:textId="7E7BD084" w:rsidR="00FE4E10" w:rsidRDefault="00FE4E10" w:rsidP="00FE4E10">
      <w:pPr>
        <w:pStyle w:val="heading1"/>
        <w:numPr>
          <w:ilvl w:val="0"/>
          <w:numId w:val="2"/>
        </w:numPr>
      </w:pPr>
      <w:r>
        <w:t>Method</w:t>
      </w:r>
      <w:r w:rsidR="002D3067">
        <w:t>s</w:t>
      </w:r>
    </w:p>
    <w:p w14:paraId="1B4C5655" w14:textId="484E9274" w:rsidR="00FE4E10" w:rsidRPr="00FE4E10" w:rsidRDefault="00FE4E10" w:rsidP="00FE4E10">
      <w:pPr>
        <w:pStyle w:val="heading2"/>
        <w:numPr>
          <w:ilvl w:val="1"/>
          <w:numId w:val="2"/>
        </w:numPr>
        <w:rPr>
          <w:bCs/>
          <w:szCs w:val="18"/>
        </w:rPr>
      </w:pPr>
      <w:r w:rsidRPr="00FE4E10">
        <w:rPr>
          <w:bCs/>
          <w:szCs w:val="18"/>
        </w:rPr>
        <w:t>Bauer’s Model</w:t>
      </w:r>
    </w:p>
    <w:p w14:paraId="5AD9E7F1" w14:textId="1F09B832" w:rsidR="00356E81"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Bauer's model</w:t>
      </w:r>
      <w:r w:rsidR="005E45BC">
        <w:t xml:space="preserve"> was </w:t>
      </w:r>
      <w:proofErr w:type="gramStart"/>
      <w:r w:rsidR="005E45BC">
        <w:t>chose</w:t>
      </w:r>
      <w:proofErr w:type="gramEnd"/>
      <w:r w:rsidRPr="00FE4E10">
        <w:t xml:space="preserve"> for </w:t>
      </w:r>
      <w:r w:rsidR="005E45BC">
        <w:t>the</w:t>
      </w:r>
      <w:r w:rsidRPr="00FE4E10">
        <w:t xml:space="preserve"> analysis</w:t>
      </w:r>
      <w:r>
        <w:t xml:space="preserve"> </w:t>
      </w:r>
      <w:r w:rsidRPr="00FE4E10">
        <w:t xml:space="preserve">because it is based on real-world data, widely recognized, and hasn't been applied directly to onboarding in agile software development teams. </w:t>
      </w:r>
    </w:p>
    <w:p w14:paraId="44D8C323" w14:textId="2E989372" w:rsidR="005E45BC" w:rsidRDefault="005E45BC" w:rsidP="00C66713">
      <w:pPr>
        <w:spacing w:before="120"/>
        <w:ind w:firstLine="0"/>
        <w:rPr>
          <w:rFonts w:asciiTheme="majorBidi" w:hAnsiTheme="majorBidi" w:cstheme="majorBidi"/>
          <w:color w:val="0F0F0F"/>
        </w:rPr>
      </w:pPr>
      <w:r w:rsidRPr="005E45BC">
        <w:rPr>
          <w:rFonts w:asciiTheme="majorBidi" w:hAnsiTheme="majorBidi" w:cstheme="majorBidi"/>
          <w:color w:val="0F0F0F"/>
        </w:rPr>
        <w:t>In the organization's recruitment process, a formal and standardized approach is employed for all staff, varying slightly based on the type of position. Long-term recruitment strategies involve hiring students and apprentices who later transition to full-time roles, reducing the onboarding effort for permanent staff. During recruitment, identifying newcomers' knowledge gaps, especially regarding agile approaches, allows tailored support. The orientation process includes comprehensive information packs, fostering socialization, and emphasizing the agile methodology. Support tools, like information radiators and communication tools, aid collaboration, while coaching and mentoring, exemplified through pair programming, ceremonies, and role modeling, contribute to effective onboarding. Training emphasizes immersion and self-study, with feedback mechanisms, such as one-to-ones, code reviews, testing, retrospectives, and sprint reviews, playing a crucial role. Overall, a holistic approach combining recruitment strategies, orientation practices, support tools, training, and feedback mechanisms ensures a robust onboarding process.</w:t>
      </w:r>
    </w:p>
    <w:p w14:paraId="7046E726" w14:textId="7E380C86" w:rsidR="005E45BC" w:rsidRPr="005E45BC" w:rsidRDefault="005E45BC" w:rsidP="00C66713">
      <w:pPr>
        <w:spacing w:before="120"/>
        <w:ind w:firstLine="0"/>
        <w:rPr>
          <w:rFonts w:asciiTheme="majorBidi" w:hAnsiTheme="majorBidi" w:cstheme="majorBidi"/>
        </w:rPr>
      </w:pPr>
      <w:r>
        <w:rPr>
          <w:rFonts w:asciiTheme="majorBidi" w:hAnsiTheme="majorBidi" w:cstheme="majorBidi"/>
          <w:color w:val="0F0F0F"/>
        </w:rPr>
        <w:t>Bauer’s method focuses on onboarding new employees in the workplace, but these practices can be translated into integrating new employees into projects and bringing them up to speed.</w:t>
      </w:r>
    </w:p>
    <w:p w14:paraId="0F3CE67D" w14:textId="1456BD0E" w:rsidR="00FE4E10" w:rsidRDefault="00C169E4" w:rsidP="00FE4E10">
      <w:pPr>
        <w:ind w:firstLine="0"/>
      </w:pPr>
      <w:bookmarkStart w:id="0" w:name="_Ref467509391"/>
      <w:r>
        <w:rPr>
          <w:rFonts w:asciiTheme="majorBidi" w:hAnsiTheme="majorBidi" w:cstheme="majorBidi"/>
          <w:noProof/>
          <w14:ligatures w14:val="standardContextual"/>
        </w:rPr>
        <w:lastRenderedPageBreak/>
        <w:drawing>
          <wp:anchor distT="0" distB="0" distL="114300" distR="114300" simplePos="0" relativeHeight="251659264" behindDoc="0" locked="0" layoutInCell="1" allowOverlap="1" wp14:anchorId="304254FE" wp14:editId="261D6A9B">
            <wp:simplePos x="0" y="0"/>
            <wp:positionH relativeFrom="column">
              <wp:posOffset>3174089</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8">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5C7629B3" wp14:editId="29922739">
            <wp:simplePos x="0" y="0"/>
            <wp:positionH relativeFrom="column">
              <wp:posOffset>-733593</wp:posOffset>
            </wp:positionH>
            <wp:positionV relativeFrom="paragraph">
              <wp:posOffset>269240</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9">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713">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1182" id="_x0000_s1027"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sidR="00C66713">
        <w:rPr>
          <w:noProof/>
        </w:rPr>
        <mc:AlternateContent>
          <mc:Choice Requires="wps">
            <w:drawing>
              <wp:anchor distT="0" distB="0" distL="114300" distR="114300" simplePos="0" relativeHeight="251661312" behindDoc="0" locked="0" layoutInCell="1" allowOverlap="1" wp14:anchorId="52AF8F39" wp14:editId="3DB0E87B">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8"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p>
    <w:p w14:paraId="0FBB5B98" w14:textId="56757EFB" w:rsidR="00C95F26" w:rsidRDefault="00C95F26" w:rsidP="00C95F26">
      <w:pPr>
        <w:ind w:firstLine="0"/>
      </w:pPr>
    </w:p>
    <w:p w14:paraId="6D1C1F66" w14:textId="52B8C89B"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77A299B5" w14:textId="1CCE3084" w:rsidR="002D3067" w:rsidRPr="007C7DC5" w:rsidRDefault="00BF08D4" w:rsidP="00BF08D4">
      <w:pPr>
        <w:tabs>
          <w:tab w:val="left" w:pos="1087"/>
        </w:tabs>
        <w:ind w:firstLine="0"/>
        <w:rPr>
          <w:rFonts w:asciiTheme="majorBidi" w:hAnsiTheme="majorBidi" w:cstheme="majorBidi"/>
        </w:rPr>
      </w:pPr>
      <w:r>
        <w:t>T</w:t>
      </w:r>
      <w:r w:rsidRPr="00BF08D4">
        <w:t>he proposed model distinguishes between instances of interacting, where individuals engage face-to-face, and instances of acting, where individuals work independently. Project meetings primarily served for routine communication of project goals and parametric input, denoted as "experience" sharing, lacking extensive discussion or knowledge exchange. However, these meetings were crucial for participants to align their efforts and occasionally address unexpected challenges through ad hoc problem-solving. The right side of the model illustrates how participants contribute individually to task achievement based on their understanding of others' roles and their representation of the collective task. This dual process forms an iterative cycle wherein interaction provides grounding for individual contributions and, reciprocally, individual actions shape the overall system. The model depicts project work as an iterative interplay between interaction and action</w:t>
      </w:r>
      <w:r w:rsidR="007C7DC5">
        <w:t>.</w:t>
      </w:r>
      <w:r w:rsidRPr="00BF08D4">
        <w:t xml:space="preserve"> This object enables </w:t>
      </w:r>
      <w:r w:rsidR="007C7DC5">
        <w:t xml:space="preserve">a </w:t>
      </w:r>
      <w:r w:rsidRPr="00BF08D4">
        <w:t>dynamic interplay between individualized knowledge and explicitly articulated social knowledge, showcasing the intricate dynamics of project wor</w:t>
      </w:r>
      <w:r w:rsidR="007C7DC5">
        <w:t>k</w:t>
      </w:r>
      <w:r w:rsidRPr="00BF08D4">
        <w:t>.</w:t>
      </w:r>
      <w:r w:rsidR="007C7DC5">
        <w:t xml:space="preserve"> To create this method, a study was conducted. In this </w:t>
      </w:r>
      <w:r w:rsidR="007C7DC5" w:rsidRPr="007C7DC5">
        <w:rPr>
          <w:rFonts w:asciiTheme="majorBidi" w:hAnsiTheme="majorBidi" w:cstheme="majorBidi"/>
        </w:rPr>
        <w:t>study</w:t>
      </w:r>
      <w:r w:rsidR="007C7DC5">
        <w:rPr>
          <w:rFonts w:asciiTheme="majorBidi" w:hAnsiTheme="majorBidi" w:cstheme="majorBidi"/>
        </w:rPr>
        <w:t>,</w:t>
      </w:r>
      <w:r w:rsidR="007C7DC5" w:rsidRPr="007C7DC5">
        <w:rPr>
          <w:rFonts w:asciiTheme="majorBidi" w:hAnsiTheme="majorBidi" w:cstheme="majorBidi"/>
        </w:rPr>
        <w:t xml:space="preserve"> </w:t>
      </w:r>
      <w:r w:rsidR="007C7DC5" w:rsidRPr="007C7DC5">
        <w:rPr>
          <w:rFonts w:asciiTheme="majorBidi" w:hAnsiTheme="majorBidi" w:cstheme="majorBidi"/>
          <w:color w:val="0F0F0F"/>
        </w:rPr>
        <w:t>t</w:t>
      </w:r>
      <w:r w:rsidR="007C7DC5" w:rsidRPr="007C7DC5">
        <w:rPr>
          <w:rFonts w:asciiTheme="majorBidi" w:hAnsiTheme="majorBidi" w:cstheme="majorBidi"/>
          <w:color w:val="0F0F0F"/>
        </w:rPr>
        <w:t>he focus was on identifying the character of project work, member interactions, and the significance of individual work, goals, and knowledge sharing. The resulting case story was compared to existing theories, refined through additional observations and discussions, and validated through feedback from project members and top managers.</w:t>
      </w:r>
    </w:p>
    <w:p w14:paraId="6DBCD87D" w14:textId="34CA36DA" w:rsidR="00C66713" w:rsidRDefault="00C66713" w:rsidP="00C66713"/>
    <w:p w14:paraId="68A95A17" w14:textId="6AD0B7B2" w:rsidR="00C66713" w:rsidRDefault="007C7DC5" w:rsidP="00C66713">
      <w:r>
        <w:rPr>
          <w:rFonts w:asciiTheme="majorBidi" w:hAnsiTheme="majorBidi" w:cstheme="majorBidi"/>
          <w:noProof/>
          <w14:ligatures w14:val="standardContextual"/>
        </w:rPr>
        <w:lastRenderedPageBreak/>
        <w:drawing>
          <wp:anchor distT="0" distB="0" distL="114300" distR="114300" simplePos="0" relativeHeight="251664384" behindDoc="0" locked="0" layoutInCell="1" allowOverlap="1" wp14:anchorId="1BDC3786" wp14:editId="7D2DD3A6">
            <wp:simplePos x="0" y="0"/>
            <wp:positionH relativeFrom="column">
              <wp:posOffset>1232463</wp:posOffset>
            </wp:positionH>
            <wp:positionV relativeFrom="paragraph">
              <wp:posOffset>120015</wp:posOffset>
            </wp:positionV>
            <wp:extent cx="3157220" cy="1520190"/>
            <wp:effectExtent l="0" t="0" r="5080" b="3810"/>
            <wp:wrapSquare wrapText="bothSides"/>
            <wp:docPr id="23404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8306" name="Picture 234048306"/>
                    <pic:cNvPicPr/>
                  </pic:nvPicPr>
                  <pic:blipFill>
                    <a:blip r:embed="rId10">
                      <a:extLst>
                        <a:ext uri="{28A0092B-C50C-407E-A947-70E740481C1C}">
                          <a14:useLocalDpi xmlns:a14="http://schemas.microsoft.com/office/drawing/2010/main" val="0"/>
                        </a:ext>
                      </a:extLst>
                    </a:blip>
                    <a:stretch>
                      <a:fillRect/>
                    </a:stretch>
                  </pic:blipFill>
                  <pic:spPr>
                    <a:xfrm>
                      <a:off x="0" y="0"/>
                      <a:ext cx="3157220" cy="152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F06EE9" wp14:editId="2D3D976B">
                <wp:simplePos x="0" y="0"/>
                <wp:positionH relativeFrom="column">
                  <wp:posOffset>1983920</wp:posOffset>
                </wp:positionH>
                <wp:positionV relativeFrom="paragraph">
                  <wp:posOffset>0</wp:posOffset>
                </wp:positionV>
                <wp:extent cx="1699260" cy="224155"/>
                <wp:effectExtent l="0" t="0" r="0" b="4445"/>
                <wp:wrapSquare wrapText="bothSides"/>
                <wp:docPr id="1738937791" name="Text Box 1"/>
                <wp:cNvGraphicFramePr/>
                <a:graphic xmlns:a="http://schemas.openxmlformats.org/drawingml/2006/main">
                  <a:graphicData uri="http://schemas.microsoft.com/office/word/2010/wordprocessingShape">
                    <wps:wsp>
                      <wps:cNvSpPr txBox="1"/>
                      <wps:spPr>
                        <a:xfrm>
                          <a:off x="0" y="0"/>
                          <a:ext cx="1699260" cy="224155"/>
                        </a:xfrm>
                        <a:prstGeom prst="rect">
                          <a:avLst/>
                        </a:prstGeom>
                        <a:solidFill>
                          <a:prstClr val="white"/>
                        </a:solidFill>
                        <a:ln>
                          <a:noFill/>
                        </a:ln>
                      </wps:spPr>
                      <wps:txbx>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6EE9" id="_x0000_s1029" type="#_x0000_t202" style="position:absolute;left:0;text-align:left;margin-left:156.2pt;margin-top:0;width:133.8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" stroked="f">
                <v:textbox inset="0,0,0,0">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v:textbox>
                <w10:wrap type="square"/>
              </v:shape>
            </w:pict>
          </mc:Fallback>
        </mc:AlternateContent>
      </w:r>
    </w:p>
    <w:p w14:paraId="383E23F2" w14:textId="1FC40830" w:rsidR="00C66713" w:rsidRDefault="00C66713" w:rsidP="00C66713"/>
    <w:p w14:paraId="6874A9E0" w14:textId="78E64AEF" w:rsidR="00C66713" w:rsidRDefault="0062148B" w:rsidP="0062148B">
      <w:pPr>
        <w:tabs>
          <w:tab w:val="left" w:pos="1644"/>
        </w:tabs>
      </w:pPr>
      <w:r>
        <w:tab/>
      </w:r>
    </w:p>
    <w:p w14:paraId="1BDB0C84" w14:textId="50017A44" w:rsidR="00C66713" w:rsidRDefault="00C66713" w:rsidP="00C66713"/>
    <w:p w14:paraId="5388A2AF" w14:textId="77777777"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69C13F11" w14:textId="77777777" w:rsidR="007C7DC5" w:rsidRDefault="007C7DC5" w:rsidP="00C66713"/>
    <w:p w14:paraId="70A4B1FD" w14:textId="77777777" w:rsidR="007C7DC5" w:rsidRDefault="007C7DC5" w:rsidP="00C66713"/>
    <w:p w14:paraId="220BC813" w14:textId="45A80FE3" w:rsidR="007C7DC5" w:rsidRDefault="007C7DC5" w:rsidP="00C66713"/>
    <w:p w14:paraId="3F3359F9" w14:textId="113E8647" w:rsidR="00C66713" w:rsidRDefault="00C66713" w:rsidP="00C66713">
      <w:pPr>
        <w:ind w:firstLine="0"/>
        <w:rPr>
          <w:b/>
        </w:rPr>
      </w:pPr>
    </w:p>
    <w:p w14:paraId="5B575204" w14:textId="77777777" w:rsidR="00C66713" w:rsidRDefault="00C66713" w:rsidP="00C66713">
      <w:pPr>
        <w:ind w:firstLine="0"/>
        <w:rPr>
          <w:b/>
        </w:rPr>
      </w:pPr>
    </w:p>
    <w:p w14:paraId="2840EA0D" w14:textId="5ED8B38E" w:rsidR="00C66713" w:rsidRDefault="00C66713" w:rsidP="00C66713"/>
    <w:p w14:paraId="3A6576F5" w14:textId="77777777" w:rsidR="00C66713" w:rsidRDefault="00C66713" w:rsidP="00C66713"/>
    <w:p w14:paraId="232DE7F4" w14:textId="77777777" w:rsidR="00C66713" w:rsidRDefault="00C66713" w:rsidP="00C66713"/>
    <w:p w14:paraId="2A78C2FB" w14:textId="42E9DA4B" w:rsidR="00C66713" w:rsidRDefault="00C66713" w:rsidP="00C66713"/>
    <w:p w14:paraId="379E8A49" w14:textId="77777777" w:rsidR="00C66713" w:rsidRDefault="00C66713" w:rsidP="00C66713"/>
    <w:p w14:paraId="25377834" w14:textId="3B1F29FE" w:rsidR="00C66713" w:rsidRDefault="00C66713" w:rsidP="00C66713"/>
    <w:p w14:paraId="3334857D" w14:textId="60907EAF" w:rsidR="00C66713" w:rsidRDefault="00C66713" w:rsidP="00C66713"/>
    <w:p w14:paraId="5BDE6E20" w14:textId="2406221D" w:rsidR="00C66713" w:rsidRDefault="00C66713" w:rsidP="00C66713"/>
    <w:p w14:paraId="7DCE1419" w14:textId="71DA8A48" w:rsidR="00C66713" w:rsidRDefault="00C66713" w:rsidP="00C66713"/>
    <w:p w14:paraId="45270D1C" w14:textId="32EEA8E3" w:rsidR="00C66713" w:rsidRDefault="00C66713" w:rsidP="00C66713"/>
    <w:p w14:paraId="4BB330FA" w14:textId="0EB36101" w:rsidR="00C66713" w:rsidRDefault="00C66713" w:rsidP="00C66713"/>
    <w:p w14:paraId="7E820428" w14:textId="77777777" w:rsidR="00C66713" w:rsidRDefault="00C66713" w:rsidP="00C66713"/>
    <w:p w14:paraId="11283853" w14:textId="5E909736" w:rsidR="00C66713" w:rsidRDefault="0006243D" w:rsidP="0006243D">
      <w:pPr>
        <w:tabs>
          <w:tab w:val="left" w:pos="5814"/>
        </w:tabs>
      </w:pPr>
      <w:r>
        <w:tab/>
      </w:r>
    </w:p>
    <w:p w14:paraId="50261563" w14:textId="77777777" w:rsidR="00B030D7" w:rsidRDefault="00B030D7" w:rsidP="005E45BC">
      <w:pPr>
        <w:pStyle w:val="heading1"/>
        <w:numPr>
          <w:ilvl w:val="0"/>
          <w:numId w:val="0"/>
        </w:numPr>
        <w:tabs>
          <w:tab w:val="left" w:pos="720"/>
        </w:tabs>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58844CE" w14:textId="77777777" w:rsidR="00B030D7" w:rsidRDefault="00B030D7" w:rsidP="00B030D7">
      <w:pPr>
        <w:pStyle w:val="referenceitem"/>
        <w:numPr>
          <w:ilvl w:val="0"/>
          <w:numId w:val="4"/>
        </w:numPr>
      </w:pPr>
      <w:r>
        <w:t xml:space="preserve">LNCS Homepage, </w:t>
      </w:r>
      <w:hyperlink r:id="rId11" w:history="1">
        <w:r>
          <w:rPr>
            <w:rStyle w:val="Hyperlink"/>
          </w:rPr>
          <w:t>http://www.springer.com/lncs</w:t>
        </w:r>
      </w:hyperlink>
      <w:r>
        <w:t xml:space="preserve">, last accessed </w:t>
      </w:r>
      <w:proofErr w:type="gramStart"/>
      <w:r>
        <w:t>2023/10/25</w:t>
      </w:r>
      <w:proofErr w:type="gramEnd"/>
    </w:p>
    <w:p w14:paraId="400ABF31" w14:textId="77777777" w:rsidR="005A5391" w:rsidRDefault="005A5391"/>
    <w:sectPr w:rsidR="005A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8617" w14:textId="77777777" w:rsidR="00665C9E" w:rsidRDefault="00665C9E" w:rsidP="00B030D7">
      <w:pPr>
        <w:spacing w:line="240" w:lineRule="auto"/>
      </w:pPr>
      <w:r>
        <w:separator/>
      </w:r>
    </w:p>
  </w:endnote>
  <w:endnote w:type="continuationSeparator" w:id="0">
    <w:p w14:paraId="12C8801A" w14:textId="77777777" w:rsidR="00665C9E" w:rsidRDefault="00665C9E"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6CDE" w14:textId="77777777" w:rsidR="00665C9E" w:rsidRDefault="00665C9E" w:rsidP="00B030D7">
      <w:pPr>
        <w:spacing w:line="240" w:lineRule="auto"/>
      </w:pPr>
      <w:r>
        <w:separator/>
      </w:r>
    </w:p>
  </w:footnote>
  <w:footnote w:type="continuationSeparator" w:id="0">
    <w:p w14:paraId="2F0ED782" w14:textId="77777777" w:rsidR="00665C9E" w:rsidRDefault="00665C9E" w:rsidP="00B03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04F85"/>
    <w:rsid w:val="0006243D"/>
    <w:rsid w:val="000828E4"/>
    <w:rsid w:val="000F02EF"/>
    <w:rsid w:val="001140DE"/>
    <w:rsid w:val="001307A5"/>
    <w:rsid w:val="00143AB7"/>
    <w:rsid w:val="0014489A"/>
    <w:rsid w:val="001503B0"/>
    <w:rsid w:val="0016277C"/>
    <w:rsid w:val="00194E2D"/>
    <w:rsid w:val="001A7A68"/>
    <w:rsid w:val="001E1F1E"/>
    <w:rsid w:val="00206DCF"/>
    <w:rsid w:val="00264846"/>
    <w:rsid w:val="00276C7F"/>
    <w:rsid w:val="00284EC8"/>
    <w:rsid w:val="002A1BC5"/>
    <w:rsid w:val="002D3067"/>
    <w:rsid w:val="00356E81"/>
    <w:rsid w:val="003620D7"/>
    <w:rsid w:val="003809F8"/>
    <w:rsid w:val="003A1325"/>
    <w:rsid w:val="003B1B2F"/>
    <w:rsid w:val="003E6991"/>
    <w:rsid w:val="004045F4"/>
    <w:rsid w:val="00405ADD"/>
    <w:rsid w:val="00417BFA"/>
    <w:rsid w:val="00483048"/>
    <w:rsid w:val="004B130A"/>
    <w:rsid w:val="004B650C"/>
    <w:rsid w:val="0053651F"/>
    <w:rsid w:val="00553622"/>
    <w:rsid w:val="00572A28"/>
    <w:rsid w:val="00581C65"/>
    <w:rsid w:val="005A5391"/>
    <w:rsid w:val="005E45BC"/>
    <w:rsid w:val="0062148B"/>
    <w:rsid w:val="006262E1"/>
    <w:rsid w:val="006572B0"/>
    <w:rsid w:val="00665C9E"/>
    <w:rsid w:val="006B2299"/>
    <w:rsid w:val="006D30B3"/>
    <w:rsid w:val="006D41BC"/>
    <w:rsid w:val="00714499"/>
    <w:rsid w:val="007A313D"/>
    <w:rsid w:val="007C7DC5"/>
    <w:rsid w:val="00807286"/>
    <w:rsid w:val="008944AD"/>
    <w:rsid w:val="008B42C1"/>
    <w:rsid w:val="008D142B"/>
    <w:rsid w:val="008D782D"/>
    <w:rsid w:val="008F7AFD"/>
    <w:rsid w:val="009170B3"/>
    <w:rsid w:val="00920BA4"/>
    <w:rsid w:val="00925D7D"/>
    <w:rsid w:val="009C7F4E"/>
    <w:rsid w:val="009D2541"/>
    <w:rsid w:val="00A12D85"/>
    <w:rsid w:val="00A15C51"/>
    <w:rsid w:val="00A717FF"/>
    <w:rsid w:val="00AB304A"/>
    <w:rsid w:val="00AC79EB"/>
    <w:rsid w:val="00B02E89"/>
    <w:rsid w:val="00B030D7"/>
    <w:rsid w:val="00B474DE"/>
    <w:rsid w:val="00BC2AEB"/>
    <w:rsid w:val="00BE01C5"/>
    <w:rsid w:val="00BF08D4"/>
    <w:rsid w:val="00C14721"/>
    <w:rsid w:val="00C169E4"/>
    <w:rsid w:val="00C3234E"/>
    <w:rsid w:val="00C41EEB"/>
    <w:rsid w:val="00C52C78"/>
    <w:rsid w:val="00C66713"/>
    <w:rsid w:val="00C71683"/>
    <w:rsid w:val="00C74170"/>
    <w:rsid w:val="00C95F26"/>
    <w:rsid w:val="00CD0F90"/>
    <w:rsid w:val="00D5633F"/>
    <w:rsid w:val="00D82B59"/>
    <w:rsid w:val="00D86947"/>
    <w:rsid w:val="00D90C61"/>
    <w:rsid w:val="00D96F33"/>
    <w:rsid w:val="00DA7C89"/>
    <w:rsid w:val="00DB4514"/>
    <w:rsid w:val="00DB5D68"/>
    <w:rsid w:val="00E52FAC"/>
    <w:rsid w:val="00E7304C"/>
    <w:rsid w:val="00EB72EC"/>
    <w:rsid w:val="00EE5528"/>
    <w:rsid w:val="00F35AF1"/>
    <w:rsid w:val="00F52330"/>
    <w:rsid w:val="00F65DD1"/>
    <w:rsid w:val="00F802C7"/>
    <w:rsid w:val="00FB461E"/>
    <w:rsid w:val="00FC6B1E"/>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0"/>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semiHidden/>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semiHidden/>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com/lncs"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7050</TotalTime>
  <Pages>5</Pages>
  <Words>1769</Words>
  <Characters>10902</Characters>
  <Application>Microsoft Office Word</Application>
  <DocSecurity>0</DocSecurity>
  <Lines>194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21</cp:revision>
  <dcterms:created xsi:type="dcterms:W3CDTF">2023-11-20T19:51:00Z</dcterms:created>
  <dcterms:modified xsi:type="dcterms:W3CDTF">2023-11-27T16:11:00Z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