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DFC" w14:textId="45AFD602" w:rsidR="00B030D7" w:rsidRDefault="00B030D7" w:rsidP="00B030D7">
      <w:pPr>
        <w:pStyle w:val="papertitle"/>
      </w:pPr>
      <w:r>
        <w:t xml:space="preserve">How Should I Plan </w:t>
      </w:r>
      <w:r w:rsidR="007A313D">
        <w:t>T</w:t>
      </w:r>
      <w:r w:rsidR="00925D7D">
        <w:t>o</w:t>
      </w:r>
      <w:r>
        <w:t xml:space="preserve"> Bring New People Up To Speed During My Projects?</w:t>
      </w:r>
    </w:p>
    <w:p w14:paraId="2891963B" w14:textId="6987F96A" w:rsidR="00B030D7" w:rsidRDefault="00B030D7" w:rsidP="00B030D7">
      <w:pPr>
        <w:pStyle w:val="author"/>
      </w:pPr>
      <w:r>
        <w:t>Armaghan Khoshaeen</w:t>
      </w:r>
    </w:p>
    <w:p w14:paraId="743D2EAC" w14:textId="6C88597E" w:rsidR="00B030D7" w:rsidRPr="00B030D7" w:rsidRDefault="00B030D7" w:rsidP="00B030D7">
      <w:pPr>
        <w:pStyle w:val="address"/>
        <w:rPr>
          <w:rFonts w:asciiTheme="majorBidi" w:hAnsiTheme="majorBidi" w:cstheme="majorBidi"/>
          <w:szCs w:val="18"/>
        </w:rPr>
      </w:pPr>
      <w:r>
        <w:t>Concordia University</w:t>
      </w:r>
      <w:r w:rsidRPr="00B030D7">
        <w:rPr>
          <w:rFonts w:asciiTheme="majorBidi" w:hAnsiTheme="majorBidi" w:cstheme="majorBidi"/>
          <w:szCs w:val="18"/>
        </w:rPr>
        <w:t xml:space="preserve">, Montreal QC </w:t>
      </w:r>
      <w:r w:rsidRPr="00B030D7">
        <w:rPr>
          <w:rFonts w:asciiTheme="majorBidi" w:hAnsiTheme="majorBidi" w:cstheme="majorBidi"/>
          <w:color w:val="202124"/>
          <w:szCs w:val="18"/>
          <w:shd w:val="clear" w:color="auto" w:fill="FFFFFF"/>
        </w:rPr>
        <w:t>H3G 1M8</w:t>
      </w:r>
      <w:r w:rsidRPr="00B030D7">
        <w:rPr>
          <w:rFonts w:asciiTheme="majorBidi" w:hAnsiTheme="majorBidi" w:cstheme="majorBidi"/>
          <w:szCs w:val="18"/>
        </w:rPr>
        <w:t>, Canada</w:t>
      </w:r>
    </w:p>
    <w:p w14:paraId="0A443CF1" w14:textId="1A70115F" w:rsidR="00581C65" w:rsidRDefault="00B030D7" w:rsidP="00581C65">
      <w:pPr>
        <w:pStyle w:val="abstract"/>
        <w:ind w:firstLine="0"/>
      </w:pPr>
      <w:r>
        <w:rPr>
          <w:b/>
          <w:bCs/>
        </w:rPr>
        <w:t xml:space="preserve">Abstract. </w:t>
      </w:r>
      <w:r w:rsidR="00581C65">
        <w:t>The original paper addresses the challenges of managing team dynamics and personnel changes in projects, recognizing the inevitability of such changes due to turnover, project modifications, and other factors. Emphasizing the importance of anticipation, project managers are advised to assess the potential impact of losing team members, particularly those with specialized skills, and develop contingency plans.</w:t>
      </w:r>
    </w:p>
    <w:p w14:paraId="490E1202" w14:textId="02498EA5" w:rsidR="00581C65" w:rsidRDefault="00572A28" w:rsidP="00581C65">
      <w:pPr>
        <w:pStyle w:val="abstract"/>
        <w:ind w:firstLine="0"/>
      </w:pPr>
      <w:r>
        <w:t>The</w:t>
      </w:r>
      <w:r w:rsidR="00581C65">
        <w:t xml:space="preserve"> integration of plans for team changes into project schedules, including cost </w:t>
      </w:r>
      <w:r w:rsidR="00CD0F90">
        <w:t>estimates,</w:t>
      </w:r>
      <w:r>
        <w:t xml:space="preserve"> is </w:t>
      </w:r>
      <w:r w:rsidR="00CD0F90">
        <w:t>essential</w:t>
      </w:r>
      <w:r w:rsidR="00581C65">
        <w:t>. Flexibility in scheduling is highlighted to accommodate unexpected turnovers, and minimizing turnover is underscored as vital for successful project management.</w:t>
      </w:r>
    </w:p>
    <w:p w14:paraId="12396173" w14:textId="37BBFC39" w:rsidR="00581C65" w:rsidRDefault="00581C65" w:rsidP="00581C65">
      <w:pPr>
        <w:pStyle w:val="abstract"/>
        <w:ind w:firstLine="0"/>
      </w:pPr>
      <w:r>
        <w:t>In the event of staff changes, guidance on swiftly integrating new team members by fostering relationships, trust, and connections with existing team members</w:t>
      </w:r>
      <w:r w:rsidR="00CD0F90">
        <w:t xml:space="preserve"> holds significance</w:t>
      </w:r>
      <w:r>
        <w:t xml:space="preserve">. Strategies for redistributing responsibilities and optimizing available talent when a key contributor is lost are also </w:t>
      </w:r>
      <w:r w:rsidR="00CD0F90">
        <w:t>necessary</w:t>
      </w:r>
      <w:r>
        <w:t>.</w:t>
      </w:r>
    </w:p>
    <w:p w14:paraId="74CF209B" w14:textId="3494710C" w:rsidR="00581C65" w:rsidRDefault="00CD0F90" w:rsidP="00581C65">
      <w:pPr>
        <w:pStyle w:val="abstract"/>
        <w:ind w:firstLine="0"/>
      </w:pPr>
      <w:r>
        <w:t>The</w:t>
      </w:r>
      <w:r w:rsidR="00581C65">
        <w:t xml:space="preserve"> ideal scenario</w:t>
      </w:r>
      <w:r>
        <w:t xml:space="preserve"> consists</w:t>
      </w:r>
      <w:r w:rsidR="00581C65">
        <w:t xml:space="preserve"> of adding team members at the project's start, </w:t>
      </w:r>
      <w:r>
        <w:t>although</w:t>
      </w:r>
      <w:r w:rsidR="00581C65">
        <w:t xml:space="preserve"> this may not always be feasible. When new individuals join the team, the prompt rebuilding of cohesive teamwork and adjustment of task assignments to prevent project difficulties or failure</w:t>
      </w:r>
      <w:r w:rsidRPr="00CD0F90">
        <w:t xml:space="preserve"> </w:t>
      </w:r>
      <w:r>
        <w:t>are emphasized</w:t>
      </w:r>
      <w:r w:rsidR="00581C65">
        <w:t>.</w:t>
      </w:r>
    </w:p>
    <w:p w14:paraId="76CC09DB" w14:textId="4665F64F" w:rsidR="00B030D7" w:rsidRDefault="009D2541" w:rsidP="00581C65">
      <w:pPr>
        <w:pStyle w:val="abstract"/>
        <w:spacing w:after="0"/>
        <w:ind w:firstLine="0"/>
      </w:pPr>
      <w:r>
        <w:t>In conclusion, some important notes include</w:t>
      </w:r>
      <w:r w:rsidR="00581C65">
        <w:t xml:space="preserve"> stressing the significance of retaining team members </w:t>
      </w:r>
      <w:r>
        <w:t xml:space="preserve">and </w:t>
      </w:r>
      <w:r w:rsidR="00581C65">
        <w:t xml:space="preserve">advising project managers to incorporate budget reserves for addressing the costs of staff turnover in project risk provisions. Overall, </w:t>
      </w:r>
      <w:r w:rsidR="00284EC8">
        <w:t>this topic</w:t>
      </w:r>
      <w:r w:rsidR="00581C65">
        <w:t xml:space="preserve"> provides practical insights and strategies for project managers to navigate personnel changes and maintain project success.</w:t>
      </w:r>
    </w:p>
    <w:p w14:paraId="0CA31617" w14:textId="6654CD8B" w:rsidR="00B030D7" w:rsidRDefault="00B030D7" w:rsidP="00B030D7">
      <w:pPr>
        <w:pStyle w:val="keywords"/>
      </w:pPr>
      <w:r>
        <w:rPr>
          <w:b/>
          <w:bCs/>
        </w:rPr>
        <w:t>Keywords:</w:t>
      </w:r>
      <w:r>
        <w:t xml:space="preserve"> </w:t>
      </w:r>
      <w:r w:rsidR="00714499">
        <w:t>Knowledge Integration</w:t>
      </w:r>
      <w:r>
        <w:t xml:space="preserve">, </w:t>
      </w:r>
      <w:r w:rsidR="00A12D85">
        <w:t>Onboarding</w:t>
      </w:r>
      <w:r>
        <w:t xml:space="preserve">, </w:t>
      </w:r>
      <w:r w:rsidR="00FB461E">
        <w:t xml:space="preserve">Project </w:t>
      </w:r>
      <w:r w:rsidR="00714499">
        <w:t>Planning</w:t>
      </w:r>
    </w:p>
    <w:p w14:paraId="679329D3" w14:textId="0CEF0FD9" w:rsidR="00B030D7" w:rsidRDefault="00FF74F9" w:rsidP="00B030D7">
      <w:pPr>
        <w:pStyle w:val="heading1"/>
        <w:numPr>
          <w:ilvl w:val="0"/>
          <w:numId w:val="2"/>
        </w:numPr>
      </w:pPr>
      <w:r>
        <w:t>Introduction</w:t>
      </w:r>
    </w:p>
    <w:p w14:paraId="1500C6D5" w14:textId="6EC0D5EC" w:rsidR="00FF74F9" w:rsidRDefault="00FF74F9" w:rsidP="00FF74F9">
      <w:pPr>
        <w:pStyle w:val="Heading3"/>
      </w:pPr>
      <w:r>
        <w:t xml:space="preserve">We’re going to delve into the challenges and nuances of onboarding individuals into project teams. The focus is on the onboarding experiences of practitioners joining project teams, which is crucial for newcomers to integrate into the organization effectively. </w:t>
      </w:r>
    </w:p>
    <w:p w14:paraId="676C1F05" w14:textId="668976E5" w:rsidR="00FF74F9" w:rsidRDefault="00FF74F9" w:rsidP="00FF74F9">
      <w:pPr>
        <w:pStyle w:val="Heading3"/>
        <w:spacing w:before="120"/>
      </w:pPr>
      <w:r>
        <w:t xml:space="preserve">Two research questions guide this report: How do newcomers integrate into an ongoing project team? and </w:t>
      </w:r>
      <w:r w:rsidR="008D142B">
        <w:t>how</w:t>
      </w:r>
      <w:r>
        <w:t xml:space="preserve"> to facilitate the process of onboarding?</w:t>
      </w:r>
    </w:p>
    <w:p w14:paraId="3E5D79D3" w14:textId="7EF1B70F" w:rsidR="00FF74F9" w:rsidRDefault="00FF74F9" w:rsidP="00714499">
      <w:pPr>
        <w:pStyle w:val="Heading3"/>
        <w:spacing w:before="120"/>
      </w:pPr>
      <w:r>
        <w:t xml:space="preserve">A model of onboarding, adapted and extended from Bauer's model, is introduced. </w:t>
      </w:r>
      <w:r w:rsidR="008D142B">
        <w:t>As well as</w:t>
      </w:r>
      <w:r w:rsidR="00F802C7">
        <w:t xml:space="preserve"> an</w:t>
      </w:r>
      <w:r w:rsidR="008D142B">
        <w:t xml:space="preserve"> </w:t>
      </w:r>
      <w:r w:rsidR="008D142B" w:rsidRPr="008D142B">
        <w:t>iterative model, which displays the integrative and economizing features of</w:t>
      </w:r>
      <w:r w:rsidR="00F802C7">
        <w:t xml:space="preserve"> </w:t>
      </w:r>
      <w:r w:rsidR="008D142B" w:rsidRPr="008D142B">
        <w:t>individuals’ experience</w:t>
      </w:r>
      <w:r w:rsidR="00F802C7">
        <w:t xml:space="preserve"> </w:t>
      </w:r>
      <w:r w:rsidR="008D142B" w:rsidRPr="008D142B">
        <w:t>accumulation</w:t>
      </w:r>
      <w:r w:rsidR="00F802C7">
        <w:t xml:space="preserve"> </w:t>
      </w:r>
      <w:r w:rsidR="008D142B" w:rsidRPr="008D142B">
        <w:t>and</w:t>
      </w:r>
      <w:r w:rsidR="00F802C7">
        <w:t xml:space="preserve"> </w:t>
      </w:r>
      <w:r w:rsidR="008D142B" w:rsidRPr="008D142B">
        <w:t>tacit</w:t>
      </w:r>
      <w:r w:rsidR="00714499">
        <w:t xml:space="preserve"> </w:t>
      </w:r>
      <w:r w:rsidR="008D142B" w:rsidRPr="008D142B">
        <w:t>understandings</w:t>
      </w:r>
      <w:r w:rsidR="008D142B">
        <w:t>.</w:t>
      </w:r>
      <w:r w:rsidR="00714499">
        <w:t xml:space="preserve"> We will be introducing some myths about rapid onboarding and a new approach to this problem.</w:t>
      </w:r>
      <w:r w:rsidR="008D142B">
        <w:t xml:space="preserve"> </w:t>
      </w:r>
    </w:p>
    <w:p w14:paraId="27E6DD31" w14:textId="04C47F3E" w:rsidR="0062148B" w:rsidRDefault="00FE4E10" w:rsidP="0062148B">
      <w:pPr>
        <w:spacing w:before="120"/>
        <w:ind w:firstLine="0"/>
        <w:rPr>
          <w:rFonts w:asciiTheme="majorBidi" w:hAnsiTheme="majorBidi" w:cstheme="majorBidi"/>
          <w:color w:val="0F0F0F"/>
        </w:rPr>
      </w:pPr>
      <w:r w:rsidRPr="00FE4E10">
        <w:rPr>
          <w:rFonts w:asciiTheme="majorBidi" w:hAnsiTheme="majorBidi" w:cstheme="majorBidi"/>
          <w:color w:val="0F0F0F"/>
        </w:rPr>
        <w:t>Structured methodically, this report undertakes a review of pertinent literature on onboarding and knowledge integration, providing a solid foundation for our subsequent exploration. We will delve into the introduced onboarding model and the iterative model, shedding light on their respective integrative features. Furthermore, our findings will be thoroughly discussed in relation to the posed research questions, offering valuable insights into the complexities and possibilities of the onboarding process within project teams.</w:t>
      </w:r>
    </w:p>
    <w:p w14:paraId="5B1B54A7" w14:textId="063EAE85" w:rsidR="00004F85" w:rsidRDefault="00004F85" w:rsidP="0062148B">
      <w:pPr>
        <w:spacing w:before="120"/>
        <w:ind w:firstLine="0"/>
        <w:rPr>
          <w:rFonts w:asciiTheme="majorBidi" w:hAnsiTheme="majorBidi" w:cstheme="majorBidi"/>
          <w:color w:val="0F0F0F"/>
        </w:rPr>
      </w:pPr>
    </w:p>
    <w:p w14:paraId="7FD3FF73" w14:textId="77777777" w:rsidR="00004F85" w:rsidRDefault="00004F85" w:rsidP="0062148B">
      <w:pPr>
        <w:spacing w:before="120"/>
        <w:ind w:firstLine="0"/>
        <w:rPr>
          <w:rFonts w:asciiTheme="majorBidi" w:hAnsiTheme="majorBidi" w:cstheme="majorBidi"/>
          <w:color w:val="0F0F0F"/>
        </w:rPr>
      </w:pPr>
    </w:p>
    <w:p w14:paraId="15D0DBE6" w14:textId="77777777" w:rsidR="00004F85" w:rsidRDefault="00004F85" w:rsidP="0062148B">
      <w:pPr>
        <w:spacing w:before="120"/>
        <w:ind w:firstLine="0"/>
        <w:rPr>
          <w:rFonts w:asciiTheme="majorBidi" w:hAnsiTheme="majorBidi" w:cstheme="majorBidi"/>
          <w:color w:val="0F0F0F"/>
        </w:rPr>
      </w:pPr>
    </w:p>
    <w:p w14:paraId="34B63CA4" w14:textId="77777777" w:rsidR="00004F85" w:rsidRDefault="00004F85" w:rsidP="0062148B">
      <w:pPr>
        <w:spacing w:before="120"/>
        <w:ind w:firstLine="0"/>
        <w:rPr>
          <w:rFonts w:asciiTheme="majorBidi" w:hAnsiTheme="majorBidi" w:cstheme="majorBidi"/>
          <w:color w:val="0F0F0F"/>
        </w:rPr>
      </w:pPr>
    </w:p>
    <w:p w14:paraId="356D24C1" w14:textId="77777777" w:rsidR="00004F85" w:rsidRDefault="00004F85" w:rsidP="0062148B">
      <w:pPr>
        <w:spacing w:before="120"/>
        <w:ind w:firstLine="0"/>
        <w:rPr>
          <w:rFonts w:asciiTheme="majorBidi" w:hAnsiTheme="majorBidi" w:cstheme="majorBidi"/>
          <w:color w:val="0F0F0F"/>
        </w:rPr>
      </w:pPr>
    </w:p>
    <w:p w14:paraId="3708681A" w14:textId="67811D66" w:rsidR="003B1B2F" w:rsidRPr="00FE4E10" w:rsidRDefault="003B1B2F" w:rsidP="003B1B2F">
      <w:pPr>
        <w:spacing w:before="120"/>
        <w:ind w:firstLine="0"/>
        <w:rPr>
          <w:rFonts w:asciiTheme="majorBidi" w:hAnsiTheme="majorBidi" w:cstheme="majorBidi"/>
          <w:color w:val="0F0F0F"/>
        </w:rPr>
      </w:pPr>
    </w:p>
    <w:p w14:paraId="117D8561" w14:textId="0747E814" w:rsidR="009170B3" w:rsidRDefault="0062148B" w:rsidP="009170B3">
      <w:pPr>
        <w:pStyle w:val="heading1"/>
        <w:numPr>
          <w:ilvl w:val="0"/>
          <w:numId w:val="2"/>
        </w:numPr>
      </w:pPr>
      <w:r>
        <w:lastRenderedPageBreak/>
        <w:t>Challenges</w:t>
      </w:r>
    </w:p>
    <w:p w14:paraId="497A1BFB" w14:textId="2BD03BF8" w:rsidR="009170B3" w:rsidRDefault="006262E1" w:rsidP="009170B3">
      <w:pPr>
        <w:pStyle w:val="heading2"/>
        <w:numPr>
          <w:ilvl w:val="1"/>
          <w:numId w:val="2"/>
        </w:numPr>
        <w:rPr>
          <w:bCs/>
          <w:szCs w:val="18"/>
        </w:rPr>
      </w:pPr>
      <w:r>
        <w:rPr>
          <w:bCs/>
          <w:szCs w:val="18"/>
        </w:rPr>
        <w:t>Making Time</w:t>
      </w:r>
    </w:p>
    <w:p w14:paraId="599631BB" w14:textId="1DED296A" w:rsidR="006262E1" w:rsidRDefault="006262E1" w:rsidP="006262E1">
      <w:pPr>
        <w:pStyle w:val="p1a"/>
      </w:pPr>
      <w:r w:rsidRPr="006262E1">
        <w:t>The challenge of time in onboarding underscores the importance of prioritizing interpersonal connections amid competing responsibilities. It necessitates a deliberate effort to allocate time for meaningful interactions and relationship-building during the onboarding process. Meeting and getting to know new team members require a proactive approach, even if it means adjusting existing work commitments. By acknowledging the significance of investing time in these initial connections, organizations can foster a more inclusive and collaborative onboarding experience, contributing to stronger team cohesion and individual satisfaction.</w:t>
      </w:r>
    </w:p>
    <w:p w14:paraId="71FEAAF9" w14:textId="4329FC45" w:rsidR="006262E1" w:rsidRDefault="006262E1" w:rsidP="006262E1">
      <w:pPr>
        <w:pStyle w:val="heading2"/>
        <w:numPr>
          <w:ilvl w:val="1"/>
          <w:numId w:val="2"/>
        </w:numPr>
        <w:rPr>
          <w:bCs/>
          <w:szCs w:val="18"/>
        </w:rPr>
      </w:pPr>
      <w:r>
        <w:rPr>
          <w:bCs/>
          <w:szCs w:val="18"/>
        </w:rPr>
        <w:t xml:space="preserve">Making </w:t>
      </w:r>
      <w:r>
        <w:rPr>
          <w:bCs/>
          <w:szCs w:val="18"/>
        </w:rPr>
        <w:t>Connections</w:t>
      </w:r>
    </w:p>
    <w:p w14:paraId="61BACF39" w14:textId="1C142C5E" w:rsidR="004B130A" w:rsidRDefault="004B130A" w:rsidP="004B130A">
      <w:pPr>
        <w:pStyle w:val="p1a"/>
      </w:pPr>
      <w:r w:rsidRPr="004B130A">
        <w:rPr>
          <w:rFonts w:asciiTheme="majorBidi" w:hAnsiTheme="majorBidi" w:cstheme="majorBidi"/>
          <w:color w:val="0F0F0F"/>
        </w:rPr>
        <w:t xml:space="preserve">The challenge of connection in onboarding emphasizes the need to actively facilitate the integration of new team members into existing dynamics. It involves intentional efforts to foster connections between the newcomer and other team members during meetings and various interactions. Building and maintaining good teamwork </w:t>
      </w:r>
      <w:r>
        <w:rPr>
          <w:rFonts w:asciiTheme="majorBidi" w:hAnsiTheme="majorBidi" w:cstheme="majorBidi"/>
          <w:color w:val="0F0F0F"/>
        </w:rPr>
        <w:t>requires</w:t>
      </w:r>
      <w:r w:rsidRPr="004B130A">
        <w:rPr>
          <w:rFonts w:asciiTheme="majorBidi" w:hAnsiTheme="majorBidi" w:cstheme="majorBidi"/>
          <w:color w:val="0F0F0F"/>
        </w:rPr>
        <w:t xml:space="preserve"> a conscious approach to encourage communication, collaboration, and relationship-building. By proactively working to connect the new person with the team, organizations can enhance the onboarding experience, promoting a sense of belonging and contributing to a positive team culture.</w:t>
      </w:r>
    </w:p>
    <w:p w14:paraId="56ACB238" w14:textId="4E2A0EC2" w:rsidR="004B130A" w:rsidRDefault="004B130A" w:rsidP="004B130A">
      <w:pPr>
        <w:pStyle w:val="heading2"/>
        <w:numPr>
          <w:ilvl w:val="1"/>
          <w:numId w:val="2"/>
        </w:numPr>
        <w:rPr>
          <w:bCs/>
          <w:szCs w:val="18"/>
        </w:rPr>
      </w:pPr>
      <w:r>
        <w:rPr>
          <w:bCs/>
          <w:szCs w:val="18"/>
        </w:rPr>
        <w:t>Delegating Responsibilities</w:t>
      </w:r>
    </w:p>
    <w:p w14:paraId="4EBF506C" w14:textId="2BE069CD" w:rsidR="004B130A" w:rsidRDefault="004B130A" w:rsidP="004B130A">
      <w:pPr>
        <w:pStyle w:val="p1a"/>
      </w:pPr>
      <w:r w:rsidRPr="004B130A">
        <w:rPr>
          <w:rFonts w:asciiTheme="majorBidi" w:hAnsiTheme="majorBidi" w:cstheme="majorBidi"/>
          <w:color w:val="0F0F0F"/>
        </w:rPr>
        <w:t>The challenge of delegation in onboarding necessitates a strategic approach to integrate new team members efficiently. When faced with the loss of a key contributor, it is crucial to assess which responsibilities can be swiftly transitioned to the new person. Identifying tasks that may require more time for the newcomer to handle allows for a proactive delegation plan. Additionally, determining alternative team members who can temporarily assume specific responsibilities ensures a smooth workflow and optimal utilization of available talent. Adapting plans to accommodate the strengths and development areas of the new team member contributes to effective onboarding and maintains productivity in the face of personnel changes.</w:t>
      </w:r>
    </w:p>
    <w:p w14:paraId="1C7D2EE1" w14:textId="797643C9" w:rsidR="004B130A" w:rsidRDefault="004B130A" w:rsidP="004B130A">
      <w:pPr>
        <w:pStyle w:val="heading2"/>
        <w:numPr>
          <w:ilvl w:val="1"/>
          <w:numId w:val="2"/>
        </w:numPr>
        <w:rPr>
          <w:bCs/>
          <w:szCs w:val="18"/>
        </w:rPr>
      </w:pPr>
      <w:r>
        <w:rPr>
          <w:bCs/>
          <w:szCs w:val="18"/>
        </w:rPr>
        <w:t>Budgeting</w:t>
      </w:r>
    </w:p>
    <w:p w14:paraId="2B67E813" w14:textId="453FA7DC" w:rsidR="004B130A" w:rsidRDefault="004B130A" w:rsidP="004B130A">
      <w:pPr>
        <w:pStyle w:val="p1a"/>
      </w:pPr>
      <w:r w:rsidRPr="004B130A">
        <w:rPr>
          <w:rFonts w:asciiTheme="majorBidi" w:hAnsiTheme="majorBidi" w:cstheme="majorBidi"/>
          <w:color w:val="0F0F0F"/>
        </w:rPr>
        <w:t>Effectively addressing the challenge of budgeting in onboarding requires foresight and strategic planning. When formulating onboarding plans, it is essential to incorporate a sufficient budget reserve to contend with potential costs associated with staff turnover. Staff turnover can impose unexpected financial burdens, and having a dedicated budgetary allocation for such scenarios is a proactive measure to mitigate risks. By factoring in this reserve, organizations can enhance their preparedness, ensuring that financial resources are readily available to manage transitions and maintain the continuity of onboarding initiatives in the face of unforeseen personnel changes. This approach contributes to a more resilient and adaptable onboarding strategy that aligns with the dynamic nature of workforce dynamics and organizational needs.</w:t>
      </w:r>
    </w:p>
    <w:p w14:paraId="4C3EE9A8" w14:textId="57E27854" w:rsidR="004B130A" w:rsidRDefault="004B130A" w:rsidP="004B130A">
      <w:pPr>
        <w:pStyle w:val="heading2"/>
        <w:numPr>
          <w:ilvl w:val="1"/>
          <w:numId w:val="2"/>
        </w:numPr>
        <w:rPr>
          <w:bCs/>
          <w:szCs w:val="18"/>
        </w:rPr>
      </w:pPr>
      <w:r>
        <w:rPr>
          <w:bCs/>
          <w:szCs w:val="18"/>
        </w:rPr>
        <w:t xml:space="preserve">Losing a Key </w:t>
      </w:r>
      <w:r w:rsidR="00004F85">
        <w:rPr>
          <w:bCs/>
          <w:szCs w:val="18"/>
        </w:rPr>
        <w:t>Contributor</w:t>
      </w:r>
    </w:p>
    <w:p w14:paraId="151A595B" w14:textId="2E937D59" w:rsidR="0062148B" w:rsidRDefault="00004F85" w:rsidP="00FE4E10">
      <w:pPr>
        <w:spacing w:before="120"/>
        <w:ind w:firstLine="0"/>
        <w:rPr>
          <w:rFonts w:asciiTheme="majorBidi" w:hAnsiTheme="majorBidi" w:cstheme="majorBidi"/>
          <w:color w:val="0F0F0F"/>
        </w:rPr>
      </w:pPr>
      <w:r w:rsidRPr="00004F85">
        <w:rPr>
          <w:rFonts w:asciiTheme="majorBidi" w:hAnsiTheme="majorBidi" w:cstheme="majorBidi"/>
          <w:color w:val="0F0F0F"/>
        </w:rPr>
        <w:t>The challenge of losing a key contributor in onboarding necessitates a proactive approach to ensure a smooth transition for the new person. It involves a comprehensive understanding of the missing team member's assignments, necessary skills, and other critical factors that contribute to project success. For team members with specialized skills, this exercise becomes particularly crucial, emphasizing the need for a contingency plan. Identifying specific points in the project where the loss of a critical contributor would be most detrimental allows for strategic planning. Developing a contingency plan outlines the necessary steps to navigate through any potential loss of key personnel, ensuring that the onboarding process remains resilient and capable of addressing unforeseen challenges.</w:t>
      </w:r>
    </w:p>
    <w:p w14:paraId="4C7D382A" w14:textId="3D0581E5" w:rsidR="004B130A" w:rsidRDefault="004B130A" w:rsidP="00FE4E10">
      <w:pPr>
        <w:spacing w:before="120"/>
        <w:ind w:firstLine="0"/>
        <w:rPr>
          <w:rFonts w:asciiTheme="majorBidi" w:hAnsiTheme="majorBidi" w:cstheme="majorBidi"/>
          <w:color w:val="0F0F0F"/>
        </w:rPr>
      </w:pPr>
    </w:p>
    <w:p w14:paraId="03622181" w14:textId="447EF836" w:rsidR="003B1B2F" w:rsidRDefault="003B1B2F" w:rsidP="00FE4E10">
      <w:pPr>
        <w:spacing w:before="120"/>
        <w:ind w:firstLine="0"/>
        <w:rPr>
          <w:rFonts w:asciiTheme="majorBidi" w:hAnsiTheme="majorBidi" w:cstheme="majorBidi"/>
          <w:color w:val="0F0F0F"/>
        </w:rPr>
      </w:pPr>
      <w:r>
        <w:rPr>
          <w:noProof/>
        </w:rPr>
        <w:lastRenderedPageBreak/>
        <mc:AlternateContent>
          <mc:Choice Requires="wps">
            <w:drawing>
              <wp:anchor distT="0" distB="0" distL="114300" distR="114300" simplePos="0" relativeHeight="251669504" behindDoc="0" locked="0" layoutInCell="1" allowOverlap="1" wp14:anchorId="2AE2F840" wp14:editId="711041FE">
                <wp:simplePos x="0" y="0"/>
                <wp:positionH relativeFrom="column">
                  <wp:posOffset>1929022</wp:posOffset>
                </wp:positionH>
                <wp:positionV relativeFrom="paragraph">
                  <wp:posOffset>251</wp:posOffset>
                </wp:positionV>
                <wp:extent cx="1949450" cy="207010"/>
                <wp:effectExtent l="0" t="0" r="0" b="2540"/>
                <wp:wrapSquare wrapText="bothSides"/>
                <wp:docPr id="288836246" name="Text Box 1"/>
                <wp:cNvGraphicFramePr/>
                <a:graphic xmlns:a="http://schemas.openxmlformats.org/drawingml/2006/main">
                  <a:graphicData uri="http://schemas.microsoft.com/office/word/2010/wordprocessingShape">
                    <wps:wsp>
                      <wps:cNvSpPr txBox="1"/>
                      <wps:spPr>
                        <a:xfrm>
                          <a:off x="0" y="0"/>
                          <a:ext cx="1949450" cy="207010"/>
                        </a:xfrm>
                        <a:prstGeom prst="rect">
                          <a:avLst/>
                        </a:prstGeom>
                        <a:solidFill>
                          <a:prstClr val="white"/>
                        </a:solidFill>
                        <a:ln>
                          <a:noFill/>
                        </a:ln>
                      </wps:spPr>
                      <wps:txbx>
                        <w:txbxContent>
                          <w:p w14:paraId="7BD6AD05" w14:textId="218BEAE2"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Pr="00004F85">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2F840" id="_x0000_t202" coordsize="21600,21600" o:spt="202" path="m,l,21600r21600,l21600,xe">
                <v:stroke joinstyle="miter"/>
                <v:path gradientshapeok="t" o:connecttype="rect"/>
              </v:shapetype>
              <v:shape id="Text Box 1" o:spid="_x0000_s1026" type="#_x0000_t202" style="position:absolute;left:0;text-align:left;margin-left:151.9pt;margin-top:0;width:153.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" stroked="f">
                <v:textbox inset="0,0,0,0">
                  <w:txbxContent>
                    <w:p w14:paraId="7BD6AD05" w14:textId="218BEAE2"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Pr="00004F85">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v:textbox>
                <w10:wrap type="square"/>
              </v:shape>
            </w:pict>
          </mc:Fallback>
        </mc:AlternateContent>
      </w:r>
    </w:p>
    <w:p w14:paraId="19B0E6CC" w14:textId="492B7DF1" w:rsidR="003B1B2F" w:rsidRDefault="003B1B2F" w:rsidP="00FE4E10">
      <w:pPr>
        <w:spacing w:before="120"/>
        <w:ind w:firstLine="0"/>
        <w:rPr>
          <w:rFonts w:asciiTheme="majorBidi" w:hAnsiTheme="majorBidi" w:cstheme="majorBidi"/>
          <w:color w:val="0F0F0F"/>
        </w:rPr>
      </w:pPr>
      <w:r>
        <w:rPr>
          <w:rFonts w:asciiTheme="majorBidi" w:hAnsiTheme="majorBidi" w:cstheme="majorBidi"/>
          <w:noProof/>
          <w:color w:val="0F0F0F"/>
          <w14:ligatures w14:val="standardContextual"/>
        </w:rPr>
        <w:drawing>
          <wp:anchor distT="0" distB="0" distL="114300" distR="114300" simplePos="0" relativeHeight="251667456" behindDoc="0" locked="0" layoutInCell="1" allowOverlap="1" wp14:anchorId="7CE21CFD" wp14:editId="4D191E55">
            <wp:simplePos x="0" y="0"/>
            <wp:positionH relativeFrom="column">
              <wp:posOffset>1084832</wp:posOffset>
            </wp:positionH>
            <wp:positionV relativeFrom="paragraph">
              <wp:posOffset>53975</wp:posOffset>
            </wp:positionV>
            <wp:extent cx="3767455" cy="1932305"/>
            <wp:effectExtent l="0" t="0" r="4445" b="0"/>
            <wp:wrapSquare wrapText="bothSides"/>
            <wp:docPr id="1017878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8982" name="Picture 1017878982"/>
                    <pic:cNvPicPr/>
                  </pic:nvPicPr>
                  <pic:blipFill>
                    <a:blip r:embed="rId7">
                      <a:extLst>
                        <a:ext uri="{28A0092B-C50C-407E-A947-70E740481C1C}">
                          <a14:useLocalDpi xmlns:a14="http://schemas.microsoft.com/office/drawing/2010/main" val="0"/>
                        </a:ext>
                      </a:extLst>
                    </a:blip>
                    <a:stretch>
                      <a:fillRect/>
                    </a:stretch>
                  </pic:blipFill>
                  <pic:spPr>
                    <a:xfrm>
                      <a:off x="0" y="0"/>
                      <a:ext cx="3767455" cy="1932305"/>
                    </a:xfrm>
                    <a:prstGeom prst="rect">
                      <a:avLst/>
                    </a:prstGeom>
                  </pic:spPr>
                </pic:pic>
              </a:graphicData>
            </a:graphic>
            <wp14:sizeRelH relativeFrom="margin">
              <wp14:pctWidth>0</wp14:pctWidth>
            </wp14:sizeRelH>
            <wp14:sizeRelV relativeFrom="margin">
              <wp14:pctHeight>0</wp14:pctHeight>
            </wp14:sizeRelV>
          </wp:anchor>
        </w:drawing>
      </w:r>
    </w:p>
    <w:p w14:paraId="4A71FD9F" w14:textId="0FB5D333" w:rsidR="003B1B2F" w:rsidRDefault="003B1B2F" w:rsidP="00FE4E10">
      <w:pPr>
        <w:spacing w:before="120"/>
        <w:ind w:firstLine="0"/>
        <w:rPr>
          <w:rFonts w:asciiTheme="majorBidi" w:hAnsiTheme="majorBidi" w:cstheme="majorBidi"/>
          <w:color w:val="0F0F0F"/>
        </w:rPr>
      </w:pPr>
    </w:p>
    <w:p w14:paraId="4A64417A" w14:textId="77777777" w:rsidR="003B1B2F" w:rsidRDefault="003B1B2F" w:rsidP="00FE4E10">
      <w:pPr>
        <w:spacing w:before="120"/>
        <w:ind w:firstLine="0"/>
        <w:rPr>
          <w:rFonts w:asciiTheme="majorBidi" w:hAnsiTheme="majorBidi" w:cstheme="majorBidi"/>
          <w:color w:val="0F0F0F"/>
        </w:rPr>
      </w:pPr>
    </w:p>
    <w:p w14:paraId="7E003223" w14:textId="2927A5E1" w:rsidR="003B1B2F" w:rsidRDefault="003B1B2F" w:rsidP="00FE4E10">
      <w:pPr>
        <w:spacing w:before="120"/>
        <w:ind w:firstLine="0"/>
        <w:rPr>
          <w:rFonts w:asciiTheme="majorBidi" w:hAnsiTheme="majorBidi" w:cstheme="majorBidi"/>
          <w:color w:val="0F0F0F"/>
        </w:rPr>
      </w:pPr>
    </w:p>
    <w:p w14:paraId="03A08FE2" w14:textId="77777777" w:rsidR="003B1B2F" w:rsidRDefault="003B1B2F" w:rsidP="00FE4E10">
      <w:pPr>
        <w:spacing w:before="120"/>
        <w:ind w:firstLine="0"/>
        <w:rPr>
          <w:rFonts w:asciiTheme="majorBidi" w:hAnsiTheme="majorBidi" w:cstheme="majorBidi"/>
          <w:color w:val="0F0F0F"/>
        </w:rPr>
      </w:pPr>
    </w:p>
    <w:p w14:paraId="1433F487" w14:textId="77777777" w:rsidR="003B1B2F" w:rsidRDefault="003B1B2F" w:rsidP="00FE4E10">
      <w:pPr>
        <w:spacing w:before="120"/>
        <w:ind w:firstLine="0"/>
        <w:rPr>
          <w:rFonts w:asciiTheme="majorBidi" w:hAnsiTheme="majorBidi" w:cstheme="majorBidi"/>
          <w:color w:val="0F0F0F"/>
        </w:rPr>
      </w:pPr>
    </w:p>
    <w:p w14:paraId="552E0376" w14:textId="77777777" w:rsidR="003B1B2F" w:rsidRDefault="003B1B2F" w:rsidP="00FE4E10">
      <w:pPr>
        <w:spacing w:before="120"/>
        <w:ind w:firstLine="0"/>
        <w:rPr>
          <w:rFonts w:asciiTheme="majorBidi" w:hAnsiTheme="majorBidi" w:cstheme="majorBidi"/>
          <w:color w:val="0F0F0F"/>
        </w:rPr>
      </w:pPr>
    </w:p>
    <w:p w14:paraId="12DAFF09" w14:textId="77777777" w:rsidR="003B1B2F" w:rsidRDefault="003B1B2F" w:rsidP="00FE4E10">
      <w:pPr>
        <w:spacing w:before="120"/>
        <w:ind w:firstLine="0"/>
        <w:rPr>
          <w:rFonts w:asciiTheme="majorBidi" w:hAnsiTheme="majorBidi" w:cstheme="majorBidi"/>
          <w:color w:val="0F0F0F"/>
        </w:rPr>
      </w:pPr>
    </w:p>
    <w:p w14:paraId="41161182" w14:textId="77777777" w:rsidR="003B1B2F" w:rsidRDefault="003B1B2F" w:rsidP="00FE4E10">
      <w:pPr>
        <w:spacing w:before="120"/>
        <w:ind w:firstLine="0"/>
        <w:rPr>
          <w:rFonts w:asciiTheme="majorBidi" w:hAnsiTheme="majorBidi" w:cstheme="majorBidi"/>
          <w:color w:val="0F0F0F"/>
        </w:rPr>
      </w:pPr>
    </w:p>
    <w:p w14:paraId="328C50F1" w14:textId="47F97C89" w:rsidR="00004F85" w:rsidRPr="00FE4E10" w:rsidRDefault="00004F85" w:rsidP="00FE4E10">
      <w:pPr>
        <w:spacing w:before="120"/>
        <w:ind w:firstLine="0"/>
        <w:rPr>
          <w:rFonts w:asciiTheme="majorBidi" w:hAnsiTheme="majorBidi" w:cstheme="majorBidi"/>
          <w:color w:val="0F0F0F"/>
        </w:rPr>
      </w:pPr>
    </w:p>
    <w:p w14:paraId="1B7FA53B" w14:textId="7E7BD084" w:rsidR="00FE4E10" w:rsidRDefault="00FE4E10" w:rsidP="00FE4E10">
      <w:pPr>
        <w:pStyle w:val="heading1"/>
        <w:numPr>
          <w:ilvl w:val="0"/>
          <w:numId w:val="2"/>
        </w:numPr>
      </w:pPr>
      <w:r>
        <w:t>Method</w:t>
      </w:r>
      <w:r w:rsidR="002D3067">
        <w:t>s</w:t>
      </w:r>
    </w:p>
    <w:p w14:paraId="1B4C5655" w14:textId="484E9274" w:rsidR="00FE4E10" w:rsidRPr="00FE4E10" w:rsidRDefault="00FE4E10" w:rsidP="00FE4E10">
      <w:pPr>
        <w:pStyle w:val="heading2"/>
        <w:numPr>
          <w:ilvl w:val="1"/>
          <w:numId w:val="2"/>
        </w:numPr>
        <w:rPr>
          <w:bCs/>
          <w:szCs w:val="18"/>
        </w:rPr>
      </w:pPr>
      <w:r w:rsidRPr="00FE4E10">
        <w:rPr>
          <w:bCs/>
          <w:szCs w:val="18"/>
        </w:rPr>
        <w:t>Bauer’s Model</w:t>
      </w:r>
    </w:p>
    <w:p w14:paraId="5AD9E7F1" w14:textId="0B502442" w:rsidR="00356E81" w:rsidRPr="00C66713" w:rsidRDefault="00FE4E10" w:rsidP="00C66713">
      <w:pPr>
        <w:spacing w:before="120"/>
        <w:ind w:firstLine="0"/>
      </w:pPr>
      <w:r w:rsidRPr="00FE4E10">
        <w:t xml:space="preserve">Bauer's onboarding model offers guidelines for bringing people into organizations, suitable for various settings. It identifies six onboarding functions (Table </w:t>
      </w:r>
      <w:r>
        <w:t>1</w:t>
      </w:r>
      <w:r w:rsidRPr="00FE4E10">
        <w:t xml:space="preserve">) and introduces new employee adjustments (Table </w:t>
      </w:r>
      <w:r>
        <w:t>2</w:t>
      </w:r>
      <w:r w:rsidRPr="00FE4E10">
        <w:t>) as levers that organizations can target to ensure a positive onboarding experience. We chose Bauer's model for our analysis</w:t>
      </w:r>
      <w:r>
        <w:t xml:space="preserve"> </w:t>
      </w:r>
      <w:r w:rsidRPr="00FE4E10">
        <w:t xml:space="preserve">because it is based on real-world data, widely recognized, and hasn't been applied directly to onboarding in agile software development teams. </w:t>
      </w:r>
    </w:p>
    <w:p w14:paraId="0F3CE67D" w14:textId="1456BD0E" w:rsidR="00FE4E10" w:rsidRDefault="00C169E4" w:rsidP="00FE4E10">
      <w:pPr>
        <w:ind w:firstLine="0"/>
      </w:pPr>
      <w:bookmarkStart w:id="0" w:name="_Ref467509391"/>
      <w:r>
        <w:rPr>
          <w:rFonts w:asciiTheme="majorBidi" w:hAnsiTheme="majorBidi" w:cstheme="majorBidi"/>
          <w:noProof/>
          <w14:ligatures w14:val="standardContextual"/>
        </w:rPr>
        <w:lastRenderedPageBreak/>
        <w:drawing>
          <wp:anchor distT="0" distB="0" distL="114300" distR="114300" simplePos="0" relativeHeight="251659264" behindDoc="0" locked="0" layoutInCell="1" allowOverlap="1" wp14:anchorId="304254FE" wp14:editId="261D6A9B">
            <wp:simplePos x="0" y="0"/>
            <wp:positionH relativeFrom="column">
              <wp:posOffset>3174089</wp:posOffset>
            </wp:positionH>
            <wp:positionV relativeFrom="paragraph">
              <wp:posOffset>276860</wp:posOffset>
            </wp:positionV>
            <wp:extent cx="3447415" cy="1583055"/>
            <wp:effectExtent l="0" t="0" r="635" b="0"/>
            <wp:wrapSquare wrapText="bothSides"/>
            <wp:docPr id="75289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577" name="Picture 75289577"/>
                    <pic:cNvPicPr/>
                  </pic:nvPicPr>
                  <pic:blipFill>
                    <a:blip r:embed="rId8">
                      <a:extLst>
                        <a:ext uri="{28A0092B-C50C-407E-A947-70E740481C1C}">
                          <a14:useLocalDpi xmlns:a14="http://schemas.microsoft.com/office/drawing/2010/main" val="0"/>
                        </a:ext>
                      </a:extLst>
                    </a:blip>
                    <a:stretch>
                      <a:fillRect/>
                    </a:stretch>
                  </pic:blipFill>
                  <pic:spPr>
                    <a:xfrm>
                      <a:off x="0" y="0"/>
                      <a:ext cx="3447415" cy="158305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8240" behindDoc="0" locked="0" layoutInCell="1" allowOverlap="1" wp14:anchorId="5C7629B3" wp14:editId="29922739">
            <wp:simplePos x="0" y="0"/>
            <wp:positionH relativeFrom="column">
              <wp:posOffset>-733593</wp:posOffset>
            </wp:positionH>
            <wp:positionV relativeFrom="paragraph">
              <wp:posOffset>269240</wp:posOffset>
            </wp:positionV>
            <wp:extent cx="3812540" cy="4640580"/>
            <wp:effectExtent l="0" t="0" r="0" b="7620"/>
            <wp:wrapSquare wrapText="bothSides"/>
            <wp:docPr id="24162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3079" name="Picture 241623079"/>
                    <pic:cNvPicPr/>
                  </pic:nvPicPr>
                  <pic:blipFill rotWithShape="1">
                    <a:blip r:embed="rId9">
                      <a:extLst>
                        <a:ext uri="{28A0092B-C50C-407E-A947-70E740481C1C}">
                          <a14:useLocalDpi xmlns:a14="http://schemas.microsoft.com/office/drawing/2010/main" val="0"/>
                        </a:ext>
                      </a:extLst>
                    </a:blip>
                    <a:srcRect t="7841"/>
                    <a:stretch/>
                  </pic:blipFill>
                  <pic:spPr bwMode="auto">
                    <a:xfrm>
                      <a:off x="0" y="0"/>
                      <a:ext cx="3812540" cy="464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713">
        <w:rPr>
          <w:noProof/>
        </w:rPr>
        <mc:AlternateContent>
          <mc:Choice Requires="wps">
            <w:drawing>
              <wp:anchor distT="0" distB="0" distL="114300" distR="114300" simplePos="0" relativeHeight="251663360" behindDoc="0" locked="0" layoutInCell="1" allowOverlap="1" wp14:anchorId="7A131182" wp14:editId="2F515299">
                <wp:simplePos x="0" y="0"/>
                <wp:positionH relativeFrom="column">
                  <wp:posOffset>3674745</wp:posOffset>
                </wp:positionH>
                <wp:positionV relativeFrom="paragraph">
                  <wp:posOffset>100330</wp:posOffset>
                </wp:positionV>
                <wp:extent cx="2561590" cy="198120"/>
                <wp:effectExtent l="0" t="0" r="0" b="0"/>
                <wp:wrapSquare wrapText="bothSides"/>
                <wp:docPr id="1831213912" name="Text Box 1"/>
                <wp:cNvGraphicFramePr/>
                <a:graphic xmlns:a="http://schemas.openxmlformats.org/drawingml/2006/main">
                  <a:graphicData uri="http://schemas.microsoft.com/office/word/2010/wordprocessingShape">
                    <wps:wsp>
                      <wps:cNvSpPr txBox="1"/>
                      <wps:spPr>
                        <a:xfrm>
                          <a:off x="0" y="0"/>
                          <a:ext cx="2561590" cy="198120"/>
                        </a:xfrm>
                        <a:prstGeom prst="rect">
                          <a:avLst/>
                        </a:prstGeom>
                        <a:solidFill>
                          <a:prstClr val="white"/>
                        </a:solidFill>
                        <a:ln>
                          <a:noFill/>
                        </a:ln>
                      </wps:spPr>
                      <wps:txbx>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31182" id="_x0000_s1027" type="#_x0000_t202" style="position:absolute;left:0;text-align:left;margin-left:289.35pt;margin-top:7.9pt;width:201.7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" stroked="f">
                <v:textbox inset="0,0,0,0">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v:textbox>
                <w10:wrap type="square"/>
              </v:shape>
            </w:pict>
          </mc:Fallback>
        </mc:AlternateContent>
      </w:r>
      <w:bookmarkEnd w:id="0"/>
      <w:r w:rsidR="00C66713">
        <w:rPr>
          <w:noProof/>
        </w:rPr>
        <mc:AlternateContent>
          <mc:Choice Requires="wps">
            <w:drawing>
              <wp:anchor distT="0" distB="0" distL="114300" distR="114300" simplePos="0" relativeHeight="251661312" behindDoc="0" locked="0" layoutInCell="1" allowOverlap="1" wp14:anchorId="52AF8F39" wp14:editId="3DB0E87B">
                <wp:simplePos x="0" y="0"/>
                <wp:positionH relativeFrom="column">
                  <wp:posOffset>223173</wp:posOffset>
                </wp:positionH>
                <wp:positionV relativeFrom="paragraph">
                  <wp:posOffset>97359</wp:posOffset>
                </wp:positionV>
                <wp:extent cx="2233930" cy="198120"/>
                <wp:effectExtent l="0" t="0" r="0" b="0"/>
                <wp:wrapSquare wrapText="bothSides"/>
                <wp:docPr id="1415723397" name="Text Box 1"/>
                <wp:cNvGraphicFramePr/>
                <a:graphic xmlns:a="http://schemas.openxmlformats.org/drawingml/2006/main">
                  <a:graphicData uri="http://schemas.microsoft.com/office/word/2010/wordprocessingShape">
                    <wps:wsp>
                      <wps:cNvSpPr txBox="1"/>
                      <wps:spPr>
                        <a:xfrm>
                          <a:off x="0" y="0"/>
                          <a:ext cx="2233930" cy="198120"/>
                        </a:xfrm>
                        <a:prstGeom prst="rect">
                          <a:avLst/>
                        </a:prstGeom>
                        <a:solidFill>
                          <a:prstClr val="white"/>
                        </a:solidFill>
                        <a:ln>
                          <a:noFill/>
                        </a:ln>
                      </wps:spPr>
                      <wps:txbx>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F8F39" id="_x0000_s1028" type="#_x0000_t202" style="position:absolute;left:0;text-align:left;margin-left:17.55pt;margin-top:7.65pt;width:175.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" stroked="f">
                <v:textbox inset="0,0,0,0">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v:textbox>
                <w10:wrap type="square"/>
              </v:shape>
            </w:pict>
          </mc:Fallback>
        </mc:AlternateContent>
      </w:r>
    </w:p>
    <w:p w14:paraId="0FBB5B98" w14:textId="56757EFB" w:rsidR="00C95F26" w:rsidRDefault="00C95F26" w:rsidP="00C95F26">
      <w:pPr>
        <w:ind w:firstLine="0"/>
      </w:pPr>
    </w:p>
    <w:p w14:paraId="6D1C1F66" w14:textId="52B8C89B" w:rsidR="00C66713" w:rsidRDefault="00C95F26" w:rsidP="00C95F26">
      <w:pPr>
        <w:ind w:firstLine="0"/>
      </w:pPr>
      <w:r w:rsidRPr="00C95F26">
        <w:t>Researchers have identified four key factors, or "levers," crucial for maximizing the success of onboarding new employees. The first lever is self-efficacy, emphasizing the importance of boosting a new employee's confidence in job performance, as this positively influences motivation and success. Role clarity, the second lever, pertains to how well new employees understand their roles and expectations, with clear expectations being vital for optimal performance. The third lever is social integration, emphasizing the significance of building relationships with colleagues and feeling socially accepted within the organization. Lastly, the fourth lever involves knowledge of and fit within the organizational culture, underscoring the importance of understanding the unique values, goals, and language of the company. Overall, these levers contribute to job satisfaction, organizational commitment, and reduced turnover during the onboarding process.</w:t>
      </w:r>
    </w:p>
    <w:p w14:paraId="1505CC36" w14:textId="0B464035" w:rsidR="002D3067" w:rsidRDefault="002D3067" w:rsidP="002D3067">
      <w:pPr>
        <w:ind w:firstLine="0"/>
      </w:pPr>
    </w:p>
    <w:p w14:paraId="1A77EE37" w14:textId="34BD1862" w:rsidR="002D3067" w:rsidRPr="00FE4E10" w:rsidRDefault="00BF08D4" w:rsidP="002D3067">
      <w:pPr>
        <w:pStyle w:val="heading2"/>
        <w:numPr>
          <w:ilvl w:val="1"/>
          <w:numId w:val="2"/>
        </w:numPr>
        <w:rPr>
          <w:bCs/>
          <w:szCs w:val="18"/>
        </w:rPr>
      </w:pPr>
      <w:r>
        <w:rPr>
          <w:bCs/>
          <w:szCs w:val="18"/>
        </w:rPr>
        <w:t>Iterative</w:t>
      </w:r>
      <w:r w:rsidR="002D3067" w:rsidRPr="00FE4E10">
        <w:rPr>
          <w:bCs/>
          <w:szCs w:val="18"/>
        </w:rPr>
        <w:t xml:space="preserve"> Model</w:t>
      </w:r>
    </w:p>
    <w:p w14:paraId="77A299B5" w14:textId="1CCE3084" w:rsidR="002D3067" w:rsidRPr="007C7DC5" w:rsidRDefault="00BF08D4" w:rsidP="00BF08D4">
      <w:pPr>
        <w:tabs>
          <w:tab w:val="left" w:pos="1087"/>
        </w:tabs>
        <w:ind w:firstLine="0"/>
        <w:rPr>
          <w:rFonts w:asciiTheme="majorBidi" w:hAnsiTheme="majorBidi" w:cstheme="majorBidi"/>
        </w:rPr>
      </w:pPr>
      <w:r>
        <w:t>T</w:t>
      </w:r>
      <w:r w:rsidRPr="00BF08D4">
        <w:t>he proposed model distinguishes between instances of interacting, where individuals engage face-to-face, and instances of acting, where individuals work independently. Project meetings primarily served for routine communication of project goals and parametric input, denoted as "experience" sharing, lacking extensive discussion or knowledge exchange. However, these meetings were crucial for participants to align their efforts and occasionally address unexpected challenges through ad hoc problem-solving. The right side of the model illustrates how participants contribute individually to task achievement based on their understanding of others' roles and their representation of the collective task. This dual process forms an iterative cycle wherein interaction provides grounding for individual contributions and, reciprocally, individual actions shape the overall system. The model depicts project work as an iterative interplay between interaction and action</w:t>
      </w:r>
      <w:r w:rsidR="007C7DC5">
        <w:t>.</w:t>
      </w:r>
      <w:r w:rsidRPr="00BF08D4">
        <w:t xml:space="preserve"> This object enables </w:t>
      </w:r>
      <w:r w:rsidR="007C7DC5">
        <w:t xml:space="preserve">a </w:t>
      </w:r>
      <w:r w:rsidRPr="00BF08D4">
        <w:t>dynamic interplay between individualized knowledge and explicitly articulated social knowledge, showcasing the intricate dynamics of project wor</w:t>
      </w:r>
      <w:r w:rsidR="007C7DC5">
        <w:t>k</w:t>
      </w:r>
      <w:r w:rsidRPr="00BF08D4">
        <w:t>.</w:t>
      </w:r>
      <w:r w:rsidR="007C7DC5">
        <w:t xml:space="preserve"> To create this method, a study was conducted. In this </w:t>
      </w:r>
      <w:r w:rsidR="007C7DC5" w:rsidRPr="007C7DC5">
        <w:rPr>
          <w:rFonts w:asciiTheme="majorBidi" w:hAnsiTheme="majorBidi" w:cstheme="majorBidi"/>
        </w:rPr>
        <w:t>study</w:t>
      </w:r>
      <w:r w:rsidR="007C7DC5">
        <w:rPr>
          <w:rFonts w:asciiTheme="majorBidi" w:hAnsiTheme="majorBidi" w:cstheme="majorBidi"/>
        </w:rPr>
        <w:t>,</w:t>
      </w:r>
      <w:r w:rsidR="007C7DC5" w:rsidRPr="007C7DC5">
        <w:rPr>
          <w:rFonts w:asciiTheme="majorBidi" w:hAnsiTheme="majorBidi" w:cstheme="majorBidi"/>
        </w:rPr>
        <w:t xml:space="preserve"> </w:t>
      </w:r>
      <w:r w:rsidR="007C7DC5" w:rsidRPr="007C7DC5">
        <w:rPr>
          <w:rFonts w:asciiTheme="majorBidi" w:hAnsiTheme="majorBidi" w:cstheme="majorBidi"/>
          <w:color w:val="0F0F0F"/>
        </w:rPr>
        <w:t>t</w:t>
      </w:r>
      <w:r w:rsidR="007C7DC5" w:rsidRPr="007C7DC5">
        <w:rPr>
          <w:rFonts w:asciiTheme="majorBidi" w:hAnsiTheme="majorBidi" w:cstheme="majorBidi"/>
          <w:color w:val="0F0F0F"/>
        </w:rPr>
        <w:t>he focus was on identifying the character of project work, member interactions, and the significance of individual work, goals, and knowledge sharing. The resulting case story was compared to existing theories, refined through additional observations and discussions, and validated through feedback from project members and top managers.</w:t>
      </w:r>
    </w:p>
    <w:p w14:paraId="6DBCD87D" w14:textId="34CA36DA" w:rsidR="00C66713" w:rsidRDefault="00C66713" w:rsidP="00C66713"/>
    <w:p w14:paraId="68A95A17" w14:textId="6AD0B7B2" w:rsidR="00C66713" w:rsidRDefault="007C7DC5" w:rsidP="00C66713">
      <w:r>
        <w:rPr>
          <w:rFonts w:asciiTheme="majorBidi" w:hAnsiTheme="majorBidi" w:cstheme="majorBidi"/>
          <w:noProof/>
          <w14:ligatures w14:val="standardContextual"/>
        </w:rPr>
        <w:lastRenderedPageBreak/>
        <w:drawing>
          <wp:anchor distT="0" distB="0" distL="114300" distR="114300" simplePos="0" relativeHeight="251664384" behindDoc="0" locked="0" layoutInCell="1" allowOverlap="1" wp14:anchorId="1BDC3786" wp14:editId="7D2DD3A6">
            <wp:simplePos x="0" y="0"/>
            <wp:positionH relativeFrom="column">
              <wp:posOffset>1232463</wp:posOffset>
            </wp:positionH>
            <wp:positionV relativeFrom="paragraph">
              <wp:posOffset>120015</wp:posOffset>
            </wp:positionV>
            <wp:extent cx="3157220" cy="1520190"/>
            <wp:effectExtent l="0" t="0" r="5080" b="3810"/>
            <wp:wrapSquare wrapText="bothSides"/>
            <wp:docPr id="23404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48306" name="Picture 234048306"/>
                    <pic:cNvPicPr/>
                  </pic:nvPicPr>
                  <pic:blipFill>
                    <a:blip r:embed="rId10">
                      <a:extLst>
                        <a:ext uri="{28A0092B-C50C-407E-A947-70E740481C1C}">
                          <a14:useLocalDpi xmlns:a14="http://schemas.microsoft.com/office/drawing/2010/main" val="0"/>
                        </a:ext>
                      </a:extLst>
                    </a:blip>
                    <a:stretch>
                      <a:fillRect/>
                    </a:stretch>
                  </pic:blipFill>
                  <pic:spPr>
                    <a:xfrm>
                      <a:off x="0" y="0"/>
                      <a:ext cx="3157220" cy="15201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FF06EE9" wp14:editId="2D3D976B">
                <wp:simplePos x="0" y="0"/>
                <wp:positionH relativeFrom="column">
                  <wp:posOffset>1983920</wp:posOffset>
                </wp:positionH>
                <wp:positionV relativeFrom="paragraph">
                  <wp:posOffset>0</wp:posOffset>
                </wp:positionV>
                <wp:extent cx="1699260" cy="224155"/>
                <wp:effectExtent l="0" t="0" r="0" b="4445"/>
                <wp:wrapSquare wrapText="bothSides"/>
                <wp:docPr id="1738937791" name="Text Box 1"/>
                <wp:cNvGraphicFramePr/>
                <a:graphic xmlns:a="http://schemas.openxmlformats.org/drawingml/2006/main">
                  <a:graphicData uri="http://schemas.microsoft.com/office/word/2010/wordprocessingShape">
                    <wps:wsp>
                      <wps:cNvSpPr txBox="1"/>
                      <wps:spPr>
                        <a:xfrm>
                          <a:off x="0" y="0"/>
                          <a:ext cx="1699260" cy="224155"/>
                        </a:xfrm>
                        <a:prstGeom prst="rect">
                          <a:avLst/>
                        </a:prstGeom>
                        <a:solidFill>
                          <a:prstClr val="white"/>
                        </a:solidFill>
                        <a:ln>
                          <a:noFill/>
                        </a:ln>
                      </wps:spPr>
                      <wps:txbx>
                        <w:txbxContent>
                          <w:p w14:paraId="0F6CA282" w14:textId="22E0D3FF" w:rsidR="007C7DC5" w:rsidRPr="007C7DC5" w:rsidRDefault="007C7DC5" w:rsidP="007C7DC5">
                            <w:pPr>
                              <w:pStyle w:val="Caption"/>
                              <w:rPr>
                                <w:rFonts w:asciiTheme="majorBidi" w:hAnsiTheme="majorBidi" w:cstheme="majorBidi"/>
                                <w:noProof/>
                                <w:color w:val="auto"/>
                                <w:sz w:val="20"/>
                                <w:szCs w:val="20"/>
                              </w:rPr>
                            </w:pPr>
                            <w:r w:rsidRPr="007C7DC5">
                              <w:rPr>
                                <w:b/>
                                <w:bCs/>
                                <w:i w:val="0"/>
                                <w:iCs w:val="0"/>
                                <w:color w:val="auto"/>
                                <w:sz w:val="20"/>
                                <w:szCs w:val="20"/>
                              </w:rPr>
                              <w:t>Table 3.</w:t>
                            </w:r>
                            <w:r w:rsidRPr="007C7DC5">
                              <w:rPr>
                                <w:color w:val="auto"/>
                              </w:rPr>
                              <w:t xml:space="preserve"> </w:t>
                            </w:r>
                            <w:r w:rsidRPr="007C7DC5">
                              <w:rPr>
                                <w:i w:val="0"/>
                                <w:iCs w:val="0"/>
                                <w:color w:val="auto"/>
                                <w:sz w:val="20"/>
                                <w:szCs w:val="20"/>
                              </w:rPr>
                              <w:t>The Iterative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6EE9" id="_x0000_s1029" type="#_x0000_t202" style="position:absolute;left:0;text-align:left;margin-left:156.2pt;margin-top:0;width:133.8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" stroked="f">
                <v:textbox inset="0,0,0,0">
                  <w:txbxContent>
                    <w:p w14:paraId="0F6CA282" w14:textId="22E0D3FF" w:rsidR="007C7DC5" w:rsidRPr="007C7DC5" w:rsidRDefault="007C7DC5" w:rsidP="007C7DC5">
                      <w:pPr>
                        <w:pStyle w:val="Caption"/>
                        <w:rPr>
                          <w:rFonts w:asciiTheme="majorBidi" w:hAnsiTheme="majorBidi" w:cstheme="majorBidi"/>
                          <w:noProof/>
                          <w:color w:val="auto"/>
                          <w:sz w:val="20"/>
                          <w:szCs w:val="20"/>
                        </w:rPr>
                      </w:pPr>
                      <w:r w:rsidRPr="007C7DC5">
                        <w:rPr>
                          <w:b/>
                          <w:bCs/>
                          <w:i w:val="0"/>
                          <w:iCs w:val="0"/>
                          <w:color w:val="auto"/>
                          <w:sz w:val="20"/>
                          <w:szCs w:val="20"/>
                        </w:rPr>
                        <w:t>Table 3.</w:t>
                      </w:r>
                      <w:r w:rsidRPr="007C7DC5">
                        <w:rPr>
                          <w:color w:val="auto"/>
                        </w:rPr>
                        <w:t xml:space="preserve"> </w:t>
                      </w:r>
                      <w:r w:rsidRPr="007C7DC5">
                        <w:rPr>
                          <w:i w:val="0"/>
                          <w:iCs w:val="0"/>
                          <w:color w:val="auto"/>
                          <w:sz w:val="20"/>
                          <w:szCs w:val="20"/>
                        </w:rPr>
                        <w:t>The Iterative Model.</w:t>
                      </w:r>
                    </w:p>
                  </w:txbxContent>
                </v:textbox>
                <w10:wrap type="square"/>
              </v:shape>
            </w:pict>
          </mc:Fallback>
        </mc:AlternateContent>
      </w:r>
    </w:p>
    <w:p w14:paraId="383E23F2" w14:textId="1FC40830" w:rsidR="00C66713" w:rsidRDefault="00C66713" w:rsidP="00C66713"/>
    <w:p w14:paraId="6874A9E0" w14:textId="78E64AEF" w:rsidR="00C66713" w:rsidRDefault="0062148B" w:rsidP="0062148B">
      <w:pPr>
        <w:tabs>
          <w:tab w:val="left" w:pos="1644"/>
        </w:tabs>
      </w:pPr>
      <w:r>
        <w:tab/>
      </w:r>
    </w:p>
    <w:p w14:paraId="1BDB0C84" w14:textId="50017A44" w:rsidR="00C66713" w:rsidRDefault="00C66713" w:rsidP="00C66713"/>
    <w:p w14:paraId="5388A2AF" w14:textId="77777777" w:rsidR="00C66713" w:rsidRDefault="00C66713" w:rsidP="00C66713"/>
    <w:p w14:paraId="1946CA14" w14:textId="77777777" w:rsidR="00C66713" w:rsidRDefault="00C66713" w:rsidP="00C66713"/>
    <w:p w14:paraId="185B338A" w14:textId="310BD878" w:rsidR="00C66713" w:rsidRDefault="00C66713" w:rsidP="00C66713"/>
    <w:p w14:paraId="6E64DDE4" w14:textId="77777777" w:rsidR="00C66713" w:rsidRDefault="00C66713" w:rsidP="00C66713"/>
    <w:p w14:paraId="7F3E5312" w14:textId="0B5B6299" w:rsidR="00C66713" w:rsidRDefault="00C66713" w:rsidP="00C66713"/>
    <w:p w14:paraId="55CD52DA" w14:textId="77777777" w:rsidR="007C7DC5" w:rsidRDefault="007C7DC5" w:rsidP="00C66713"/>
    <w:p w14:paraId="69C13F11" w14:textId="77777777" w:rsidR="007C7DC5" w:rsidRDefault="007C7DC5" w:rsidP="00C66713"/>
    <w:p w14:paraId="70A4B1FD" w14:textId="77777777" w:rsidR="007C7DC5" w:rsidRDefault="007C7DC5" w:rsidP="00C66713"/>
    <w:p w14:paraId="220BC813" w14:textId="45A80FE3" w:rsidR="007C7DC5" w:rsidRDefault="007C7DC5" w:rsidP="00C66713"/>
    <w:p w14:paraId="3F3359F9" w14:textId="113E8647" w:rsidR="00C66713" w:rsidRDefault="00C66713" w:rsidP="00C66713">
      <w:pPr>
        <w:ind w:firstLine="0"/>
        <w:rPr>
          <w:b/>
        </w:rPr>
      </w:pPr>
    </w:p>
    <w:p w14:paraId="5B575204" w14:textId="77777777" w:rsidR="00C66713" w:rsidRDefault="00C66713" w:rsidP="00C66713">
      <w:pPr>
        <w:ind w:firstLine="0"/>
        <w:rPr>
          <w:b/>
        </w:rPr>
      </w:pPr>
    </w:p>
    <w:p w14:paraId="2840EA0D" w14:textId="5ED8B38E" w:rsidR="00C66713" w:rsidRDefault="00C66713" w:rsidP="00C66713"/>
    <w:p w14:paraId="3A6576F5" w14:textId="77777777" w:rsidR="00C66713" w:rsidRDefault="00C66713" w:rsidP="00C66713"/>
    <w:p w14:paraId="232DE7F4" w14:textId="77777777" w:rsidR="00C66713" w:rsidRDefault="00C66713" w:rsidP="00C66713"/>
    <w:p w14:paraId="2A78C2FB" w14:textId="42E9DA4B" w:rsidR="00C66713" w:rsidRDefault="00C66713" w:rsidP="00C66713"/>
    <w:p w14:paraId="379E8A49" w14:textId="77777777" w:rsidR="00C66713" w:rsidRDefault="00C66713" w:rsidP="00C66713"/>
    <w:p w14:paraId="25377834" w14:textId="3B1F29FE" w:rsidR="00C66713" w:rsidRDefault="00C66713" w:rsidP="00C66713"/>
    <w:p w14:paraId="3334857D" w14:textId="60907EAF" w:rsidR="00C66713" w:rsidRDefault="00C66713" w:rsidP="00C66713"/>
    <w:p w14:paraId="5BDE6E20" w14:textId="2406221D" w:rsidR="00C66713" w:rsidRDefault="00C66713" w:rsidP="00C66713"/>
    <w:p w14:paraId="7DCE1419" w14:textId="71DA8A48" w:rsidR="00C66713" w:rsidRDefault="00C66713" w:rsidP="00C66713"/>
    <w:p w14:paraId="45270D1C" w14:textId="32EEA8E3" w:rsidR="00C66713" w:rsidRDefault="00C66713" w:rsidP="00C66713"/>
    <w:p w14:paraId="4BB330FA" w14:textId="0EB36101" w:rsidR="00C66713" w:rsidRDefault="00C66713" w:rsidP="00C66713"/>
    <w:p w14:paraId="7E820428" w14:textId="77777777" w:rsidR="00C66713" w:rsidRDefault="00C66713" w:rsidP="00C66713"/>
    <w:p w14:paraId="11283853" w14:textId="5E909736" w:rsidR="00C66713" w:rsidRDefault="0006243D" w:rsidP="0006243D">
      <w:pPr>
        <w:tabs>
          <w:tab w:val="left" w:pos="5814"/>
        </w:tabs>
      </w:pPr>
      <w:r>
        <w:tab/>
      </w:r>
    </w:p>
    <w:p w14:paraId="205641CF" w14:textId="77777777" w:rsidR="00C66713" w:rsidRDefault="00C66713" w:rsidP="00C66713"/>
    <w:p w14:paraId="0B13DCBC" w14:textId="77777777" w:rsidR="00C66713" w:rsidRPr="00C66713" w:rsidRDefault="00C66713" w:rsidP="00C66713"/>
    <w:tbl>
      <w:tblPr>
        <w:tblW w:w="6885" w:type="dxa"/>
        <w:jc w:val="center"/>
        <w:tblLayout w:type="fixed"/>
        <w:tblCellMar>
          <w:left w:w="70" w:type="dxa"/>
          <w:right w:w="70" w:type="dxa"/>
        </w:tblCellMar>
        <w:tblLook w:val="04A0" w:firstRow="1" w:lastRow="0" w:firstColumn="1" w:lastColumn="0" w:noHBand="0" w:noVBand="1"/>
      </w:tblPr>
      <w:tblGrid>
        <w:gridCol w:w="1691"/>
        <w:gridCol w:w="3442"/>
        <w:gridCol w:w="1752"/>
      </w:tblGrid>
      <w:tr w:rsidR="00B030D7" w14:paraId="4C83FCB1" w14:textId="77777777" w:rsidTr="00B030D7">
        <w:trPr>
          <w:jc w:val="center"/>
        </w:trPr>
        <w:tc>
          <w:tcPr>
            <w:tcW w:w="1664" w:type="dxa"/>
            <w:tcBorders>
              <w:top w:val="single" w:sz="12" w:space="0" w:color="000000"/>
              <w:left w:val="nil"/>
              <w:bottom w:val="single" w:sz="6" w:space="0" w:color="000000"/>
              <w:right w:val="nil"/>
            </w:tcBorders>
            <w:hideMark/>
          </w:tcPr>
          <w:p w14:paraId="3D76E2BA" w14:textId="77777777" w:rsidR="00B030D7" w:rsidRDefault="00B030D7">
            <w:pPr>
              <w:ind w:firstLine="0"/>
              <w:jc w:val="left"/>
              <w:rPr>
                <w:sz w:val="18"/>
                <w:szCs w:val="18"/>
              </w:rPr>
            </w:pPr>
            <w:r>
              <w:rPr>
                <w:sz w:val="18"/>
                <w:szCs w:val="18"/>
              </w:rPr>
              <w:t>Heading level</w:t>
            </w:r>
          </w:p>
        </w:tc>
        <w:tc>
          <w:tcPr>
            <w:tcW w:w="3387" w:type="dxa"/>
            <w:tcBorders>
              <w:top w:val="single" w:sz="12" w:space="0" w:color="000000"/>
              <w:left w:val="nil"/>
              <w:bottom w:val="single" w:sz="6" w:space="0" w:color="000000"/>
              <w:right w:val="nil"/>
            </w:tcBorders>
            <w:hideMark/>
          </w:tcPr>
          <w:p w14:paraId="14E4D536" w14:textId="77777777" w:rsidR="00B030D7" w:rsidRDefault="00B030D7">
            <w:pPr>
              <w:ind w:firstLine="0"/>
              <w:jc w:val="left"/>
              <w:rPr>
                <w:sz w:val="18"/>
                <w:szCs w:val="18"/>
              </w:rPr>
            </w:pPr>
            <w:r>
              <w:rPr>
                <w:sz w:val="18"/>
                <w:szCs w:val="18"/>
              </w:rPr>
              <w:t>Example</w:t>
            </w:r>
          </w:p>
        </w:tc>
        <w:tc>
          <w:tcPr>
            <w:tcW w:w="1724" w:type="dxa"/>
            <w:tcBorders>
              <w:top w:val="single" w:sz="12" w:space="0" w:color="000000"/>
              <w:left w:val="nil"/>
              <w:bottom w:val="single" w:sz="6" w:space="0" w:color="000000"/>
              <w:right w:val="nil"/>
            </w:tcBorders>
            <w:hideMark/>
          </w:tcPr>
          <w:p w14:paraId="29D431B7" w14:textId="77777777" w:rsidR="00B030D7" w:rsidRDefault="00B030D7">
            <w:pPr>
              <w:ind w:firstLine="0"/>
              <w:jc w:val="left"/>
              <w:rPr>
                <w:sz w:val="18"/>
                <w:szCs w:val="18"/>
              </w:rPr>
            </w:pPr>
            <w:r>
              <w:rPr>
                <w:sz w:val="18"/>
                <w:szCs w:val="18"/>
              </w:rPr>
              <w:t>Font size and style</w:t>
            </w:r>
          </w:p>
        </w:tc>
      </w:tr>
      <w:tr w:rsidR="00B030D7" w14:paraId="2D72E114" w14:textId="77777777" w:rsidTr="00B030D7">
        <w:trPr>
          <w:trHeight w:val="284"/>
          <w:jc w:val="center"/>
        </w:trPr>
        <w:tc>
          <w:tcPr>
            <w:tcW w:w="1664" w:type="dxa"/>
            <w:vAlign w:val="center"/>
            <w:hideMark/>
          </w:tcPr>
          <w:p w14:paraId="7E81E984" w14:textId="77777777" w:rsidR="00B030D7" w:rsidRDefault="00B030D7">
            <w:pPr>
              <w:ind w:firstLine="0"/>
              <w:jc w:val="left"/>
              <w:rPr>
                <w:sz w:val="18"/>
                <w:szCs w:val="18"/>
              </w:rPr>
            </w:pPr>
            <w:r>
              <w:rPr>
                <w:sz w:val="18"/>
                <w:szCs w:val="18"/>
              </w:rPr>
              <w:t>Title (centered)</w:t>
            </w:r>
          </w:p>
        </w:tc>
        <w:tc>
          <w:tcPr>
            <w:tcW w:w="3387" w:type="dxa"/>
            <w:vAlign w:val="center"/>
            <w:hideMark/>
          </w:tcPr>
          <w:p w14:paraId="58E85746" w14:textId="77777777" w:rsidR="00B030D7" w:rsidRDefault="00B030D7">
            <w:pPr>
              <w:ind w:firstLine="0"/>
              <w:jc w:val="left"/>
              <w:rPr>
                <w:sz w:val="18"/>
                <w:szCs w:val="18"/>
              </w:rPr>
            </w:pPr>
            <w:r>
              <w:rPr>
                <w:b/>
                <w:bCs/>
                <w:sz w:val="28"/>
                <w:szCs w:val="25"/>
              </w:rPr>
              <w:t>Lecture Notes</w:t>
            </w:r>
          </w:p>
        </w:tc>
        <w:tc>
          <w:tcPr>
            <w:tcW w:w="1724" w:type="dxa"/>
            <w:vAlign w:val="center"/>
            <w:hideMark/>
          </w:tcPr>
          <w:p w14:paraId="64690F0A" w14:textId="77777777" w:rsidR="00B030D7" w:rsidRDefault="00B030D7">
            <w:pPr>
              <w:ind w:firstLine="0"/>
              <w:jc w:val="left"/>
              <w:rPr>
                <w:sz w:val="18"/>
                <w:szCs w:val="18"/>
              </w:rPr>
            </w:pPr>
            <w:r>
              <w:rPr>
                <w:sz w:val="18"/>
                <w:szCs w:val="18"/>
              </w:rPr>
              <w:t xml:space="preserve">14 </w:t>
            </w:r>
            <w:proofErr w:type="gramStart"/>
            <w:r>
              <w:rPr>
                <w:sz w:val="18"/>
                <w:szCs w:val="18"/>
              </w:rPr>
              <w:t>point</w:t>
            </w:r>
            <w:proofErr w:type="gramEnd"/>
            <w:r>
              <w:rPr>
                <w:sz w:val="18"/>
                <w:szCs w:val="18"/>
              </w:rPr>
              <w:t>, bold</w:t>
            </w:r>
          </w:p>
        </w:tc>
      </w:tr>
      <w:tr w:rsidR="00B030D7" w14:paraId="2DB946F5" w14:textId="77777777" w:rsidTr="00B030D7">
        <w:trPr>
          <w:trHeight w:val="284"/>
          <w:jc w:val="center"/>
        </w:trPr>
        <w:tc>
          <w:tcPr>
            <w:tcW w:w="1664" w:type="dxa"/>
            <w:vAlign w:val="center"/>
            <w:hideMark/>
          </w:tcPr>
          <w:p w14:paraId="2B318C11" w14:textId="77777777" w:rsidR="00B030D7" w:rsidRDefault="00B030D7">
            <w:pPr>
              <w:ind w:firstLine="0"/>
              <w:jc w:val="left"/>
              <w:rPr>
                <w:sz w:val="18"/>
                <w:szCs w:val="18"/>
              </w:rPr>
            </w:pPr>
            <w:r>
              <w:rPr>
                <w:sz w:val="18"/>
                <w:szCs w:val="18"/>
              </w:rPr>
              <w:t>1</w:t>
            </w:r>
            <w:r>
              <w:rPr>
                <w:sz w:val="18"/>
                <w:szCs w:val="18"/>
                <w:vertAlign w:val="superscript"/>
              </w:rPr>
              <w:t>st</w:t>
            </w:r>
            <w:r>
              <w:rPr>
                <w:sz w:val="18"/>
                <w:szCs w:val="18"/>
              </w:rPr>
              <w:t>-level heading</w:t>
            </w:r>
          </w:p>
        </w:tc>
        <w:tc>
          <w:tcPr>
            <w:tcW w:w="3387" w:type="dxa"/>
            <w:vAlign w:val="center"/>
            <w:hideMark/>
          </w:tcPr>
          <w:p w14:paraId="26D72CD0" w14:textId="77777777" w:rsidR="00B030D7" w:rsidRDefault="00B030D7">
            <w:pPr>
              <w:ind w:firstLine="0"/>
              <w:jc w:val="left"/>
              <w:rPr>
                <w:sz w:val="18"/>
                <w:szCs w:val="18"/>
              </w:rPr>
            </w:pPr>
            <w:r>
              <w:rPr>
                <w:b/>
                <w:bCs/>
                <w:sz w:val="24"/>
                <w:szCs w:val="21"/>
              </w:rPr>
              <w:t>1 Introduction</w:t>
            </w:r>
          </w:p>
        </w:tc>
        <w:tc>
          <w:tcPr>
            <w:tcW w:w="1724" w:type="dxa"/>
            <w:vAlign w:val="center"/>
            <w:hideMark/>
          </w:tcPr>
          <w:p w14:paraId="27DEE9BA" w14:textId="77777777" w:rsidR="00B030D7" w:rsidRDefault="00B030D7">
            <w:pPr>
              <w:ind w:firstLine="0"/>
              <w:jc w:val="left"/>
              <w:rPr>
                <w:sz w:val="18"/>
                <w:szCs w:val="18"/>
              </w:rPr>
            </w:pPr>
            <w:r>
              <w:rPr>
                <w:sz w:val="18"/>
                <w:szCs w:val="18"/>
              </w:rPr>
              <w:t xml:space="preserve">12 </w:t>
            </w:r>
            <w:proofErr w:type="gramStart"/>
            <w:r>
              <w:rPr>
                <w:sz w:val="18"/>
                <w:szCs w:val="18"/>
              </w:rPr>
              <w:t>point</w:t>
            </w:r>
            <w:proofErr w:type="gramEnd"/>
            <w:r>
              <w:rPr>
                <w:sz w:val="18"/>
                <w:szCs w:val="18"/>
              </w:rPr>
              <w:t>, bold</w:t>
            </w:r>
          </w:p>
        </w:tc>
      </w:tr>
      <w:tr w:rsidR="00B030D7" w14:paraId="489F4EED" w14:textId="77777777" w:rsidTr="00B030D7">
        <w:trPr>
          <w:trHeight w:val="284"/>
          <w:jc w:val="center"/>
        </w:trPr>
        <w:tc>
          <w:tcPr>
            <w:tcW w:w="1664" w:type="dxa"/>
            <w:vAlign w:val="center"/>
            <w:hideMark/>
          </w:tcPr>
          <w:p w14:paraId="37E3FC4C" w14:textId="77777777" w:rsidR="00B030D7" w:rsidRDefault="00B030D7">
            <w:pPr>
              <w:ind w:firstLine="0"/>
              <w:jc w:val="left"/>
              <w:rPr>
                <w:sz w:val="18"/>
                <w:szCs w:val="18"/>
              </w:rPr>
            </w:pPr>
            <w:r>
              <w:rPr>
                <w:sz w:val="18"/>
                <w:szCs w:val="18"/>
              </w:rPr>
              <w:t>2</w:t>
            </w:r>
            <w:r>
              <w:rPr>
                <w:sz w:val="18"/>
                <w:szCs w:val="18"/>
                <w:vertAlign w:val="superscript"/>
              </w:rPr>
              <w:t>nd</w:t>
            </w:r>
            <w:r>
              <w:rPr>
                <w:sz w:val="18"/>
                <w:szCs w:val="18"/>
              </w:rPr>
              <w:t>-level heading</w:t>
            </w:r>
          </w:p>
        </w:tc>
        <w:tc>
          <w:tcPr>
            <w:tcW w:w="3387" w:type="dxa"/>
            <w:vAlign w:val="center"/>
            <w:hideMark/>
          </w:tcPr>
          <w:p w14:paraId="4052BA8A" w14:textId="77777777" w:rsidR="00B030D7" w:rsidRDefault="00B030D7">
            <w:pPr>
              <w:ind w:firstLine="0"/>
              <w:jc w:val="left"/>
              <w:rPr>
                <w:sz w:val="18"/>
                <w:szCs w:val="18"/>
              </w:rPr>
            </w:pPr>
            <w:r>
              <w:rPr>
                <w:b/>
                <w:bCs/>
                <w:szCs w:val="18"/>
              </w:rPr>
              <w:t>2.1 Printing Area</w:t>
            </w:r>
          </w:p>
        </w:tc>
        <w:tc>
          <w:tcPr>
            <w:tcW w:w="1724" w:type="dxa"/>
            <w:vAlign w:val="center"/>
            <w:hideMark/>
          </w:tcPr>
          <w:p w14:paraId="40CB0C2F" w14:textId="77777777" w:rsidR="00B030D7" w:rsidRDefault="00B030D7">
            <w:pPr>
              <w:ind w:firstLine="0"/>
              <w:jc w:val="left"/>
              <w:rPr>
                <w:sz w:val="18"/>
                <w:szCs w:val="18"/>
              </w:rPr>
            </w:pPr>
            <w:r>
              <w:rPr>
                <w:sz w:val="18"/>
                <w:szCs w:val="18"/>
              </w:rPr>
              <w:t xml:space="preserve">10 </w:t>
            </w:r>
            <w:proofErr w:type="gramStart"/>
            <w:r>
              <w:rPr>
                <w:sz w:val="18"/>
                <w:szCs w:val="18"/>
              </w:rPr>
              <w:t>point</w:t>
            </w:r>
            <w:proofErr w:type="gramEnd"/>
            <w:r>
              <w:rPr>
                <w:sz w:val="18"/>
                <w:szCs w:val="18"/>
              </w:rPr>
              <w:t>, bold</w:t>
            </w:r>
          </w:p>
        </w:tc>
      </w:tr>
      <w:tr w:rsidR="00B030D7" w14:paraId="5733C5D0" w14:textId="77777777" w:rsidTr="00B030D7">
        <w:trPr>
          <w:trHeight w:val="284"/>
          <w:jc w:val="center"/>
        </w:trPr>
        <w:tc>
          <w:tcPr>
            <w:tcW w:w="1664" w:type="dxa"/>
            <w:vAlign w:val="center"/>
            <w:hideMark/>
          </w:tcPr>
          <w:p w14:paraId="22A3AA7F" w14:textId="77777777" w:rsidR="00B030D7" w:rsidRDefault="00B030D7">
            <w:pPr>
              <w:ind w:firstLine="0"/>
              <w:jc w:val="left"/>
              <w:rPr>
                <w:sz w:val="18"/>
                <w:szCs w:val="18"/>
              </w:rPr>
            </w:pPr>
            <w:r>
              <w:rPr>
                <w:sz w:val="18"/>
                <w:szCs w:val="18"/>
              </w:rPr>
              <w:t>3</w:t>
            </w:r>
            <w:r>
              <w:rPr>
                <w:sz w:val="18"/>
                <w:szCs w:val="18"/>
                <w:vertAlign w:val="superscript"/>
              </w:rPr>
              <w:t>rd</w:t>
            </w:r>
            <w:r>
              <w:rPr>
                <w:sz w:val="18"/>
                <w:szCs w:val="18"/>
              </w:rPr>
              <w:t>-level heading</w:t>
            </w:r>
          </w:p>
        </w:tc>
        <w:tc>
          <w:tcPr>
            <w:tcW w:w="3387" w:type="dxa"/>
            <w:vAlign w:val="center"/>
            <w:hideMark/>
          </w:tcPr>
          <w:p w14:paraId="7BD0A027" w14:textId="77777777" w:rsidR="00B030D7" w:rsidRDefault="00B030D7">
            <w:pPr>
              <w:ind w:firstLine="0"/>
              <w:jc w:val="left"/>
              <w:rPr>
                <w:sz w:val="18"/>
                <w:szCs w:val="18"/>
              </w:rPr>
            </w:pPr>
            <w:r>
              <w:rPr>
                <w:b/>
                <w:bCs/>
                <w:szCs w:val="18"/>
              </w:rPr>
              <w:t>Run-in Heading in Bold.</w:t>
            </w:r>
            <w:r>
              <w:rPr>
                <w:szCs w:val="18"/>
              </w:rPr>
              <w:t xml:space="preserve"> Text follows</w:t>
            </w:r>
          </w:p>
        </w:tc>
        <w:tc>
          <w:tcPr>
            <w:tcW w:w="1724" w:type="dxa"/>
            <w:vAlign w:val="center"/>
            <w:hideMark/>
          </w:tcPr>
          <w:p w14:paraId="0D9CE617" w14:textId="77777777" w:rsidR="00B030D7" w:rsidRDefault="00B030D7">
            <w:pPr>
              <w:ind w:firstLine="0"/>
              <w:jc w:val="left"/>
              <w:rPr>
                <w:sz w:val="18"/>
                <w:szCs w:val="18"/>
              </w:rPr>
            </w:pPr>
            <w:r>
              <w:rPr>
                <w:sz w:val="18"/>
                <w:szCs w:val="18"/>
              </w:rPr>
              <w:t xml:space="preserve">10 </w:t>
            </w:r>
            <w:proofErr w:type="gramStart"/>
            <w:r>
              <w:rPr>
                <w:sz w:val="18"/>
                <w:szCs w:val="18"/>
              </w:rPr>
              <w:t>point</w:t>
            </w:r>
            <w:proofErr w:type="gramEnd"/>
            <w:r>
              <w:rPr>
                <w:sz w:val="18"/>
                <w:szCs w:val="18"/>
              </w:rPr>
              <w:t>, bold</w:t>
            </w:r>
          </w:p>
        </w:tc>
      </w:tr>
      <w:tr w:rsidR="00B030D7" w14:paraId="32D19B06" w14:textId="77777777" w:rsidTr="00B030D7">
        <w:trPr>
          <w:trHeight w:val="284"/>
          <w:jc w:val="center"/>
        </w:trPr>
        <w:tc>
          <w:tcPr>
            <w:tcW w:w="1664" w:type="dxa"/>
            <w:tcBorders>
              <w:top w:val="nil"/>
              <w:left w:val="nil"/>
              <w:bottom w:val="single" w:sz="12" w:space="0" w:color="000000"/>
              <w:right w:val="nil"/>
            </w:tcBorders>
            <w:vAlign w:val="center"/>
            <w:hideMark/>
          </w:tcPr>
          <w:p w14:paraId="7838A502" w14:textId="77777777" w:rsidR="00B030D7" w:rsidRDefault="00B030D7">
            <w:pPr>
              <w:ind w:firstLine="0"/>
              <w:jc w:val="left"/>
              <w:rPr>
                <w:sz w:val="18"/>
                <w:szCs w:val="18"/>
              </w:rPr>
            </w:pPr>
            <w:r>
              <w:rPr>
                <w:sz w:val="18"/>
                <w:szCs w:val="18"/>
              </w:rPr>
              <w:t>4</w:t>
            </w:r>
            <w:r>
              <w:rPr>
                <w:sz w:val="18"/>
                <w:szCs w:val="18"/>
                <w:vertAlign w:val="superscript"/>
              </w:rPr>
              <w:t>th</w:t>
            </w:r>
            <w:r>
              <w:rPr>
                <w:sz w:val="18"/>
                <w:szCs w:val="18"/>
              </w:rPr>
              <w:t>-level heading</w:t>
            </w:r>
          </w:p>
        </w:tc>
        <w:tc>
          <w:tcPr>
            <w:tcW w:w="3387" w:type="dxa"/>
            <w:tcBorders>
              <w:top w:val="nil"/>
              <w:left w:val="nil"/>
              <w:bottom w:val="single" w:sz="12" w:space="0" w:color="000000"/>
              <w:right w:val="nil"/>
            </w:tcBorders>
            <w:vAlign w:val="center"/>
            <w:hideMark/>
          </w:tcPr>
          <w:p w14:paraId="301F45DF" w14:textId="77777777" w:rsidR="00B030D7" w:rsidRDefault="00B030D7">
            <w:pPr>
              <w:ind w:firstLine="0"/>
              <w:jc w:val="left"/>
              <w:rPr>
                <w:sz w:val="18"/>
                <w:szCs w:val="18"/>
              </w:rPr>
            </w:pPr>
            <w:r>
              <w:rPr>
                <w:i/>
                <w:iCs/>
                <w:szCs w:val="18"/>
              </w:rPr>
              <w:t>Lowest Level Heading.</w:t>
            </w:r>
            <w:r>
              <w:rPr>
                <w:szCs w:val="18"/>
              </w:rPr>
              <w:t xml:space="preserve"> Text follows</w:t>
            </w:r>
          </w:p>
        </w:tc>
        <w:tc>
          <w:tcPr>
            <w:tcW w:w="1724" w:type="dxa"/>
            <w:tcBorders>
              <w:top w:val="nil"/>
              <w:left w:val="nil"/>
              <w:bottom w:val="single" w:sz="12" w:space="0" w:color="000000"/>
              <w:right w:val="nil"/>
            </w:tcBorders>
            <w:vAlign w:val="center"/>
            <w:hideMark/>
          </w:tcPr>
          <w:p w14:paraId="3AC85780" w14:textId="77777777" w:rsidR="00B030D7" w:rsidRDefault="00B030D7">
            <w:pPr>
              <w:ind w:firstLine="0"/>
              <w:jc w:val="left"/>
              <w:rPr>
                <w:sz w:val="18"/>
                <w:szCs w:val="18"/>
              </w:rPr>
            </w:pPr>
            <w:proofErr w:type="gramStart"/>
            <w:r>
              <w:rPr>
                <w:sz w:val="18"/>
                <w:szCs w:val="18"/>
              </w:rPr>
              <w:t>10 point</w:t>
            </w:r>
            <w:proofErr w:type="gramEnd"/>
            <w:r>
              <w:rPr>
                <w:sz w:val="18"/>
                <w:szCs w:val="18"/>
              </w:rPr>
              <w:t>, italic</w:t>
            </w:r>
          </w:p>
        </w:tc>
      </w:tr>
    </w:tbl>
    <w:p w14:paraId="2E3500A2" w14:textId="77777777" w:rsidR="00B030D7" w:rsidRDefault="00B030D7" w:rsidP="00B030D7">
      <w:pPr>
        <w:spacing w:before="240"/>
        <w:ind w:firstLine="0"/>
      </w:pPr>
      <w:r>
        <w:t xml:space="preserve">Displayed equations are centered and set on a separate line. </w:t>
      </w:r>
    </w:p>
    <w:p w14:paraId="42661D52" w14:textId="77777777" w:rsidR="00B030D7" w:rsidRDefault="00B030D7" w:rsidP="00B030D7">
      <w:pPr>
        <w:pStyle w:val="equation"/>
      </w:pPr>
      <w:r>
        <w:rPr>
          <w:i/>
        </w:rPr>
        <w:tab/>
      </w:r>
      <w:bookmarkStart w:id="1" w:name="_Ref467511664"/>
      <w:bookmarkStart w:id="2" w:name="_Ref467511750"/>
      <w:r>
        <w:rPr>
          <w:i/>
        </w:rPr>
        <w:t>x</w:t>
      </w:r>
      <w:r>
        <w:t xml:space="preserve"> + </w:t>
      </w:r>
      <w:r>
        <w:rPr>
          <w:i/>
        </w:rPr>
        <w:t>y</w:t>
      </w:r>
      <w:r>
        <w:t xml:space="preserve"> = </w:t>
      </w:r>
      <w:r>
        <w:rPr>
          <w:i/>
        </w:rPr>
        <w:t>z</w:t>
      </w:r>
      <w:r>
        <w:tab/>
        <w:t>(</w:t>
      </w:r>
      <w:fldSimple w:instr=" SEQ &quot;Equation&quot; \n \* MERGEFORMAT ">
        <w:r>
          <w:rPr>
            <w:noProof/>
          </w:rPr>
          <w:t>1</w:t>
        </w:r>
      </w:fldSimple>
      <w:bookmarkStart w:id="3" w:name="_Ref467511674"/>
      <w:bookmarkEnd w:id="1"/>
      <w:r>
        <w:t>)</w:t>
      </w:r>
      <w:bookmarkEnd w:id="2"/>
      <w:bookmarkEnd w:id="3"/>
    </w:p>
    <w:p w14:paraId="627F9DCA" w14:textId="77777777" w:rsidR="00B030D7" w:rsidRDefault="00B030D7" w:rsidP="00B030D7">
      <w:pPr>
        <w:pStyle w:val="p1a"/>
        <w:tabs>
          <w:tab w:val="left" w:pos="1929"/>
        </w:tabs>
      </w:pPr>
      <w:r>
        <w:t xml:space="preserve">Please try to avoid rasterized images for line-art diagrams and schemas. Whenever possible, use vector graphics instead (see </w:t>
      </w:r>
      <w:r>
        <w:fldChar w:fldCharType="begin"/>
      </w:r>
      <w:r>
        <w:instrText xml:space="preserve"> REF _Ref467515387 \h  \* MERGEFORMAT </w:instrText>
      </w:r>
      <w:r>
        <w:fldChar w:fldCharType="separate"/>
      </w:r>
      <w:r>
        <w:t>Fig. 1</w:t>
      </w:r>
      <w:r>
        <w:fldChar w:fldCharType="end"/>
      </w:r>
      <w:r>
        <w:t>).</w:t>
      </w:r>
    </w:p>
    <w:p w14:paraId="54D547C4" w14:textId="384FCAEB" w:rsidR="00B030D7" w:rsidRDefault="00B030D7" w:rsidP="00B030D7">
      <w:pPr>
        <w:spacing w:before="360"/>
        <w:ind w:left="227" w:hanging="227"/>
      </w:pPr>
      <w:r>
        <w:rPr>
          <w:noProof/>
          <w:lang w:val="de-DE" w:eastAsia="de-DE"/>
        </w:rPr>
        <w:lastRenderedPageBreak/>
        <w:drawing>
          <wp:inline distT="0" distB="0" distL="0" distR="0" wp14:anchorId="11618AE8" wp14:editId="553DA0D4">
            <wp:extent cx="4391025" cy="18573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2F0DF0" w14:textId="08810CA8" w:rsidR="00B030D7" w:rsidRDefault="00B030D7" w:rsidP="00B030D7">
      <w:pPr>
        <w:pStyle w:val="figurecaption"/>
        <w:jc w:val="both"/>
      </w:pPr>
      <w:bookmarkStart w:id="4" w:name="_Ref467515387"/>
      <w:r>
        <w:rPr>
          <w:b/>
        </w:rPr>
        <w:t xml:space="preserve">Fig. </w:t>
      </w:r>
      <w:r w:rsidR="00004F85">
        <w:rPr>
          <w:b/>
        </w:rPr>
        <w:fldChar w:fldCharType="begin"/>
      </w:r>
      <w:r w:rsidR="00004F85">
        <w:rPr>
          <w:b/>
        </w:rPr>
        <w:instrText xml:space="preserve"> SEQ Figure \* ARABIC </w:instrText>
      </w:r>
      <w:r w:rsidR="00004F85">
        <w:rPr>
          <w:b/>
        </w:rPr>
        <w:fldChar w:fldCharType="separate"/>
      </w:r>
      <w:r w:rsidR="00004F85">
        <w:rPr>
          <w:b/>
          <w:noProof/>
        </w:rPr>
        <w:t>2</w:t>
      </w:r>
      <w:r w:rsidR="00004F85">
        <w:rPr>
          <w:b/>
        </w:rPr>
        <w:fldChar w:fldCharType="end"/>
      </w:r>
      <w:bookmarkEnd w:id="4"/>
      <w:r>
        <w:rPr>
          <w:b/>
        </w:rPr>
        <w:t>.</w:t>
      </w:r>
      <w:r>
        <w:t xml:space="preserve"> A figure caption is always placed below the illustration. Short captions are centered, while long ones are justified. The macro button chooses the correct format automatically.</w:t>
      </w:r>
    </w:p>
    <w:p w14:paraId="49365A99" w14:textId="77777777" w:rsidR="00B030D7" w:rsidRDefault="00B030D7" w:rsidP="00B030D7">
      <w:pPr>
        <w:pStyle w:val="p1a"/>
      </w:pPr>
      <w:r>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453E7214" w14:textId="77777777" w:rsidR="00B030D7" w:rsidRDefault="00B030D7" w:rsidP="00B030D7">
      <w:pPr>
        <w:pStyle w:val="acknowlegments"/>
        <w:rPr>
          <w:b/>
          <w:bCs/>
        </w:rPr>
      </w:pPr>
      <w:r>
        <w:rPr>
          <w:rStyle w:val="heading30"/>
        </w:rPr>
        <w:t>Acknowledgments.</w:t>
      </w:r>
      <w:r>
        <w:rPr>
          <w:b/>
          <w:bCs/>
        </w:rPr>
        <w:t xml:space="preserve"> </w:t>
      </w:r>
      <w:r>
        <w:rPr>
          <w:bCs/>
        </w:rPr>
        <w:t>A third level heading in 9-point font size at the end of the paper is used for general acknowledgments, for example: This study was funded by X (grant number Y).</w:t>
      </w:r>
    </w:p>
    <w:p w14:paraId="07AB4295" w14:textId="77777777" w:rsidR="00B030D7" w:rsidRDefault="00B030D7" w:rsidP="00B030D7">
      <w:pPr>
        <w:pStyle w:val="acknowlegments"/>
      </w:pPr>
      <w:r>
        <w:rPr>
          <w:rStyle w:val="heading30"/>
        </w:rPr>
        <w:t>Disclosure of Interests.</w:t>
      </w:r>
      <w:r>
        <w:rPr>
          <w:b/>
          <w:bCs/>
        </w:rPr>
        <w:t xml:space="preserve"> </w:t>
      </w:r>
      <w:r>
        <w:t>It is now necessary to declare any competing interests or to specifically state that the authors have no competing interests. Please place the statement with a third level heading in 9-point font size beneath the (optional) acknowledgments</w:t>
      </w:r>
      <w:r>
        <w:rPr>
          <w:rStyle w:val="FootnoteReference"/>
        </w:rPr>
        <w:footnoteReference w:id="1"/>
      </w:r>
      <w:r>
        <w:t>, for example: The authors have no competing interests to declare that are relevant to the content of this article. Or: Author A has received research grants from Company W. Author B has received a speaker honorarium from Company X and owns stock in Company Y. Author C is a member of committee Z.</w:t>
      </w:r>
    </w:p>
    <w:p w14:paraId="50261563" w14:textId="77777777" w:rsidR="00B030D7" w:rsidRDefault="00B030D7" w:rsidP="00B030D7">
      <w:pPr>
        <w:pStyle w:val="heading1"/>
        <w:numPr>
          <w:ilvl w:val="0"/>
          <w:numId w:val="0"/>
        </w:numPr>
        <w:tabs>
          <w:tab w:val="left" w:pos="720"/>
        </w:tabs>
        <w:ind w:left="567" w:hanging="567"/>
      </w:pPr>
      <w:r>
        <w:t>References</w:t>
      </w:r>
    </w:p>
    <w:p w14:paraId="600F46D6" w14:textId="77777777" w:rsidR="00B030D7" w:rsidRDefault="00B030D7" w:rsidP="00B030D7">
      <w:pPr>
        <w:pStyle w:val="referenceitem"/>
        <w:numPr>
          <w:ilvl w:val="0"/>
          <w:numId w:val="4"/>
        </w:numPr>
      </w:pPr>
      <w:r>
        <w:t xml:space="preserve">Author, F.: Article title. Journal </w:t>
      </w:r>
      <w:r>
        <w:rPr>
          <w:b/>
        </w:rPr>
        <w:t>2</w:t>
      </w:r>
      <w:r>
        <w:t>(5), 99–110 (2016)</w:t>
      </w:r>
    </w:p>
    <w:p w14:paraId="451D71B5" w14:textId="77777777" w:rsidR="00B030D7" w:rsidRDefault="00B030D7" w:rsidP="00B030D7">
      <w:pPr>
        <w:pStyle w:val="referenceitem"/>
        <w:numPr>
          <w:ilvl w:val="0"/>
          <w:numId w:val="4"/>
        </w:numPr>
      </w:pPr>
      <w:r>
        <w:t>Author, F., Author, S.: Title of a proceedings paper. In: Editor, F., Editor, S. (eds.) CONFERENCE 2016, LNCS, vol. 9999, pp. 1–13. Springer, Heidelberg (2016)</w:t>
      </w:r>
    </w:p>
    <w:p w14:paraId="15A01129" w14:textId="77777777" w:rsidR="00B030D7" w:rsidRDefault="00B030D7" w:rsidP="00B030D7">
      <w:pPr>
        <w:pStyle w:val="referenceitem"/>
        <w:numPr>
          <w:ilvl w:val="0"/>
          <w:numId w:val="4"/>
        </w:numPr>
      </w:pPr>
      <w:r>
        <w:t xml:space="preserve">Author, F., Author, S., Author, T.: Book title. 2nd </w:t>
      </w:r>
      <w:proofErr w:type="spellStart"/>
      <w:r>
        <w:t>edn</w:t>
      </w:r>
      <w:proofErr w:type="spellEnd"/>
      <w:r>
        <w:t>. Publisher, Location (1999)</w:t>
      </w:r>
    </w:p>
    <w:p w14:paraId="38BF14A8" w14:textId="77777777" w:rsidR="00B030D7" w:rsidRDefault="00B030D7" w:rsidP="00B030D7">
      <w:pPr>
        <w:pStyle w:val="referenceitem"/>
        <w:numPr>
          <w:ilvl w:val="0"/>
          <w:numId w:val="4"/>
        </w:numPr>
      </w:pPr>
      <w:r>
        <w:t>Author, F.: Contribution title. In: 9th International Proceedings on Proceedings, pp. 1–2. Publisher, Location (2010)</w:t>
      </w:r>
    </w:p>
    <w:p w14:paraId="158844CE" w14:textId="77777777" w:rsidR="00B030D7" w:rsidRDefault="00B030D7" w:rsidP="00B030D7">
      <w:pPr>
        <w:pStyle w:val="referenceitem"/>
        <w:numPr>
          <w:ilvl w:val="0"/>
          <w:numId w:val="4"/>
        </w:numPr>
      </w:pPr>
      <w:r>
        <w:t xml:space="preserve">LNCS Homepage, </w:t>
      </w:r>
      <w:hyperlink r:id="rId12" w:history="1">
        <w:r>
          <w:rPr>
            <w:rStyle w:val="Hyperlink"/>
          </w:rPr>
          <w:t>http://www.springer.com/lncs</w:t>
        </w:r>
      </w:hyperlink>
      <w:r>
        <w:t xml:space="preserve">, last accessed </w:t>
      </w:r>
      <w:proofErr w:type="gramStart"/>
      <w:r>
        <w:t>2023/10/25</w:t>
      </w:r>
      <w:proofErr w:type="gramEnd"/>
    </w:p>
    <w:p w14:paraId="400ABF31" w14:textId="77777777" w:rsidR="005A5391" w:rsidRDefault="005A5391"/>
    <w:sectPr w:rsidR="005A5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79713" w14:textId="77777777" w:rsidR="00DB2A22" w:rsidRDefault="00DB2A22" w:rsidP="00B030D7">
      <w:pPr>
        <w:spacing w:line="240" w:lineRule="auto"/>
      </w:pPr>
      <w:r>
        <w:separator/>
      </w:r>
    </w:p>
  </w:endnote>
  <w:endnote w:type="continuationSeparator" w:id="0">
    <w:p w14:paraId="66BB5600" w14:textId="77777777" w:rsidR="00DB2A22" w:rsidRDefault="00DB2A22" w:rsidP="00B0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433D" w14:textId="77777777" w:rsidR="00DB2A22" w:rsidRDefault="00DB2A22" w:rsidP="00B030D7">
      <w:pPr>
        <w:spacing w:line="240" w:lineRule="auto"/>
      </w:pPr>
      <w:r>
        <w:separator/>
      </w:r>
    </w:p>
  </w:footnote>
  <w:footnote w:type="continuationSeparator" w:id="0">
    <w:p w14:paraId="22158808" w14:textId="77777777" w:rsidR="00DB2A22" w:rsidRDefault="00DB2A22" w:rsidP="00B030D7">
      <w:pPr>
        <w:spacing w:line="240" w:lineRule="auto"/>
      </w:pPr>
      <w:r>
        <w:continuationSeparator/>
      </w:r>
    </w:p>
  </w:footnote>
  <w:footnote w:id="1">
    <w:p w14:paraId="27C44929" w14:textId="77777777" w:rsidR="00B030D7" w:rsidRDefault="00B030D7" w:rsidP="00B030D7">
      <w:pPr>
        <w:pStyle w:val="FootnoteText"/>
      </w:pPr>
      <w:r>
        <w:rPr>
          <w:rStyle w:val="FootnoteReference"/>
        </w:rPr>
        <w:footnoteRef/>
      </w:r>
      <w:r>
        <w:t xml:space="preserve"> </w:t>
      </w:r>
      <w:r>
        <w:tab/>
        <w:t xml:space="preserve">If </w:t>
      </w:r>
      <w:proofErr w:type="spellStart"/>
      <w:r>
        <w:t>EquinOCS</w:t>
      </w:r>
      <w:proofErr w:type="spellEnd"/>
      <w:r>
        <w:t>, our proceedings submission system, is used, then the disclaimer can be provided directly in the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07F"/>
    <w:multiLevelType w:val="hybridMultilevel"/>
    <w:tmpl w:val="9C1EBD9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686061472">
    <w:abstractNumId w:val="1"/>
  </w:num>
  <w:num w:numId="2" w16cid:durableId="26157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17411">
    <w:abstractNumId w:val="2"/>
  </w:num>
  <w:num w:numId="4" w16cid:durableId="15810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7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004F85"/>
    <w:rsid w:val="0006243D"/>
    <w:rsid w:val="000828E4"/>
    <w:rsid w:val="000F02EF"/>
    <w:rsid w:val="001140DE"/>
    <w:rsid w:val="001307A5"/>
    <w:rsid w:val="00143AB7"/>
    <w:rsid w:val="0014489A"/>
    <w:rsid w:val="001503B0"/>
    <w:rsid w:val="0016277C"/>
    <w:rsid w:val="00194E2D"/>
    <w:rsid w:val="001A7A68"/>
    <w:rsid w:val="001E1F1E"/>
    <w:rsid w:val="00206DCF"/>
    <w:rsid w:val="00264846"/>
    <w:rsid w:val="00276C7F"/>
    <w:rsid w:val="00284EC8"/>
    <w:rsid w:val="002A1BC5"/>
    <w:rsid w:val="002D3067"/>
    <w:rsid w:val="00356E81"/>
    <w:rsid w:val="003620D7"/>
    <w:rsid w:val="003809F8"/>
    <w:rsid w:val="003A1325"/>
    <w:rsid w:val="003B1B2F"/>
    <w:rsid w:val="003E6991"/>
    <w:rsid w:val="004045F4"/>
    <w:rsid w:val="00405ADD"/>
    <w:rsid w:val="00417BFA"/>
    <w:rsid w:val="00483048"/>
    <w:rsid w:val="004B130A"/>
    <w:rsid w:val="004B650C"/>
    <w:rsid w:val="0053651F"/>
    <w:rsid w:val="00553622"/>
    <w:rsid w:val="00572A28"/>
    <w:rsid w:val="00581C65"/>
    <w:rsid w:val="005A5391"/>
    <w:rsid w:val="0062148B"/>
    <w:rsid w:val="006262E1"/>
    <w:rsid w:val="006572B0"/>
    <w:rsid w:val="006B2299"/>
    <w:rsid w:val="006D30B3"/>
    <w:rsid w:val="006D41BC"/>
    <w:rsid w:val="00714499"/>
    <w:rsid w:val="007A313D"/>
    <w:rsid w:val="007C7DC5"/>
    <w:rsid w:val="00807286"/>
    <w:rsid w:val="008944AD"/>
    <w:rsid w:val="008B42C1"/>
    <w:rsid w:val="008D142B"/>
    <w:rsid w:val="008D782D"/>
    <w:rsid w:val="008F7AFD"/>
    <w:rsid w:val="009170B3"/>
    <w:rsid w:val="00920BA4"/>
    <w:rsid w:val="00925D7D"/>
    <w:rsid w:val="009C7F4E"/>
    <w:rsid w:val="009D2541"/>
    <w:rsid w:val="00A12D85"/>
    <w:rsid w:val="00A15C51"/>
    <w:rsid w:val="00A717FF"/>
    <w:rsid w:val="00AB304A"/>
    <w:rsid w:val="00AC79EB"/>
    <w:rsid w:val="00B02E89"/>
    <w:rsid w:val="00B030D7"/>
    <w:rsid w:val="00B474DE"/>
    <w:rsid w:val="00BC2AEB"/>
    <w:rsid w:val="00BE01C5"/>
    <w:rsid w:val="00BF08D4"/>
    <w:rsid w:val="00C14721"/>
    <w:rsid w:val="00C169E4"/>
    <w:rsid w:val="00C3234E"/>
    <w:rsid w:val="00C41EEB"/>
    <w:rsid w:val="00C52C78"/>
    <w:rsid w:val="00C66713"/>
    <w:rsid w:val="00C71683"/>
    <w:rsid w:val="00C74170"/>
    <w:rsid w:val="00C95F26"/>
    <w:rsid w:val="00CD0F90"/>
    <w:rsid w:val="00D5633F"/>
    <w:rsid w:val="00D82B59"/>
    <w:rsid w:val="00D86947"/>
    <w:rsid w:val="00D90C61"/>
    <w:rsid w:val="00D96F33"/>
    <w:rsid w:val="00DA7C89"/>
    <w:rsid w:val="00DB2A22"/>
    <w:rsid w:val="00DB4514"/>
    <w:rsid w:val="00DB5D68"/>
    <w:rsid w:val="00E52FAC"/>
    <w:rsid w:val="00E7304C"/>
    <w:rsid w:val="00EB72EC"/>
    <w:rsid w:val="00EE5528"/>
    <w:rsid w:val="00F35AF1"/>
    <w:rsid w:val="00F52330"/>
    <w:rsid w:val="00F65DD1"/>
    <w:rsid w:val="00F802C7"/>
    <w:rsid w:val="00FB461E"/>
    <w:rsid w:val="00FC6B1E"/>
    <w:rsid w:val="00FE4E10"/>
    <w:rsid w:val="00FE72BD"/>
    <w:rsid w:val="00FF1D9D"/>
    <w:rsid w:val="00FF7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3408"/>
  <w15:chartTrackingRefBased/>
  <w15:docId w15:val="{F5058BF9-4130-4E09-9134-4F7FEBD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10"/>
    <w:pPr>
      <w:overflowPunct w:val="0"/>
      <w:autoSpaceDE w:val="0"/>
      <w:autoSpaceDN w:val="0"/>
      <w:adjustRightInd w:val="0"/>
      <w:spacing w:after="0" w:line="240" w:lineRule="atLeast"/>
      <w:ind w:firstLine="227"/>
      <w:jc w:val="both"/>
    </w:pPr>
    <w:rPr>
      <w:rFonts w:ascii="Times New Roman" w:eastAsia="Times New Roman" w:hAnsi="Times New Roman" w:cs="Times New Roman"/>
      <w:kern w:val="0"/>
      <w:sz w:val="20"/>
      <w:szCs w:val="20"/>
      <w14:ligatures w14:val="none"/>
    </w:rPr>
  </w:style>
  <w:style w:type="paragraph" w:styleId="Heading3">
    <w:name w:val="heading 3"/>
    <w:basedOn w:val="Normal"/>
    <w:next w:val="Normal"/>
    <w:link w:val="Heading3Char"/>
    <w:semiHidden/>
    <w:unhideWhenUsed/>
    <w:qFormat/>
    <w:rsid w:val="00B030D7"/>
    <w:pPr>
      <w:spacing w:before="360"/>
      <w:ind w:firstLine="0"/>
      <w:outlineLvl w:val="2"/>
    </w:pPr>
  </w:style>
  <w:style w:type="paragraph" w:styleId="Heading4">
    <w:name w:val="heading 4"/>
    <w:basedOn w:val="Normal"/>
    <w:next w:val="Normal"/>
    <w:link w:val="Heading4Char"/>
    <w:semiHidden/>
    <w:unhideWhenUsed/>
    <w:qFormat/>
    <w:rsid w:val="00B030D7"/>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030D7"/>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semiHidden/>
    <w:rsid w:val="00B030D7"/>
    <w:rPr>
      <w:rFonts w:ascii="Times New Roman" w:eastAsia="Times New Roman" w:hAnsi="Times New Roman" w:cs="Times New Roman"/>
      <w:kern w:val="0"/>
      <w:sz w:val="20"/>
      <w:szCs w:val="20"/>
      <w14:ligatures w14:val="none"/>
    </w:rPr>
  </w:style>
  <w:style w:type="character" w:styleId="Hyperlink">
    <w:name w:val="Hyperlink"/>
    <w:basedOn w:val="DefaultParagraphFont"/>
    <w:semiHidden/>
    <w:unhideWhenUsed/>
    <w:rsid w:val="00B030D7"/>
    <w:rPr>
      <w:strike w:val="0"/>
      <w:dstrike w:val="0"/>
      <w:color w:val="auto"/>
      <w:u w:val="none"/>
      <w:effect w:val="none"/>
    </w:rPr>
  </w:style>
  <w:style w:type="paragraph" w:styleId="FootnoteText">
    <w:name w:val="footnote text"/>
    <w:basedOn w:val="Normal"/>
    <w:link w:val="FootnoteTextChar"/>
    <w:semiHidden/>
    <w:unhideWhenUsed/>
    <w:rsid w:val="00B030D7"/>
    <w:pPr>
      <w:spacing w:line="220" w:lineRule="atLeast"/>
      <w:ind w:left="227" w:hanging="227"/>
    </w:pPr>
    <w:rPr>
      <w:sz w:val="18"/>
    </w:rPr>
  </w:style>
  <w:style w:type="character" w:customStyle="1" w:styleId="FootnoteTextChar">
    <w:name w:val="Footnote Text Char"/>
    <w:basedOn w:val="DefaultParagraphFont"/>
    <w:link w:val="FootnoteText"/>
    <w:semiHidden/>
    <w:rsid w:val="00B030D7"/>
    <w:rPr>
      <w:rFonts w:ascii="Times New Roman" w:eastAsia="Times New Roman" w:hAnsi="Times New Roman" w:cs="Times New Roman"/>
      <w:kern w:val="0"/>
      <w:sz w:val="18"/>
      <w:szCs w:val="20"/>
      <w14:ligatures w14:val="none"/>
    </w:rPr>
  </w:style>
  <w:style w:type="paragraph" w:customStyle="1" w:styleId="abstract">
    <w:name w:val="abstract"/>
    <w:basedOn w:val="Normal"/>
    <w:rsid w:val="00B030D7"/>
    <w:pPr>
      <w:spacing w:before="600" w:after="360" w:line="220" w:lineRule="atLeast"/>
      <w:ind w:left="567" w:right="567"/>
      <w:contextualSpacing/>
    </w:pPr>
    <w:rPr>
      <w:sz w:val="18"/>
    </w:rPr>
  </w:style>
  <w:style w:type="paragraph" w:customStyle="1" w:styleId="address">
    <w:name w:val="address"/>
    <w:basedOn w:val="Normal"/>
    <w:rsid w:val="00B030D7"/>
    <w:pPr>
      <w:spacing w:after="200" w:line="220" w:lineRule="atLeast"/>
      <w:ind w:firstLine="0"/>
      <w:contextualSpacing/>
      <w:jc w:val="center"/>
    </w:pPr>
    <w:rPr>
      <w:sz w:val="18"/>
    </w:rPr>
  </w:style>
  <w:style w:type="paragraph" w:customStyle="1" w:styleId="author">
    <w:name w:val="author"/>
    <w:basedOn w:val="Normal"/>
    <w:next w:val="address"/>
    <w:rsid w:val="00B030D7"/>
    <w:pPr>
      <w:spacing w:after="200" w:line="220" w:lineRule="atLeast"/>
      <w:ind w:firstLine="0"/>
      <w:jc w:val="center"/>
    </w:pPr>
  </w:style>
  <w:style w:type="paragraph" w:customStyle="1" w:styleId="equation">
    <w:name w:val="equation"/>
    <w:basedOn w:val="Normal"/>
    <w:next w:val="Normal"/>
    <w:rsid w:val="00B030D7"/>
    <w:pPr>
      <w:tabs>
        <w:tab w:val="center" w:pos="3289"/>
        <w:tab w:val="right" w:pos="6917"/>
      </w:tabs>
      <w:spacing w:before="160" w:after="160"/>
      <w:ind w:firstLine="0"/>
    </w:pPr>
  </w:style>
  <w:style w:type="paragraph" w:customStyle="1" w:styleId="figurecaption">
    <w:name w:val="figurecaption"/>
    <w:basedOn w:val="Normal"/>
    <w:next w:val="Normal"/>
    <w:rsid w:val="00B030D7"/>
    <w:pPr>
      <w:keepLines/>
      <w:spacing w:before="120" w:after="240" w:line="220" w:lineRule="atLeast"/>
      <w:ind w:firstLine="0"/>
      <w:jc w:val="center"/>
    </w:pPr>
    <w:rPr>
      <w:sz w:val="18"/>
    </w:rPr>
  </w:style>
  <w:style w:type="paragraph" w:customStyle="1" w:styleId="p1a">
    <w:name w:val="p1a"/>
    <w:basedOn w:val="Normal"/>
    <w:next w:val="Normal"/>
    <w:rsid w:val="00B030D7"/>
    <w:pPr>
      <w:ind w:firstLine="0"/>
    </w:pPr>
  </w:style>
  <w:style w:type="paragraph" w:customStyle="1" w:styleId="heading1">
    <w:name w:val="heading1"/>
    <w:basedOn w:val="Normal"/>
    <w:next w:val="p1a"/>
    <w:qFormat/>
    <w:rsid w:val="00B030D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B030D7"/>
    <w:pPr>
      <w:keepNext/>
      <w:keepLines/>
      <w:numPr>
        <w:ilvl w:val="1"/>
        <w:numId w:val="1"/>
      </w:numPr>
      <w:suppressAutoHyphens/>
      <w:spacing w:before="360" w:after="160"/>
      <w:jc w:val="left"/>
      <w:outlineLvl w:val="1"/>
    </w:pPr>
    <w:rPr>
      <w:b/>
    </w:rPr>
  </w:style>
  <w:style w:type="paragraph" w:customStyle="1" w:styleId="acknowlegments">
    <w:name w:val="acknowlegments"/>
    <w:basedOn w:val="Normal"/>
    <w:qFormat/>
    <w:rsid w:val="00B030D7"/>
    <w:pPr>
      <w:spacing w:before="240" w:line="220" w:lineRule="atLeast"/>
      <w:ind w:firstLine="0"/>
    </w:pPr>
    <w:rPr>
      <w:sz w:val="18"/>
    </w:rPr>
  </w:style>
  <w:style w:type="paragraph" w:customStyle="1" w:styleId="keywords">
    <w:name w:val="keywords"/>
    <w:basedOn w:val="abstract"/>
    <w:next w:val="heading1"/>
    <w:rsid w:val="00B030D7"/>
    <w:pPr>
      <w:spacing w:before="220"/>
      <w:ind w:firstLine="0"/>
      <w:contextualSpacing w:val="0"/>
      <w:jc w:val="left"/>
    </w:pPr>
  </w:style>
  <w:style w:type="paragraph" w:customStyle="1" w:styleId="referenceitem">
    <w:name w:val="referenceitem"/>
    <w:basedOn w:val="Normal"/>
    <w:rsid w:val="00B030D7"/>
    <w:pPr>
      <w:numPr>
        <w:numId w:val="3"/>
      </w:numPr>
      <w:spacing w:line="220" w:lineRule="atLeast"/>
    </w:pPr>
    <w:rPr>
      <w:sz w:val="18"/>
    </w:rPr>
  </w:style>
  <w:style w:type="paragraph" w:customStyle="1" w:styleId="papertitle">
    <w:name w:val="papertitle"/>
    <w:basedOn w:val="Normal"/>
    <w:next w:val="author"/>
    <w:rsid w:val="00B030D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B030D7"/>
    <w:pPr>
      <w:keepNext/>
      <w:keepLines/>
      <w:spacing w:before="240" w:after="120" w:line="220" w:lineRule="atLeast"/>
      <w:ind w:firstLine="0"/>
      <w:jc w:val="center"/>
    </w:pPr>
    <w:rPr>
      <w:sz w:val="18"/>
    </w:rPr>
  </w:style>
  <w:style w:type="character" w:styleId="FootnoteReference">
    <w:name w:val="footnote reference"/>
    <w:basedOn w:val="DefaultParagraphFont"/>
    <w:semiHidden/>
    <w:unhideWhenUsed/>
    <w:rsid w:val="00B030D7"/>
    <w:rPr>
      <w:position w:val="0"/>
      <w:vertAlign w:val="superscript"/>
    </w:rPr>
  </w:style>
  <w:style w:type="character" w:customStyle="1" w:styleId="e-mail">
    <w:name w:val="e-mail"/>
    <w:basedOn w:val="DefaultParagraphFont"/>
    <w:rsid w:val="00B030D7"/>
    <w:rPr>
      <w:rFonts w:ascii="Courier" w:hAnsi="Courier" w:hint="default"/>
      <w:noProof/>
    </w:rPr>
  </w:style>
  <w:style w:type="character" w:customStyle="1" w:styleId="heading30">
    <w:name w:val="heading3"/>
    <w:basedOn w:val="DefaultParagraphFont"/>
    <w:rsid w:val="00B030D7"/>
    <w:rPr>
      <w:b/>
      <w:bCs w:val="0"/>
    </w:rPr>
  </w:style>
  <w:style w:type="character" w:customStyle="1" w:styleId="heading40">
    <w:name w:val="heading4"/>
    <w:basedOn w:val="DefaultParagraphFont"/>
    <w:rsid w:val="00B030D7"/>
    <w:rPr>
      <w:i/>
      <w:iCs w:val="0"/>
    </w:rPr>
  </w:style>
  <w:style w:type="character" w:customStyle="1" w:styleId="ORCID">
    <w:name w:val="ORCID"/>
    <w:basedOn w:val="DefaultParagraphFont"/>
    <w:rsid w:val="00B030D7"/>
    <w:rPr>
      <w:position w:val="0"/>
      <w:vertAlign w:val="superscript"/>
    </w:rPr>
  </w:style>
  <w:style w:type="numbering" w:customStyle="1" w:styleId="headings">
    <w:name w:val="headings"/>
    <w:rsid w:val="00B030D7"/>
    <w:pPr>
      <w:numPr>
        <w:numId w:val="1"/>
      </w:numPr>
    </w:pPr>
  </w:style>
  <w:style w:type="numbering" w:customStyle="1" w:styleId="referencelist">
    <w:name w:val="referencelist"/>
    <w:rsid w:val="00B030D7"/>
    <w:pPr>
      <w:numPr>
        <w:numId w:val="3"/>
      </w:numPr>
    </w:pPr>
  </w:style>
  <w:style w:type="paragraph" w:styleId="Header">
    <w:name w:val="header"/>
    <w:basedOn w:val="Normal"/>
    <w:link w:val="HeaderChar"/>
    <w:uiPriority w:val="99"/>
    <w:unhideWhenUsed/>
    <w:rsid w:val="00FE4E10"/>
    <w:pPr>
      <w:tabs>
        <w:tab w:val="center" w:pos="4680"/>
        <w:tab w:val="right" w:pos="9360"/>
      </w:tabs>
      <w:spacing w:line="240" w:lineRule="auto"/>
    </w:pPr>
  </w:style>
  <w:style w:type="character" w:customStyle="1" w:styleId="HeaderChar">
    <w:name w:val="Header Char"/>
    <w:basedOn w:val="DefaultParagraphFont"/>
    <w:link w:val="Header"/>
    <w:uiPriority w:val="99"/>
    <w:rsid w:val="00FE4E10"/>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FE4E10"/>
    <w:pPr>
      <w:tabs>
        <w:tab w:val="center" w:pos="4680"/>
        <w:tab w:val="right" w:pos="9360"/>
      </w:tabs>
      <w:spacing w:line="240" w:lineRule="auto"/>
    </w:pPr>
  </w:style>
  <w:style w:type="character" w:customStyle="1" w:styleId="FooterChar">
    <w:name w:val="Footer Char"/>
    <w:basedOn w:val="DefaultParagraphFont"/>
    <w:link w:val="Footer"/>
    <w:uiPriority w:val="99"/>
    <w:rsid w:val="00FE4E10"/>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unhideWhenUsed/>
    <w:qFormat/>
    <w:rsid w:val="00C66713"/>
    <w:pPr>
      <w:spacing w:after="200" w:line="240" w:lineRule="auto"/>
    </w:pPr>
    <w:rPr>
      <w:i/>
      <w:iCs/>
      <w:color w:val="44546A" w:themeColor="text2"/>
      <w:sz w:val="18"/>
      <w:szCs w:val="18"/>
    </w:rPr>
  </w:style>
  <w:style w:type="paragraph" w:styleId="ListParagraph">
    <w:name w:val="List Paragraph"/>
    <w:basedOn w:val="Normal"/>
    <w:uiPriority w:val="34"/>
    <w:qFormat/>
    <w:rsid w:val="002D3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56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4843">
          <w:marLeft w:val="0"/>
          <w:marRight w:val="0"/>
          <w:marTop w:val="0"/>
          <w:marBottom w:val="0"/>
          <w:divBdr>
            <w:top w:val="single" w:sz="2" w:space="0" w:color="D9D9E3"/>
            <w:left w:val="single" w:sz="2" w:space="0" w:color="D9D9E3"/>
            <w:bottom w:val="single" w:sz="2" w:space="0" w:color="D9D9E3"/>
            <w:right w:val="single" w:sz="2" w:space="0" w:color="D9D9E3"/>
          </w:divBdr>
          <w:divsChild>
            <w:div w:id="388043679">
              <w:marLeft w:val="0"/>
              <w:marRight w:val="0"/>
              <w:marTop w:val="0"/>
              <w:marBottom w:val="0"/>
              <w:divBdr>
                <w:top w:val="single" w:sz="2" w:space="0" w:color="D9D9E3"/>
                <w:left w:val="single" w:sz="2" w:space="0" w:color="D9D9E3"/>
                <w:bottom w:val="single" w:sz="2" w:space="0" w:color="D9D9E3"/>
                <w:right w:val="single" w:sz="2" w:space="0" w:color="D9D9E3"/>
              </w:divBdr>
              <w:divsChild>
                <w:div w:id="201872127">
                  <w:marLeft w:val="0"/>
                  <w:marRight w:val="0"/>
                  <w:marTop w:val="0"/>
                  <w:marBottom w:val="0"/>
                  <w:divBdr>
                    <w:top w:val="single" w:sz="2" w:space="0" w:color="D9D9E3"/>
                    <w:left w:val="single" w:sz="2" w:space="0" w:color="D9D9E3"/>
                    <w:bottom w:val="single" w:sz="2" w:space="0" w:color="D9D9E3"/>
                    <w:right w:val="single" w:sz="2" w:space="0" w:color="D9D9E3"/>
                  </w:divBdr>
                  <w:divsChild>
                    <w:div w:id="604193603">
                      <w:marLeft w:val="0"/>
                      <w:marRight w:val="0"/>
                      <w:marTop w:val="0"/>
                      <w:marBottom w:val="0"/>
                      <w:divBdr>
                        <w:top w:val="single" w:sz="2" w:space="0" w:color="D9D9E3"/>
                        <w:left w:val="single" w:sz="2" w:space="0" w:color="D9D9E3"/>
                        <w:bottom w:val="single" w:sz="2" w:space="0" w:color="D9D9E3"/>
                        <w:right w:val="single" w:sz="2" w:space="0" w:color="D9D9E3"/>
                      </w:divBdr>
                      <w:divsChild>
                        <w:div w:id="1265381343">
                          <w:marLeft w:val="0"/>
                          <w:marRight w:val="0"/>
                          <w:marTop w:val="0"/>
                          <w:marBottom w:val="0"/>
                          <w:divBdr>
                            <w:top w:val="none" w:sz="0" w:space="0" w:color="auto"/>
                            <w:left w:val="none" w:sz="0" w:space="0" w:color="auto"/>
                            <w:bottom w:val="none" w:sz="0" w:space="0" w:color="auto"/>
                            <w:right w:val="none" w:sz="0" w:space="0" w:color="auto"/>
                          </w:divBdr>
                          <w:divsChild>
                            <w:div w:id="847062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233837">
                                  <w:marLeft w:val="0"/>
                                  <w:marRight w:val="0"/>
                                  <w:marTop w:val="0"/>
                                  <w:marBottom w:val="0"/>
                                  <w:divBdr>
                                    <w:top w:val="single" w:sz="2" w:space="0" w:color="D9D9E3"/>
                                    <w:left w:val="single" w:sz="2" w:space="0" w:color="D9D9E3"/>
                                    <w:bottom w:val="single" w:sz="2" w:space="0" w:color="D9D9E3"/>
                                    <w:right w:val="single" w:sz="2" w:space="0" w:color="D9D9E3"/>
                                  </w:divBdr>
                                  <w:divsChild>
                                    <w:div w:id="1374308563">
                                      <w:marLeft w:val="0"/>
                                      <w:marRight w:val="0"/>
                                      <w:marTop w:val="0"/>
                                      <w:marBottom w:val="0"/>
                                      <w:divBdr>
                                        <w:top w:val="single" w:sz="2" w:space="0" w:color="D9D9E3"/>
                                        <w:left w:val="single" w:sz="2" w:space="0" w:color="D9D9E3"/>
                                        <w:bottom w:val="single" w:sz="2" w:space="0" w:color="D9D9E3"/>
                                        <w:right w:val="single" w:sz="2" w:space="0" w:color="D9D9E3"/>
                                      </w:divBdr>
                                      <w:divsChild>
                                        <w:div w:id="1587224200">
                                          <w:marLeft w:val="0"/>
                                          <w:marRight w:val="0"/>
                                          <w:marTop w:val="0"/>
                                          <w:marBottom w:val="0"/>
                                          <w:divBdr>
                                            <w:top w:val="single" w:sz="2" w:space="0" w:color="D9D9E3"/>
                                            <w:left w:val="single" w:sz="2" w:space="0" w:color="D9D9E3"/>
                                            <w:bottom w:val="single" w:sz="2" w:space="0" w:color="D9D9E3"/>
                                            <w:right w:val="single" w:sz="2" w:space="0" w:color="D9D9E3"/>
                                          </w:divBdr>
                                          <w:divsChild>
                                            <w:div w:id="432289228">
                                              <w:marLeft w:val="0"/>
                                              <w:marRight w:val="0"/>
                                              <w:marTop w:val="0"/>
                                              <w:marBottom w:val="0"/>
                                              <w:divBdr>
                                                <w:top w:val="single" w:sz="2" w:space="0" w:color="D9D9E3"/>
                                                <w:left w:val="single" w:sz="2" w:space="0" w:color="D9D9E3"/>
                                                <w:bottom w:val="single" w:sz="2" w:space="0" w:color="D9D9E3"/>
                                                <w:right w:val="single" w:sz="2" w:space="0" w:color="D9D9E3"/>
                                              </w:divBdr>
                                              <w:divsChild>
                                                <w:div w:id="86512165">
                                                  <w:marLeft w:val="0"/>
                                                  <w:marRight w:val="0"/>
                                                  <w:marTop w:val="0"/>
                                                  <w:marBottom w:val="0"/>
                                                  <w:divBdr>
                                                    <w:top w:val="single" w:sz="2" w:space="0" w:color="D9D9E3"/>
                                                    <w:left w:val="single" w:sz="2" w:space="0" w:color="D9D9E3"/>
                                                    <w:bottom w:val="single" w:sz="2" w:space="0" w:color="D9D9E3"/>
                                                    <w:right w:val="single" w:sz="2" w:space="0" w:color="D9D9E3"/>
                                                  </w:divBdr>
                                                  <w:divsChild>
                                                    <w:div w:id="63151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731151">
          <w:marLeft w:val="0"/>
          <w:marRight w:val="0"/>
          <w:marTop w:val="0"/>
          <w:marBottom w:val="0"/>
          <w:divBdr>
            <w:top w:val="none" w:sz="0" w:space="0" w:color="auto"/>
            <w:left w:val="none" w:sz="0" w:space="0" w:color="auto"/>
            <w:bottom w:val="none" w:sz="0" w:space="0" w:color="auto"/>
            <w:right w:val="none" w:sz="0" w:space="0" w:color="auto"/>
          </w:divBdr>
        </w:div>
      </w:divsChild>
    </w:div>
    <w:div w:id="1315180666">
      <w:bodyDiv w:val="1"/>
      <w:marLeft w:val="0"/>
      <w:marRight w:val="0"/>
      <w:marTop w:val="0"/>
      <w:marBottom w:val="0"/>
      <w:divBdr>
        <w:top w:val="none" w:sz="0" w:space="0" w:color="auto"/>
        <w:left w:val="none" w:sz="0" w:space="0" w:color="auto"/>
        <w:bottom w:val="none" w:sz="0" w:space="0" w:color="auto"/>
        <w:right w:val="none" w:sz="0" w:space="0" w:color="auto"/>
      </w:divBdr>
      <w:divsChild>
        <w:div w:id="2030258456">
          <w:marLeft w:val="0"/>
          <w:marRight w:val="0"/>
          <w:marTop w:val="0"/>
          <w:marBottom w:val="0"/>
          <w:divBdr>
            <w:top w:val="single" w:sz="2" w:space="0" w:color="D9D9E3"/>
            <w:left w:val="single" w:sz="2" w:space="0" w:color="D9D9E3"/>
            <w:bottom w:val="single" w:sz="2" w:space="0" w:color="D9D9E3"/>
            <w:right w:val="single" w:sz="2" w:space="0" w:color="D9D9E3"/>
          </w:divBdr>
          <w:divsChild>
            <w:div w:id="1272205404">
              <w:marLeft w:val="0"/>
              <w:marRight w:val="0"/>
              <w:marTop w:val="0"/>
              <w:marBottom w:val="0"/>
              <w:divBdr>
                <w:top w:val="single" w:sz="2" w:space="0" w:color="D9D9E3"/>
                <w:left w:val="single" w:sz="2" w:space="0" w:color="D9D9E3"/>
                <w:bottom w:val="single" w:sz="2" w:space="0" w:color="D9D9E3"/>
                <w:right w:val="single" w:sz="2" w:space="0" w:color="D9D9E3"/>
              </w:divBdr>
              <w:divsChild>
                <w:div w:id="860313638">
                  <w:marLeft w:val="0"/>
                  <w:marRight w:val="0"/>
                  <w:marTop w:val="0"/>
                  <w:marBottom w:val="0"/>
                  <w:divBdr>
                    <w:top w:val="single" w:sz="2" w:space="0" w:color="D9D9E3"/>
                    <w:left w:val="single" w:sz="2" w:space="0" w:color="D9D9E3"/>
                    <w:bottom w:val="single" w:sz="2" w:space="0" w:color="D9D9E3"/>
                    <w:right w:val="single" w:sz="2" w:space="0" w:color="D9D9E3"/>
                  </w:divBdr>
                  <w:divsChild>
                    <w:div w:id="1231888571">
                      <w:marLeft w:val="0"/>
                      <w:marRight w:val="0"/>
                      <w:marTop w:val="0"/>
                      <w:marBottom w:val="0"/>
                      <w:divBdr>
                        <w:top w:val="single" w:sz="2" w:space="0" w:color="D9D9E3"/>
                        <w:left w:val="single" w:sz="2" w:space="0" w:color="D9D9E3"/>
                        <w:bottom w:val="single" w:sz="2" w:space="0" w:color="D9D9E3"/>
                        <w:right w:val="single" w:sz="2" w:space="0" w:color="D9D9E3"/>
                      </w:divBdr>
                      <w:divsChild>
                        <w:div w:id="765728494">
                          <w:marLeft w:val="0"/>
                          <w:marRight w:val="0"/>
                          <w:marTop w:val="0"/>
                          <w:marBottom w:val="0"/>
                          <w:divBdr>
                            <w:top w:val="none" w:sz="0" w:space="0" w:color="auto"/>
                            <w:left w:val="none" w:sz="0" w:space="0" w:color="auto"/>
                            <w:bottom w:val="none" w:sz="0" w:space="0" w:color="auto"/>
                            <w:right w:val="none" w:sz="0" w:space="0" w:color="auto"/>
                          </w:divBdr>
                          <w:divsChild>
                            <w:div w:id="100443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402">
                                  <w:marLeft w:val="0"/>
                                  <w:marRight w:val="0"/>
                                  <w:marTop w:val="0"/>
                                  <w:marBottom w:val="0"/>
                                  <w:divBdr>
                                    <w:top w:val="single" w:sz="2" w:space="0" w:color="D9D9E3"/>
                                    <w:left w:val="single" w:sz="2" w:space="0" w:color="D9D9E3"/>
                                    <w:bottom w:val="single" w:sz="2" w:space="0" w:color="D9D9E3"/>
                                    <w:right w:val="single" w:sz="2" w:space="0" w:color="D9D9E3"/>
                                  </w:divBdr>
                                  <w:divsChild>
                                    <w:div w:id="221526319">
                                      <w:marLeft w:val="0"/>
                                      <w:marRight w:val="0"/>
                                      <w:marTop w:val="0"/>
                                      <w:marBottom w:val="0"/>
                                      <w:divBdr>
                                        <w:top w:val="single" w:sz="2" w:space="0" w:color="D9D9E3"/>
                                        <w:left w:val="single" w:sz="2" w:space="0" w:color="D9D9E3"/>
                                        <w:bottom w:val="single" w:sz="2" w:space="0" w:color="D9D9E3"/>
                                        <w:right w:val="single" w:sz="2" w:space="0" w:color="D9D9E3"/>
                                      </w:divBdr>
                                      <w:divsChild>
                                        <w:div w:id="1622417754">
                                          <w:marLeft w:val="0"/>
                                          <w:marRight w:val="0"/>
                                          <w:marTop w:val="0"/>
                                          <w:marBottom w:val="0"/>
                                          <w:divBdr>
                                            <w:top w:val="single" w:sz="2" w:space="0" w:color="D9D9E3"/>
                                            <w:left w:val="single" w:sz="2" w:space="0" w:color="D9D9E3"/>
                                            <w:bottom w:val="single" w:sz="2" w:space="0" w:color="D9D9E3"/>
                                            <w:right w:val="single" w:sz="2" w:space="0" w:color="D9D9E3"/>
                                          </w:divBdr>
                                          <w:divsChild>
                                            <w:div w:id="845899796">
                                              <w:marLeft w:val="0"/>
                                              <w:marRight w:val="0"/>
                                              <w:marTop w:val="0"/>
                                              <w:marBottom w:val="0"/>
                                              <w:divBdr>
                                                <w:top w:val="single" w:sz="2" w:space="0" w:color="D9D9E3"/>
                                                <w:left w:val="single" w:sz="2" w:space="0" w:color="D9D9E3"/>
                                                <w:bottom w:val="single" w:sz="2" w:space="0" w:color="D9D9E3"/>
                                                <w:right w:val="single" w:sz="2" w:space="0" w:color="D9D9E3"/>
                                              </w:divBdr>
                                              <w:divsChild>
                                                <w:div w:id="989793656">
                                                  <w:marLeft w:val="0"/>
                                                  <w:marRight w:val="0"/>
                                                  <w:marTop w:val="0"/>
                                                  <w:marBottom w:val="0"/>
                                                  <w:divBdr>
                                                    <w:top w:val="single" w:sz="2" w:space="0" w:color="D9D9E3"/>
                                                    <w:left w:val="single" w:sz="2" w:space="0" w:color="D9D9E3"/>
                                                    <w:bottom w:val="single" w:sz="2" w:space="0" w:color="D9D9E3"/>
                                                    <w:right w:val="single" w:sz="2" w:space="0" w:color="D9D9E3"/>
                                                  </w:divBdr>
                                                  <w:divsChild>
                                                    <w:div w:id="946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8467">
          <w:marLeft w:val="0"/>
          <w:marRight w:val="0"/>
          <w:marTop w:val="0"/>
          <w:marBottom w:val="0"/>
          <w:divBdr>
            <w:top w:val="none" w:sz="0" w:space="0" w:color="auto"/>
            <w:left w:val="none" w:sz="0" w:space="0" w:color="auto"/>
            <w:bottom w:val="none" w:sz="0" w:space="0" w:color="auto"/>
            <w:right w:val="none" w:sz="0" w:space="0" w:color="auto"/>
          </w:divBdr>
        </w:div>
      </w:divsChild>
    </w:div>
    <w:div w:id="16902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com/ln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03E7-42D3-A53C-1CBAA28A74A2}"/>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03E7-42D3-A53C-1CBAA28A74A2}"/>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03E7-42D3-A53C-1CBAA28A74A2}"/>
            </c:ext>
          </c:extLst>
        </c:ser>
        <c:dLbls>
          <c:showLegendKey val="0"/>
          <c:showVal val="0"/>
          <c:showCatName val="0"/>
          <c:showSerName val="0"/>
          <c:showPercent val="0"/>
          <c:showBubbleSize val="0"/>
        </c:dLbls>
        <c:smooth val="0"/>
        <c:axId val="45318528"/>
        <c:axId val="45321216"/>
      </c:lineChart>
      <c:catAx>
        <c:axId val="45318528"/>
        <c:scaling>
          <c:orientation val="minMax"/>
        </c:scaling>
        <c:delete val="0"/>
        <c:axPos val="b"/>
        <c:numFmt formatCode="General" sourceLinked="1"/>
        <c:majorTickMark val="out"/>
        <c:minorTickMark val="none"/>
        <c:tickLblPos val="nextTo"/>
        <c:crossAx val="45321216"/>
        <c:crosses val="autoZero"/>
        <c:auto val="1"/>
        <c:lblAlgn val="ctr"/>
        <c:lblOffset val="100"/>
        <c:tickLblSkip val="5"/>
        <c:noMultiLvlLbl val="0"/>
      </c:catAx>
      <c:valAx>
        <c:axId val="45321216"/>
        <c:scaling>
          <c:orientation val="minMax"/>
        </c:scaling>
        <c:delete val="0"/>
        <c:axPos val="l"/>
        <c:majorGridlines>
          <c:spPr>
            <a:ln>
              <a:noFill/>
            </a:ln>
          </c:spPr>
        </c:majorGridlines>
        <c:numFmt formatCode="General" sourceLinked="1"/>
        <c:majorTickMark val="out"/>
        <c:minorTickMark val="none"/>
        <c:tickLblPos val="nextTo"/>
        <c:crossAx val="45318528"/>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5672</TotalTime>
  <Pages>6</Pages>
  <Words>1764</Words>
  <Characters>10657</Characters>
  <Application>Microsoft Office Word</Application>
  <DocSecurity>0</DocSecurity>
  <Lines>204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Khoshaeen</dc:creator>
  <cp:keywords/>
  <dc:description/>
  <cp:lastModifiedBy>Armaghan Khoshaeen</cp:lastModifiedBy>
  <cp:revision>20</cp:revision>
  <dcterms:created xsi:type="dcterms:W3CDTF">2023-11-20T19:51:00Z</dcterms:created>
  <dcterms:modified xsi:type="dcterms:W3CDTF">2023-11-26T17:13:00Z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296ce0cc-6169-45ad-8eca-29aead579b11</vt:lpwstr>
  </property>
</Properties>
</file>