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EC7" w:rsidRDefault="00904EC7" w:rsidP="009C1499">
      <w:pPr>
        <w:pStyle w:val="NoSpacing"/>
        <w:rPr>
          <w:rFonts w:ascii="Times New Roman" w:hAnsi="Times New Roman" w:cs="Times New Roman"/>
        </w:rPr>
      </w:pPr>
    </w:p>
    <w:p w:rsidR="009C1499" w:rsidRPr="00F9065E" w:rsidRDefault="00F9065E" w:rsidP="009C149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9065E">
        <w:rPr>
          <w:rFonts w:ascii="Times New Roman" w:hAnsi="Times New Roman" w:cs="Times New Roman"/>
          <w:sz w:val="20"/>
          <w:szCs w:val="20"/>
        </w:rPr>
        <w:t>Table 01: Test of “</w:t>
      </w:r>
      <w:r w:rsidRPr="00F9065E">
        <w:rPr>
          <w:rFonts w:ascii="Times New Roman" w:hAnsi="Times New Roman" w:cs="Times New Roman"/>
          <w:i/>
          <w:iCs/>
          <w:sz w:val="20"/>
          <w:szCs w:val="20"/>
        </w:rPr>
        <w:t xml:space="preserve">Parallel Trends” </w:t>
      </w:r>
      <w:r w:rsidRPr="00F9065E">
        <w:rPr>
          <w:rFonts w:ascii="Times New Roman" w:hAnsi="Times New Roman" w:cs="Times New Roman"/>
          <w:sz w:val="20"/>
          <w:szCs w:val="20"/>
        </w:rPr>
        <w:t xml:space="preserve">assumption for the Difference-in-difference (DID) estimate: 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3220"/>
        <w:gridCol w:w="2180"/>
      </w:tblGrid>
      <w:tr w:rsidR="009C1499" w:rsidRPr="009C1499" w:rsidTr="009C1499">
        <w:trPr>
          <w:trHeight w:val="320"/>
        </w:trPr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OLS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Lung Hospitalizations</w:t>
            </w:r>
          </w:p>
        </w:tc>
      </w:tr>
      <w:tr w:rsidR="009C1499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Treated States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-2,515***</w:t>
            </w:r>
          </w:p>
        </w:tc>
      </w:tr>
      <w:tr w:rsidR="009C1499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(261.4)</w:t>
            </w:r>
          </w:p>
        </w:tc>
      </w:tr>
      <w:tr w:rsidR="009C1499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Constant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114,268***</w:t>
            </w:r>
          </w:p>
        </w:tc>
      </w:tr>
      <w:tr w:rsidR="009C1499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499" w:rsidRPr="009C1499" w:rsidRDefault="009C1499" w:rsidP="009C149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(177.3)</w:t>
            </w:r>
          </w:p>
        </w:tc>
      </w:tr>
      <w:tr w:rsidR="00F9065E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Year Fixed Effects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F9065E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065E" w:rsidRDefault="00F9065E" w:rsidP="00F9065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Year X Treatment Effects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065E" w:rsidRDefault="00F9065E" w:rsidP="00F9065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F9065E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1,050</w:t>
            </w:r>
          </w:p>
        </w:tc>
      </w:tr>
      <w:tr w:rsidR="00F9065E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R-squared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0.884</w:t>
            </w:r>
          </w:p>
        </w:tc>
      </w:tr>
      <w:tr w:rsidR="00F9065E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Standard errors in parentheses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9065E" w:rsidRPr="009C1499" w:rsidTr="009C1499">
        <w:trPr>
          <w:trHeight w:val="320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9C149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*** p&lt;0.01, ** p&lt;0.05, * p&lt;0.1</w:t>
            </w:r>
            <w:r w:rsidR="0027475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065E" w:rsidRPr="009C1499" w:rsidRDefault="00F9065E" w:rsidP="00F9065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:rsidR="00F9065E" w:rsidRDefault="00F9065E" w:rsidP="009C1499">
      <w:pPr>
        <w:pStyle w:val="NoSpacing"/>
        <w:rPr>
          <w:rFonts w:ascii="Times New Roman" w:hAnsi="Times New Roman" w:cs="Times New Roman"/>
        </w:rPr>
      </w:pPr>
    </w:p>
    <w:p w:rsidR="005B5FB2" w:rsidRDefault="00F9065E" w:rsidP="005B5FB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B5FB2">
        <w:rPr>
          <w:rFonts w:ascii="Times New Roman" w:hAnsi="Times New Roman" w:cs="Times New Roman"/>
          <w:sz w:val="20"/>
          <w:szCs w:val="20"/>
          <w:u w:val="single"/>
        </w:rPr>
        <w:t>Notes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9065E" w:rsidRDefault="00F9065E" w:rsidP="005B5FB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average, there are about 2515</w:t>
      </w:r>
      <w:r w:rsidR="00274752">
        <w:rPr>
          <w:rFonts w:ascii="Times New Roman" w:hAnsi="Times New Roman" w:cs="Times New Roman"/>
          <w:sz w:val="20"/>
          <w:szCs w:val="20"/>
        </w:rPr>
        <w:t xml:space="preserve"> units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74752">
        <w:rPr>
          <w:rFonts w:ascii="Times New Roman" w:hAnsi="Times New Roman" w:cs="Times New Roman"/>
          <w:sz w:val="20"/>
          <w:szCs w:val="20"/>
        </w:rPr>
        <w:t xml:space="preserve">decrease in lung hospitalizations if vaping bans increase by one unit. The specification involves year and year X treated fixed effects. The result is significant at 15 level. </w:t>
      </w:r>
    </w:p>
    <w:p w:rsidR="00274752" w:rsidRDefault="00274752" w:rsidP="005B5FB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74752">
        <w:rPr>
          <w:rFonts w:ascii="Times New Roman" w:hAnsi="Times New Roman" w:cs="Times New Roman"/>
          <w:sz w:val="20"/>
          <w:szCs w:val="20"/>
        </w:rPr>
        <w:t xml:space="preserve">Coefficients for year and year X treatment FE are in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274752">
        <w:rPr>
          <w:rFonts w:ascii="Times New Roman" w:hAnsi="Times New Roman" w:cs="Times New Roman"/>
          <w:sz w:val="20"/>
          <w:szCs w:val="20"/>
        </w:rPr>
        <w:t>results</w:t>
      </w:r>
      <w:r>
        <w:rPr>
          <w:rFonts w:ascii="Times New Roman" w:hAnsi="Times New Roman" w:cs="Times New Roman"/>
          <w:sz w:val="20"/>
          <w:szCs w:val="20"/>
        </w:rPr>
        <w:t>01</w:t>
      </w:r>
      <w:r w:rsidRPr="00274752">
        <w:rPr>
          <w:rFonts w:ascii="Times New Roman" w:hAnsi="Times New Roman" w:cs="Times New Roman"/>
          <w:sz w:val="20"/>
          <w:szCs w:val="20"/>
        </w:rPr>
        <w:t>.xls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274752">
        <w:rPr>
          <w:rFonts w:ascii="Times New Roman" w:hAnsi="Times New Roman" w:cs="Times New Roman"/>
          <w:sz w:val="20"/>
          <w:szCs w:val="20"/>
        </w:rPr>
        <w:t xml:space="preserve"> in the GitHub repo</w:t>
      </w:r>
      <w:r>
        <w:rPr>
          <w:rFonts w:ascii="Times New Roman" w:hAnsi="Times New Roman" w:cs="Times New Roman"/>
          <w:sz w:val="20"/>
          <w:szCs w:val="20"/>
        </w:rPr>
        <w:t xml:space="preserve">sitory. </w:t>
      </w:r>
    </w:p>
    <w:p w:rsidR="00274752" w:rsidRDefault="00274752" w:rsidP="005B5FB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marginal effects from this regression </w:t>
      </w:r>
      <w:r w:rsidR="00D56973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obtained to plot the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trends </w:t>
      </w:r>
      <w:r>
        <w:rPr>
          <w:rFonts w:ascii="Times New Roman" w:hAnsi="Times New Roman" w:cs="Times New Roman"/>
          <w:sz w:val="20"/>
          <w:szCs w:val="20"/>
        </w:rPr>
        <w:t>graph below.</w:t>
      </w:r>
    </w:p>
    <w:p w:rsidR="00274752" w:rsidRDefault="00274752" w:rsidP="0027475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74752" w:rsidRDefault="00274752" w:rsidP="0027475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74752" w:rsidRDefault="00274752" w:rsidP="0027475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74752" w:rsidRDefault="00274752" w:rsidP="0027475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93726">
        <w:rPr>
          <w:rFonts w:ascii="Times New Roman" w:hAnsi="Times New Roman" w:cs="Times New Roman"/>
          <w:sz w:val="20"/>
          <w:szCs w:val="20"/>
          <w:u w:val="single"/>
        </w:rPr>
        <w:t xml:space="preserve">Figure 01: Visual representation of the </w:t>
      </w:r>
      <w:r w:rsidRPr="00F93726"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parallel trend </w:t>
      </w:r>
      <w:r w:rsidRPr="00F93726">
        <w:rPr>
          <w:rFonts w:ascii="Times New Roman" w:hAnsi="Times New Roman" w:cs="Times New Roman"/>
          <w:sz w:val="20"/>
          <w:szCs w:val="20"/>
          <w:u w:val="single"/>
        </w:rPr>
        <w:t>assumption</w:t>
      </w:r>
      <w:r w:rsidR="00F93726">
        <w:rPr>
          <w:rFonts w:ascii="Times New Roman" w:hAnsi="Times New Roman" w:cs="Times New Roman"/>
          <w:sz w:val="20"/>
          <w:szCs w:val="20"/>
          <w:u w:val="single"/>
        </w:rPr>
        <w:t xml:space="preserve"> (Obtained from Marginal effects from Table 01)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93726" w:rsidRDefault="00F93726" w:rsidP="0027475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274752" w:rsidRDefault="00F93726" w:rsidP="0027475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036185" cy="3597640"/>
            <wp:effectExtent l="0" t="0" r="5715" b="0"/>
            <wp:docPr id="370897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97729" name="Picture 370897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91" cy="36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6" w:rsidRDefault="00F93726" w:rsidP="0027475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F93726" w:rsidRDefault="00F93726" w:rsidP="0027475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F93726" w:rsidRDefault="00F93726" w:rsidP="0027475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F93726" w:rsidRPr="00D56973" w:rsidRDefault="00F93726" w:rsidP="00F93726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D56973">
        <w:rPr>
          <w:rFonts w:ascii="Times New Roman" w:hAnsi="Times New Roman" w:cs="Times New Roman"/>
          <w:sz w:val="20"/>
          <w:szCs w:val="20"/>
          <w:u w:val="single"/>
        </w:rPr>
        <w:t xml:space="preserve">Table 02: </w:t>
      </w:r>
      <w:r w:rsidR="00D56973" w:rsidRPr="00D56973">
        <w:rPr>
          <w:rFonts w:ascii="Times New Roman" w:hAnsi="Times New Roman" w:cs="Times New Roman"/>
          <w:sz w:val="20"/>
          <w:szCs w:val="20"/>
          <w:u w:val="single"/>
        </w:rPr>
        <w:t>Table for Difference-In-Difference Estimates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3960"/>
        <w:gridCol w:w="2180"/>
      </w:tblGrid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OLS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D56973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r w:rsidR="00F93726"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ung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</w:t>
            </w:r>
            <w:r w:rsidR="00F93726"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ospitalizations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Treated (vaping ban states)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-4,918***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(139.3)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Post (2021 and after)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974.6***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(110.5)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Treated X post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-4,030***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(65.60)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Constant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115,705***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(117.7)</w:t>
            </w:r>
          </w:p>
        </w:tc>
      </w:tr>
      <w:tr w:rsidR="00D56973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6973" w:rsidRPr="00F93726" w:rsidRDefault="00D56973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Year Fixed Effects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6973" w:rsidRPr="00F93726" w:rsidRDefault="00D56973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D56973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6973" w:rsidRPr="00F93726" w:rsidRDefault="00D56973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State Fixed Effects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6973" w:rsidRPr="00F93726" w:rsidRDefault="00D56973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Yes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1,050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R-squared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0.963</w:t>
            </w: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Robust standard errors in parentheses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F93726" w:rsidRPr="00F93726" w:rsidTr="00F93726">
        <w:trPr>
          <w:trHeight w:val="3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93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*** p&lt;0.01, ** p&lt;0.05, * p&lt;0.1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726" w:rsidRPr="00F93726" w:rsidRDefault="00F93726" w:rsidP="00F93726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:rsidR="00F93726" w:rsidRDefault="00F93726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B5FB2" w:rsidRDefault="00D56973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B5FB2">
        <w:rPr>
          <w:rFonts w:ascii="Times New Roman" w:hAnsi="Times New Roman" w:cs="Times New Roman"/>
          <w:sz w:val="20"/>
          <w:szCs w:val="20"/>
          <w:u w:val="single"/>
        </w:rPr>
        <w:t>Notes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D56973" w:rsidRDefault="00D56973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The Average Treatment Effects on the Treated (ATET) is -4030. This is the average treatment effect on the states that banned </w:t>
      </w:r>
      <w:r w:rsidR="005B5FB2">
        <w:rPr>
          <w:rFonts w:ascii="Times New Roman" w:hAnsi="Times New Roman" w:cs="Times New Roman"/>
          <w:sz w:val="20"/>
          <w:szCs w:val="20"/>
        </w:rPr>
        <w:t xml:space="preserve">vaping devices, the number of lung hospitalization is predicted to decrease by 4020 in states that banned vaping compared to states that did not. </w:t>
      </w:r>
    </w:p>
    <w:p w:rsidR="005B5FB2" w:rsidRDefault="005B5FB2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Year and State fixed effects are included in the model to control for state and year generated heterogeneities. </w:t>
      </w:r>
    </w:p>
    <w:p w:rsidR="005B5FB2" w:rsidRDefault="005B5FB2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The model includes 49 states and 19-year fixed effects, one year and state being the left-out ones. </w:t>
      </w:r>
    </w:p>
    <w:p w:rsidR="005B5FB2" w:rsidRDefault="005B5FB2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B5FB2" w:rsidRDefault="005B5FB2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B5FB2" w:rsidRDefault="005B5FB2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B5FB2" w:rsidRDefault="005B5FB2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Questions: </w:t>
      </w:r>
    </w:p>
    <w:p w:rsidR="005B5FB2" w:rsidRDefault="005B5FB2" w:rsidP="00F9372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B5FB2" w:rsidRDefault="005B5FB2" w:rsidP="005B5FB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B5FB2">
        <w:rPr>
          <w:rFonts w:ascii="Times New Roman" w:hAnsi="Times New Roman" w:cs="Times New Roman"/>
          <w:sz w:val="20"/>
          <w:szCs w:val="20"/>
        </w:rPr>
        <w:t>How many state-level fixed effects are there?</w:t>
      </w:r>
    </w:p>
    <w:p w:rsidR="005B5FB2" w:rsidRDefault="005B5FB2" w:rsidP="005B5FB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49 state level fixed effects in the DID model (Table 02). </w:t>
      </w:r>
      <w:r w:rsidR="00D11C8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tate</w:t>
      </w:r>
      <w:r w:rsidR="00D11C8C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 xml:space="preserve"> being the left-out category. </w:t>
      </w:r>
    </w:p>
    <w:p w:rsidR="005B5FB2" w:rsidRDefault="005B5FB2" w:rsidP="005B5FB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B5FB2" w:rsidRDefault="005B5FB2" w:rsidP="005B5FB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B5FB2">
        <w:rPr>
          <w:rFonts w:ascii="Times New Roman" w:hAnsi="Times New Roman" w:cs="Times New Roman"/>
          <w:sz w:val="20"/>
          <w:szCs w:val="20"/>
        </w:rPr>
        <w:t>What is the interpretation of the coefficient for each state-level fixed effect?</w:t>
      </w:r>
    </w:p>
    <w:p w:rsidR="005B5FB2" w:rsidRDefault="00D11C8C" w:rsidP="005B5FB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the control group States 24-49 have negative coefficients (statistically significant). </w:t>
      </w:r>
    </w:p>
    <w:p w:rsidR="00D11C8C" w:rsidRDefault="00D11C8C" w:rsidP="005B5FB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treatment group States 2-23 have positive coefficients (all statistically significant, excepting 2 and 3)</w:t>
      </w:r>
    </w:p>
    <w:p w:rsidR="00D11C8C" w:rsidRDefault="00D11C8C" w:rsidP="00D11C8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11C8C" w:rsidRDefault="00D11C8C" w:rsidP="00D11C8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</w:t>
      </w:r>
    </w:p>
    <w:p w:rsidR="00D11C8C" w:rsidRPr="00F9065E" w:rsidRDefault="00D11C8C" w:rsidP="00D11C8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Testparm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results of state fixed effects shows 0 for all the states with F statistic of </w:t>
      </w:r>
      <w:r w:rsidRPr="00D11C8C">
        <w:rPr>
          <w:rFonts w:ascii="Times New Roman" w:hAnsi="Times New Roman" w:cs="Times New Roman"/>
          <w:sz w:val="20"/>
          <w:szCs w:val="20"/>
        </w:rPr>
        <w:t>43.71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p-value: 0.000) </w:t>
      </w:r>
    </w:p>
    <w:sectPr w:rsidR="00D11C8C" w:rsidRPr="00F9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BD3" w:rsidRDefault="00D15BD3" w:rsidP="009C1499">
      <w:r>
        <w:separator/>
      </w:r>
    </w:p>
  </w:endnote>
  <w:endnote w:type="continuationSeparator" w:id="0">
    <w:p w:rsidR="00D15BD3" w:rsidRDefault="00D15BD3" w:rsidP="009C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BD3" w:rsidRDefault="00D15BD3" w:rsidP="009C1499">
      <w:r>
        <w:separator/>
      </w:r>
    </w:p>
  </w:footnote>
  <w:footnote w:type="continuationSeparator" w:id="0">
    <w:p w:rsidR="00D15BD3" w:rsidRDefault="00D15BD3" w:rsidP="009C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73F"/>
    <w:multiLevelType w:val="hybridMultilevel"/>
    <w:tmpl w:val="4924674A"/>
    <w:lvl w:ilvl="0" w:tplc="5A9A4930">
      <w:start w:val="203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0E7D"/>
    <w:multiLevelType w:val="hybridMultilevel"/>
    <w:tmpl w:val="F016425C"/>
    <w:lvl w:ilvl="0" w:tplc="AA4A867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E1D31"/>
    <w:multiLevelType w:val="hybridMultilevel"/>
    <w:tmpl w:val="00A0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41EEF"/>
    <w:multiLevelType w:val="hybridMultilevel"/>
    <w:tmpl w:val="4B6C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D7169"/>
    <w:multiLevelType w:val="hybridMultilevel"/>
    <w:tmpl w:val="EE8C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27BCC"/>
    <w:multiLevelType w:val="hybridMultilevel"/>
    <w:tmpl w:val="383E067E"/>
    <w:lvl w:ilvl="0" w:tplc="A9129D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0124295">
    <w:abstractNumId w:val="0"/>
  </w:num>
  <w:num w:numId="2" w16cid:durableId="1334456848">
    <w:abstractNumId w:val="1"/>
  </w:num>
  <w:num w:numId="3" w16cid:durableId="1068377692">
    <w:abstractNumId w:val="2"/>
  </w:num>
  <w:num w:numId="4" w16cid:durableId="65690210">
    <w:abstractNumId w:val="3"/>
  </w:num>
  <w:num w:numId="5" w16cid:durableId="921454488">
    <w:abstractNumId w:val="5"/>
  </w:num>
  <w:num w:numId="6" w16cid:durableId="738943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99"/>
    <w:rsid w:val="00274752"/>
    <w:rsid w:val="005B5FB2"/>
    <w:rsid w:val="00904EC7"/>
    <w:rsid w:val="009C1499"/>
    <w:rsid w:val="00AE231B"/>
    <w:rsid w:val="00D11C8C"/>
    <w:rsid w:val="00D15BD3"/>
    <w:rsid w:val="00D56973"/>
    <w:rsid w:val="00F9065E"/>
    <w:rsid w:val="00F9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3C604"/>
  <w15:chartTrackingRefBased/>
  <w15:docId w15:val="{62DA4A54-4783-964D-AE5E-6B3C846D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499"/>
  </w:style>
  <w:style w:type="paragraph" w:styleId="Header">
    <w:name w:val="header"/>
    <w:basedOn w:val="Normal"/>
    <w:link w:val="HeaderChar"/>
    <w:uiPriority w:val="99"/>
    <w:unhideWhenUsed/>
    <w:rsid w:val="009C1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499"/>
  </w:style>
  <w:style w:type="paragraph" w:styleId="Footer">
    <w:name w:val="footer"/>
    <w:basedOn w:val="Normal"/>
    <w:link w:val="FooterChar"/>
    <w:uiPriority w:val="99"/>
    <w:unhideWhenUsed/>
    <w:rsid w:val="009C1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Arnab</dc:creator>
  <cp:keywords/>
  <dc:description/>
  <cp:lastModifiedBy>Choudhury, Arnab</cp:lastModifiedBy>
  <cp:revision>1</cp:revision>
  <dcterms:created xsi:type="dcterms:W3CDTF">2023-11-03T22:59:00Z</dcterms:created>
  <dcterms:modified xsi:type="dcterms:W3CDTF">2023-11-04T00:38:00Z</dcterms:modified>
</cp:coreProperties>
</file>