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Gregory N. Tomy</w:t>
      </w:r>
    </w:p>
    <w:p>
      <w:pPr>
        <w:spacing w:line="274" w:lineRule="exact" w:before="0"/>
        <w:ind w:left="1753" w:right="1886" w:firstLine="0"/>
        <w:jc w:val="center"/>
        <w:rPr>
          <w:sz w:val="22"/>
        </w:rPr>
      </w:pPr>
      <w:r>
        <w:rPr>
          <w:sz w:val="24"/>
        </w:rPr>
        <w:t>(897) 750 7574 | </w:t>
      </w:r>
      <w:hyperlink r:id="rId5">
        <w:r>
          <w:rPr>
            <w:sz w:val="22"/>
          </w:rPr>
          <w:t>gregoryntomy@nyu.edu </w:t>
        </w:r>
      </w:hyperlink>
      <w:r>
        <w:rPr>
          <w:sz w:val="22"/>
        </w:rPr>
        <w:t>| https://github.com/GregoryTomy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160" w:lineRule="exact"/>
        <w:ind w:left="-14"/>
        <w:rPr>
          <w:sz w:val="15"/>
        </w:rPr>
      </w:pPr>
      <w:r>
        <w:rPr>
          <w:position w:val="-2"/>
          <w:sz w:val="15"/>
        </w:rPr>
        <w:pict>
          <v:group style="width:522.8pt;height:8pt;mso-position-horizontal-relative:char;mso-position-vertical-relative:line" coordorigin="0,0" coordsize="10456,160">
            <v:line style="position:absolute" from="21,148" to="10434,149" stroked="true" strokeweight="1.1pt" strokecolor="#000000">
              <v:stroke dashstyle="solid"/>
            </v:line>
            <v:line style="position:absolute" from="21,77" to="10434,78" stroked="true" strokeweight="2.149990pt" strokecolor="#000000">
              <v:stroke dashstyle="solid"/>
            </v:line>
            <v:line style="position:absolute" from="21,11" to="10434,12" stroked="true" strokeweight="1.1pt" strokecolor="#000000">
              <v:stroke dashstyle="solid"/>
            </v:line>
          </v:group>
        </w:pict>
      </w:r>
      <w:r>
        <w:rPr>
          <w:position w:val="-2"/>
          <w:sz w:val="15"/>
        </w:rPr>
      </w:r>
    </w:p>
    <w:p>
      <w:pPr>
        <w:pStyle w:val="Heading1"/>
        <w:spacing w:before="206"/>
      </w:pPr>
      <w:r>
        <w:rPr/>
        <w:pict>
          <v:line style="position:absolute;mso-position-horizontal-relative:page;mso-position-vertical-relative:paragraph;z-index:-15728128;mso-wrap-distance-left:0;mso-wrap-distance-right:0" from="52.25pt,24.619532pt" to="560.25pt,24.669532pt" stroked="true" strokeweight=".550pt" strokecolor="#000000">
            <v:stroke dashstyle="solid"/>
            <w10:wrap type="topAndBottom"/>
          </v:line>
        </w:pict>
      </w:r>
      <w:bookmarkStart w:name="EDUCATION" w:id="1"/>
      <w:bookmarkEnd w:id="1"/>
      <w:r>
        <w:rPr>
          <w:b w:val="0"/>
        </w:rPr>
      </w:r>
      <w:r>
        <w:rPr/>
        <w:t>EDUCATION</w:t>
      </w:r>
    </w:p>
    <w:p>
      <w:pPr>
        <w:tabs>
          <w:tab w:pos="8901" w:val="left" w:leader="none"/>
        </w:tabs>
        <w:spacing w:before="0"/>
        <w:ind w:left="162" w:right="0" w:firstLine="0"/>
        <w:jc w:val="left"/>
        <w:rPr>
          <w:b/>
          <w:sz w:val="22"/>
        </w:rPr>
      </w:pPr>
      <w:r>
        <w:rPr>
          <w:b/>
          <w:sz w:val="22"/>
        </w:rPr>
        <w:t>New York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University</w:t>
        <w:tab/>
        <w:t>New York,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NY</w:t>
      </w:r>
    </w:p>
    <w:p>
      <w:pPr>
        <w:tabs>
          <w:tab w:pos="9407" w:val="left" w:leader="none"/>
        </w:tabs>
        <w:spacing w:before="5"/>
        <w:ind w:left="162" w:right="0" w:firstLine="0"/>
        <w:jc w:val="left"/>
        <w:rPr>
          <w:sz w:val="22"/>
        </w:rPr>
      </w:pPr>
      <w:r>
        <w:rPr>
          <w:i/>
          <w:sz w:val="22"/>
        </w:rPr>
        <w:t>Bachelor of Arts in Economics 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Business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Studies</w:t>
        <w:tab/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2018</w:t>
      </w:r>
    </w:p>
    <w:p>
      <w:pPr>
        <w:tabs>
          <w:tab w:pos="8699" w:val="left" w:leader="none"/>
        </w:tabs>
        <w:spacing w:before="5"/>
        <w:ind w:left="162" w:right="0" w:firstLine="0"/>
        <w:jc w:val="left"/>
        <w:rPr>
          <w:sz w:val="22"/>
        </w:rPr>
      </w:pPr>
      <w:r>
        <w:rPr>
          <w:i/>
          <w:sz w:val="22"/>
        </w:rPr>
        <w:t>Liberal Studies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Program</w:t>
        <w:tab/>
      </w:r>
      <w:r>
        <w:rPr>
          <w:sz w:val="22"/>
        </w:rPr>
        <w:t>09/2014 –</w:t>
      </w:r>
      <w:r>
        <w:rPr>
          <w:spacing w:val="-2"/>
          <w:sz w:val="22"/>
        </w:rPr>
        <w:t> </w:t>
      </w:r>
      <w:r>
        <w:rPr>
          <w:sz w:val="22"/>
        </w:rPr>
        <w:t>05/2016</w:t>
      </w:r>
    </w:p>
    <w:p>
      <w:pPr>
        <w:spacing w:before="7"/>
        <w:ind w:left="391" w:right="0" w:firstLine="0"/>
        <w:jc w:val="left"/>
        <w:rPr>
          <w:sz w:val="22"/>
        </w:rPr>
      </w:pPr>
      <w:r>
        <w:rPr>
          <w:b/>
          <w:sz w:val="22"/>
        </w:rPr>
        <w:t>GPA: </w:t>
      </w:r>
      <w:r>
        <w:rPr>
          <w:sz w:val="22"/>
        </w:rPr>
        <w:t>3.5 / 4.0</w:t>
      </w:r>
    </w:p>
    <w:p>
      <w:pPr>
        <w:pStyle w:val="BodyText"/>
        <w:spacing w:before="1"/>
        <w:ind w:left="391"/>
      </w:pPr>
      <w:r>
        <w:rPr>
          <w:b/>
        </w:rPr>
        <w:t>Honors: </w:t>
      </w:r>
      <w:r>
        <w:rPr/>
        <w:t>Dean’s List 2015-2016 academic year</w:t>
      </w:r>
    </w:p>
    <w:p>
      <w:pPr>
        <w:pStyle w:val="BodyText"/>
        <w:spacing w:before="1"/>
        <w:ind w:left="162" w:right="395"/>
      </w:pPr>
      <w:r>
        <w:rPr>
          <w:b/>
        </w:rPr>
        <w:t>Relevant coursework: </w:t>
      </w:r>
      <w:r>
        <w:rPr/>
        <w:t>Analytical Statistics, Econometrics, Linear Algebra, Corporate Finance, Financial Statement Analysis, International Economics, International Finance, Micro and Macroeconomic Analysis</w:t>
      </w:r>
    </w:p>
    <w:p>
      <w:pPr>
        <w:pStyle w:val="BodyText"/>
        <w:spacing w:before="1"/>
        <w:ind w:left="0"/>
      </w:pPr>
    </w:p>
    <w:p>
      <w:pPr>
        <w:pStyle w:val="Heading1"/>
        <w:tabs>
          <w:tab w:pos="8971" w:val="left" w:leader="none"/>
        </w:tabs>
      </w:pPr>
      <w:bookmarkStart w:name="NYU Paris Liberal Studies Study Abroad P" w:id="2"/>
      <w:bookmarkEnd w:id="2"/>
      <w:r>
        <w:rPr>
          <w:b w:val="0"/>
        </w:rPr>
      </w:r>
      <w:r>
        <w:rPr/>
        <w:t>NYU Paris Liberal Studies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/>
        <w:t>Abroad</w:t>
        <w:tab/>
        <w:t>Paris, France</w:t>
      </w:r>
    </w:p>
    <w:p>
      <w:pPr>
        <w:tabs>
          <w:tab w:pos="8675" w:val="left" w:leader="none"/>
        </w:tabs>
        <w:spacing w:before="3"/>
        <w:ind w:left="162" w:right="0" w:firstLine="0"/>
        <w:jc w:val="left"/>
        <w:rPr>
          <w:sz w:val="22"/>
        </w:rPr>
      </w:pPr>
      <w:r>
        <w:rPr>
          <w:i/>
          <w:sz w:val="22"/>
        </w:rPr>
        <w:t>Philosophy, Cultural Studies, Writing, and Intensive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Intermediate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French</w:t>
        <w:tab/>
      </w:r>
      <w:r>
        <w:rPr>
          <w:sz w:val="22"/>
        </w:rPr>
        <w:t>09/2014 –</w:t>
      </w:r>
      <w:r>
        <w:rPr>
          <w:spacing w:val="-2"/>
          <w:sz w:val="22"/>
        </w:rPr>
        <w:t> </w:t>
      </w:r>
      <w:r>
        <w:rPr>
          <w:sz w:val="22"/>
        </w:rPr>
        <w:t>05/2015</w:t>
      </w:r>
    </w:p>
    <w:p>
      <w:pPr>
        <w:pStyle w:val="BodyText"/>
        <w:ind w:left="0"/>
        <w:rPr>
          <w:sz w:val="23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5727616;mso-wrap-distance-left:0;mso-wrap-distance-right:0" from="52.25pt,14.269531pt" to="560.25pt,14.319531pt" stroked="true" strokeweight=".550pt" strokecolor="#000000">
            <v:stroke dashstyle="solid"/>
            <w10:wrap type="topAndBottom"/>
          </v:line>
        </w:pict>
      </w:r>
      <w:bookmarkStart w:name="WORK &amp; LEADERSHIP EXPERIENCE" w:id="3"/>
      <w:bookmarkEnd w:id="3"/>
      <w:r>
        <w:rPr>
          <w:b w:val="0"/>
        </w:rPr>
      </w:r>
      <w:r>
        <w:rPr/>
        <w:t>WORK &amp; LEADERSHIP EXPERIENCE</w:t>
      </w:r>
    </w:p>
    <w:p>
      <w:pPr>
        <w:tabs>
          <w:tab w:pos="8493" w:val="left" w:leader="none"/>
        </w:tabs>
        <w:spacing w:before="0"/>
        <w:ind w:left="162" w:right="0" w:firstLine="0"/>
        <w:jc w:val="left"/>
        <w:rPr>
          <w:b/>
          <w:sz w:val="22"/>
        </w:rPr>
      </w:pPr>
      <w:r>
        <w:rPr>
          <w:b/>
          <w:sz w:val="22"/>
        </w:rPr>
        <w:t>Brean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Strategic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Advisors</w:t>
        <w:tab/>
        <w:t>New York City,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</w:p>
    <w:p>
      <w:pPr>
        <w:tabs>
          <w:tab w:pos="8767" w:val="left" w:leader="none"/>
        </w:tabs>
        <w:spacing w:line="243" w:lineRule="exact" w:before="5"/>
        <w:ind w:left="162" w:right="0" w:firstLine="0"/>
        <w:jc w:val="left"/>
        <w:rPr>
          <w:sz w:val="22"/>
        </w:rPr>
      </w:pPr>
      <w:r>
        <w:rPr>
          <w:i/>
          <w:sz w:val="22"/>
        </w:rPr>
        <w:t>Valuations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Analyst</w:t>
        <w:tab/>
      </w:r>
      <w:r>
        <w:rPr>
          <w:sz w:val="22"/>
        </w:rPr>
        <w:t>07/2018 –</w:t>
      </w:r>
      <w:r>
        <w:rPr>
          <w:spacing w:val="-3"/>
          <w:sz w:val="22"/>
        </w:rPr>
        <w:t> </w:t>
      </w:r>
      <w:r>
        <w:rPr>
          <w:sz w:val="22"/>
        </w:rPr>
        <w:t>07/2021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305" w:hanging="216"/>
        <w:jc w:val="left"/>
        <w:rPr>
          <w:sz w:val="22"/>
        </w:rPr>
      </w:pPr>
      <w:r>
        <w:rPr>
          <w:sz w:val="22"/>
        </w:rPr>
        <w:t>Performed complex financial analysis and designed predictive valuation and risk analytics models on </w:t>
      </w:r>
      <w:r>
        <w:rPr>
          <w:spacing w:val="-15"/>
          <w:sz w:val="22"/>
        </w:rPr>
        <w:t>investment </w:t>
      </w:r>
      <w:r>
        <w:rPr>
          <w:sz w:val="22"/>
        </w:rPr>
        <w:t>portfolios of over $100 billion in</w:t>
      </w:r>
      <w:r>
        <w:rPr>
          <w:spacing w:val="-4"/>
          <w:sz w:val="22"/>
        </w:rPr>
        <w:t> </w:t>
      </w:r>
      <w:r>
        <w:rPr>
          <w:sz w:val="22"/>
        </w:rPr>
        <w:t>aggregate.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2" w:lineRule="exact" w:before="0" w:after="0"/>
        <w:ind w:left="334" w:right="349" w:hanging="216"/>
        <w:jc w:val="left"/>
        <w:rPr>
          <w:sz w:val="22"/>
        </w:rPr>
      </w:pPr>
      <w:r>
        <w:rPr>
          <w:sz w:val="22"/>
        </w:rPr>
        <w:t>Forecasted loan portfolio prices and create deliverables on a weekly and monthly basis for industry leading </w:t>
      </w:r>
      <w:r>
        <w:rPr>
          <w:spacing w:val="-36"/>
          <w:sz w:val="22"/>
        </w:rPr>
        <w:t>non- </w:t>
      </w:r>
      <w:r>
        <w:rPr>
          <w:sz w:val="22"/>
        </w:rPr>
        <w:t>QM mortgage</w:t>
      </w:r>
      <w:r>
        <w:rPr>
          <w:spacing w:val="-1"/>
          <w:sz w:val="22"/>
        </w:rPr>
        <w:t> </w:t>
      </w:r>
      <w:r>
        <w:rPr>
          <w:sz w:val="22"/>
        </w:rPr>
        <w:t>lenders.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2" w:lineRule="exact" w:before="0" w:after="0"/>
        <w:ind w:left="334" w:right="1241" w:hanging="216"/>
        <w:jc w:val="left"/>
        <w:rPr>
          <w:sz w:val="22"/>
        </w:rPr>
      </w:pPr>
      <w:r>
        <w:rPr>
          <w:sz w:val="22"/>
        </w:rPr>
        <w:t>Prepared balance sheet strategies for credit unions incorporating secondary capital, fixed income, </w:t>
      </w:r>
      <w:r>
        <w:rPr>
          <w:spacing w:val="-38"/>
          <w:sz w:val="22"/>
        </w:rPr>
        <w:t>loan </w:t>
      </w:r>
      <w:r>
        <w:rPr>
          <w:sz w:val="22"/>
        </w:rPr>
        <w:t>participations, and non-member</w:t>
      </w:r>
      <w:r>
        <w:rPr>
          <w:spacing w:val="-3"/>
          <w:sz w:val="22"/>
        </w:rPr>
        <w:t> </w:t>
      </w:r>
      <w:r>
        <w:rPr>
          <w:sz w:val="22"/>
        </w:rPr>
        <w:t>funding.</w:t>
      </w:r>
    </w:p>
    <w:p>
      <w:pPr>
        <w:pStyle w:val="ListParagraph"/>
        <w:numPr>
          <w:ilvl w:val="1"/>
          <w:numId w:val="1"/>
        </w:numPr>
        <w:tabs>
          <w:tab w:pos="1126" w:val="left" w:leader="none"/>
        </w:tabs>
        <w:spacing w:line="252" w:lineRule="exact" w:before="0" w:after="0"/>
        <w:ind w:left="1126" w:right="698" w:hanging="288"/>
        <w:jc w:val="left"/>
        <w:rPr>
          <w:sz w:val="22"/>
        </w:rPr>
      </w:pPr>
      <w:r>
        <w:rPr>
          <w:sz w:val="22"/>
        </w:rPr>
        <w:t>Provided Pro Forma analysis to multiple clients which lead to successful NCUA Secondary </w:t>
      </w:r>
      <w:r>
        <w:rPr>
          <w:spacing w:val="-22"/>
          <w:sz w:val="22"/>
        </w:rPr>
        <w:t>Capital </w:t>
      </w:r>
      <w:r>
        <w:rPr>
          <w:sz w:val="22"/>
        </w:rPr>
        <w:t>program applications.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2" w:lineRule="exact" w:before="0" w:after="0"/>
        <w:ind w:left="334" w:right="563" w:hanging="216"/>
        <w:jc w:val="left"/>
        <w:rPr>
          <w:sz w:val="22"/>
        </w:rPr>
      </w:pPr>
      <w:r>
        <w:rPr>
          <w:sz w:val="22"/>
        </w:rPr>
        <w:t>Provided banks litigation support by analyzing non-agency RMBS and CDO investments including </w:t>
      </w:r>
      <w:r>
        <w:rPr>
          <w:spacing w:val="-18"/>
          <w:sz w:val="22"/>
        </w:rPr>
        <w:t>cash-flow </w:t>
      </w:r>
      <w:r>
        <w:rPr>
          <w:sz w:val="22"/>
        </w:rPr>
        <w:t>waterfalls, modeling settlement allocations, and minimizing plaintiff damage</w:t>
      </w:r>
      <w:r>
        <w:rPr>
          <w:spacing w:val="-8"/>
          <w:sz w:val="22"/>
        </w:rPr>
        <w:t> </w:t>
      </w:r>
      <w:r>
        <w:rPr>
          <w:sz w:val="22"/>
        </w:rPr>
        <w:t>claims.</w:t>
      </w:r>
    </w:p>
    <w:p>
      <w:pPr>
        <w:pStyle w:val="ListParagraph"/>
        <w:numPr>
          <w:ilvl w:val="1"/>
          <w:numId w:val="1"/>
        </w:numPr>
        <w:tabs>
          <w:tab w:pos="1126" w:val="left" w:leader="none"/>
        </w:tabs>
        <w:spacing w:line="252" w:lineRule="exact" w:before="1" w:after="0"/>
        <w:ind w:left="1126" w:right="465" w:hanging="288"/>
        <w:jc w:val="left"/>
        <w:rPr>
          <w:sz w:val="22"/>
        </w:rPr>
      </w:pPr>
      <w:r>
        <w:rPr>
          <w:sz w:val="22"/>
        </w:rPr>
        <w:t>Modeled $3+ billion of RMBS loans to ascertain whether breaches of Representations and </w:t>
      </w:r>
      <w:r>
        <w:rPr>
          <w:spacing w:val="-16"/>
          <w:sz w:val="22"/>
        </w:rPr>
        <w:t>Warranties </w:t>
      </w:r>
      <w:r>
        <w:rPr>
          <w:sz w:val="22"/>
        </w:rPr>
        <w:t>materially and adversely affected the value of Mortgage</w:t>
      </w:r>
      <w:r>
        <w:rPr>
          <w:spacing w:val="-8"/>
          <w:sz w:val="22"/>
        </w:rPr>
        <w:t> </w:t>
      </w:r>
      <w:r>
        <w:rPr>
          <w:sz w:val="22"/>
        </w:rPr>
        <w:t>Loans.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1"/>
        <w:tabs>
          <w:tab w:pos="8493" w:val="left" w:leader="none"/>
        </w:tabs>
      </w:pPr>
      <w:r>
        <w:rPr/>
        <w:t>Tribal</w:t>
      </w:r>
      <w:r>
        <w:rPr>
          <w:spacing w:val="-3"/>
        </w:rPr>
        <w:t> </w:t>
      </w:r>
      <w:r>
        <w:rPr/>
        <w:t>Capital</w:t>
      </w:r>
      <w:r>
        <w:rPr>
          <w:spacing w:val="-3"/>
        </w:rPr>
        <w:t> </w:t>
      </w:r>
      <w:r>
        <w:rPr/>
        <w:t>Markets</w:t>
        <w:tab/>
        <w:t>New York City, NY</w:t>
      </w:r>
    </w:p>
    <w:p>
      <w:pPr>
        <w:tabs>
          <w:tab w:pos="8767" w:val="left" w:leader="none"/>
        </w:tabs>
        <w:spacing w:line="242" w:lineRule="exact" w:before="7"/>
        <w:ind w:left="162" w:right="0" w:firstLine="0"/>
        <w:jc w:val="left"/>
        <w:rPr>
          <w:sz w:val="22"/>
        </w:rPr>
      </w:pPr>
      <w:r>
        <w:rPr>
          <w:i/>
          <w:sz w:val="22"/>
        </w:rPr>
        <w:t>Accounts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Analyst</w:t>
        <w:tab/>
      </w:r>
      <w:r>
        <w:rPr>
          <w:sz w:val="22"/>
        </w:rPr>
        <w:t>09/2017 –</w:t>
      </w:r>
      <w:r>
        <w:rPr>
          <w:spacing w:val="-3"/>
          <w:sz w:val="22"/>
        </w:rPr>
        <w:t> </w:t>
      </w:r>
      <w:r>
        <w:rPr>
          <w:sz w:val="22"/>
        </w:rPr>
        <w:t>05/2018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641" w:hanging="216"/>
        <w:jc w:val="left"/>
        <w:rPr>
          <w:sz w:val="22"/>
        </w:rPr>
      </w:pPr>
      <w:r>
        <w:rPr>
          <w:sz w:val="22"/>
        </w:rPr>
        <w:t>Managed RFPs, RFQs, and RFIs and worked with members of the firm to ensure request-form contents </w:t>
      </w:r>
      <w:r>
        <w:rPr>
          <w:spacing w:val="-37"/>
          <w:sz w:val="22"/>
        </w:rPr>
        <w:t>were </w:t>
      </w:r>
      <w:r>
        <w:rPr>
          <w:sz w:val="22"/>
        </w:rPr>
        <w:t>complete, accurate and</w:t>
      </w:r>
      <w:r>
        <w:rPr>
          <w:spacing w:val="-2"/>
          <w:sz w:val="22"/>
        </w:rPr>
        <w:t> </w:t>
      </w:r>
      <w:r>
        <w:rPr>
          <w:sz w:val="22"/>
        </w:rPr>
        <w:t>timely.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4" w:lineRule="exact" w:before="0" w:after="0"/>
        <w:ind w:left="334" w:right="630" w:hanging="216"/>
        <w:jc w:val="left"/>
        <w:rPr>
          <w:sz w:val="22"/>
        </w:rPr>
      </w:pPr>
      <w:r>
        <w:rPr>
          <w:sz w:val="22"/>
        </w:rPr>
        <w:t>Collaborated with the mortgage-backed security (MBS) team in developing weekly market commentaries </w:t>
      </w:r>
      <w:r>
        <w:rPr>
          <w:spacing w:val="-50"/>
          <w:sz w:val="22"/>
        </w:rPr>
        <w:t>for </w:t>
      </w:r>
      <w:r>
        <w:rPr>
          <w:sz w:val="22"/>
        </w:rPr>
        <w:t>in house use and client</w:t>
      </w:r>
      <w:r>
        <w:rPr>
          <w:spacing w:val="-4"/>
          <w:sz w:val="22"/>
        </w:rPr>
        <w:t> </w:t>
      </w:r>
      <w:r>
        <w:rPr>
          <w:sz w:val="22"/>
        </w:rPr>
        <w:t>presentations.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tabs>
          <w:tab w:pos="8493" w:val="left" w:leader="none"/>
        </w:tabs>
      </w:pPr>
      <w:r>
        <w:rPr/>
        <w:t>WineCredit</w:t>
        <w:tab/>
        <w:t>New York City,</w:t>
      </w:r>
      <w:r>
        <w:rPr>
          <w:spacing w:val="-1"/>
        </w:rPr>
        <w:t> </w:t>
      </w:r>
      <w:r>
        <w:rPr/>
        <w:t>NY</w:t>
      </w:r>
    </w:p>
    <w:p>
      <w:pPr>
        <w:tabs>
          <w:tab w:pos="8767" w:val="left" w:leader="none"/>
        </w:tabs>
        <w:spacing w:line="248" w:lineRule="exact" w:before="7"/>
        <w:ind w:left="162" w:right="0" w:firstLine="0"/>
        <w:jc w:val="left"/>
        <w:rPr>
          <w:sz w:val="22"/>
        </w:rPr>
      </w:pPr>
      <w:r>
        <w:rPr>
          <w:i/>
          <w:sz w:val="22"/>
        </w:rPr>
        <w:t>Analyst</w:t>
        <w:tab/>
      </w:r>
      <w:r>
        <w:rPr>
          <w:sz w:val="22"/>
        </w:rPr>
        <w:t>06/2017 –</w:t>
      </w:r>
      <w:r>
        <w:rPr>
          <w:spacing w:val="-3"/>
          <w:sz w:val="22"/>
        </w:rPr>
        <w:t> </w:t>
      </w:r>
      <w:r>
        <w:rPr>
          <w:sz w:val="22"/>
        </w:rPr>
        <w:t>08/2017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61" w:lineRule="exact" w:before="0" w:after="0"/>
        <w:ind w:left="334" w:right="0" w:hanging="217"/>
        <w:jc w:val="left"/>
        <w:rPr>
          <w:sz w:val="22"/>
        </w:rPr>
      </w:pPr>
      <w:r>
        <w:rPr>
          <w:sz w:val="22"/>
        </w:rPr>
        <w:t>Performed extensive financial and operational due diligence on</w:t>
      </w:r>
      <w:r>
        <w:rPr>
          <w:spacing w:val="1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7" w:lineRule="exact" w:before="0" w:after="0"/>
        <w:ind w:left="334" w:right="0" w:hanging="217"/>
        <w:jc w:val="left"/>
        <w:rPr>
          <w:sz w:val="22"/>
        </w:rPr>
      </w:pPr>
      <w:r>
        <w:rPr>
          <w:spacing w:val="-4"/>
          <w:sz w:val="22"/>
        </w:rPr>
        <w:t>Maintained </w:t>
      </w:r>
      <w:r>
        <w:rPr>
          <w:spacing w:val="-3"/>
          <w:sz w:val="22"/>
        </w:rPr>
        <w:t>broad </w:t>
      </w:r>
      <w:r>
        <w:rPr>
          <w:spacing w:val="-4"/>
          <w:sz w:val="22"/>
        </w:rPr>
        <w:t>internal databases </w:t>
      </w:r>
      <w:r>
        <w:rPr>
          <w:sz w:val="22"/>
        </w:rPr>
        <w:t>on </w:t>
      </w:r>
      <w:r>
        <w:rPr>
          <w:spacing w:val="-3"/>
          <w:sz w:val="22"/>
        </w:rPr>
        <w:t>past </w:t>
      </w:r>
      <w:r>
        <w:rPr>
          <w:spacing w:val="-2"/>
          <w:sz w:val="22"/>
        </w:rPr>
        <w:t>and </w:t>
      </w:r>
      <w:r>
        <w:rPr>
          <w:spacing w:val="-4"/>
          <w:sz w:val="22"/>
        </w:rPr>
        <w:t>current </w:t>
      </w:r>
      <w:r>
        <w:rPr>
          <w:spacing w:val="-3"/>
          <w:sz w:val="22"/>
        </w:rPr>
        <w:t>loan </w:t>
      </w:r>
      <w:r>
        <w:rPr>
          <w:spacing w:val="-4"/>
          <w:sz w:val="22"/>
        </w:rPr>
        <w:t>processes </w:t>
      </w:r>
      <w:r>
        <w:rPr>
          <w:spacing w:val="-3"/>
          <w:sz w:val="22"/>
        </w:rPr>
        <w:t>and </w:t>
      </w:r>
      <w:r>
        <w:rPr>
          <w:spacing w:val="-4"/>
          <w:sz w:val="22"/>
        </w:rPr>
        <w:t>provided operational</w:t>
      </w:r>
      <w:r>
        <w:rPr>
          <w:spacing w:val="25"/>
          <w:sz w:val="22"/>
        </w:rPr>
        <w:t> </w:t>
      </w:r>
      <w:r>
        <w:rPr>
          <w:spacing w:val="-4"/>
          <w:sz w:val="22"/>
        </w:rPr>
        <w:t>support.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1086" w:hanging="216"/>
        <w:jc w:val="left"/>
        <w:rPr>
          <w:sz w:val="22"/>
        </w:rPr>
      </w:pPr>
      <w:r>
        <w:rPr>
          <w:spacing w:val="-3"/>
          <w:sz w:val="22"/>
        </w:rPr>
        <w:t>Worked with </w:t>
      </w:r>
      <w:r>
        <w:rPr>
          <w:spacing w:val="-4"/>
          <w:sz w:val="22"/>
        </w:rPr>
        <w:t>in-house financial model </w:t>
      </w:r>
      <w:r>
        <w:rPr>
          <w:sz w:val="22"/>
        </w:rPr>
        <w:t>to </w:t>
      </w:r>
      <w:r>
        <w:rPr>
          <w:spacing w:val="-4"/>
          <w:sz w:val="22"/>
        </w:rPr>
        <w:t>determine yield, </w:t>
      </w:r>
      <w:r>
        <w:rPr>
          <w:spacing w:val="-5"/>
          <w:sz w:val="22"/>
        </w:rPr>
        <w:t>collateral, </w:t>
      </w:r>
      <w:r>
        <w:rPr>
          <w:spacing w:val="-2"/>
          <w:sz w:val="22"/>
        </w:rPr>
        <w:t>and </w:t>
      </w:r>
      <w:r>
        <w:rPr>
          <w:spacing w:val="-5"/>
          <w:sz w:val="22"/>
        </w:rPr>
        <w:t>LTV-ratios </w:t>
      </w:r>
      <w:r>
        <w:rPr>
          <w:spacing w:val="-3"/>
          <w:sz w:val="22"/>
        </w:rPr>
        <w:t>for term </w:t>
      </w:r>
      <w:r>
        <w:rPr>
          <w:spacing w:val="-2"/>
          <w:sz w:val="22"/>
        </w:rPr>
        <w:t>and </w:t>
      </w:r>
      <w:r>
        <w:rPr>
          <w:spacing w:val="-19"/>
          <w:sz w:val="22"/>
        </w:rPr>
        <w:t>revolving </w:t>
      </w:r>
      <w:r>
        <w:rPr>
          <w:spacing w:val="-3"/>
          <w:sz w:val="22"/>
        </w:rPr>
        <w:t>loans.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5727104;mso-wrap-distance-left:0;mso-wrap-distance-right:0" from="52.25pt,14.269534pt" to="560.25pt,14.319534pt" stroked="true" strokeweight=".550pt" strokecolor="#000000">
            <v:stroke dashstyle="solid"/>
            <w10:wrap type="topAndBottom"/>
          </v:line>
        </w:pict>
      </w:r>
      <w:bookmarkStart w:name="CERTIFICATIONS" w:id="4"/>
      <w:bookmarkEnd w:id="4"/>
      <w:r>
        <w:rPr>
          <w:b w:val="0"/>
        </w:rPr>
      </w:r>
      <w:r>
        <w:rPr/>
        <w:t>CERTIFICATIONS</w:t>
      </w:r>
    </w:p>
    <w:p>
      <w:pPr>
        <w:spacing w:line="212" w:lineRule="exact" w:before="0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Python for Finance with Intro to Data Science (Distinction) – QuantNet Inc. 2021</w:t>
      </w:r>
    </w:p>
    <w:p>
      <w:pPr>
        <w:pStyle w:val="ListParagraph"/>
        <w:numPr>
          <w:ilvl w:val="1"/>
          <w:numId w:val="1"/>
        </w:numPr>
        <w:tabs>
          <w:tab w:pos="1062" w:val="left" w:leader="none"/>
        </w:tabs>
        <w:spacing w:line="263" w:lineRule="exact" w:before="0" w:after="0"/>
        <w:ind w:left="1061" w:right="0" w:hanging="252"/>
        <w:jc w:val="left"/>
        <w:rPr>
          <w:sz w:val="22"/>
        </w:rPr>
      </w:pPr>
      <w:r>
        <w:rPr>
          <w:spacing w:val="-3"/>
          <w:sz w:val="22"/>
        </w:rPr>
        <w:t>Modeled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Asset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Backed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Security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priced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pacing w:val="-3"/>
          <w:sz w:val="22"/>
        </w:rPr>
        <w:t>using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Monte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Carlo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simulation.</w:t>
      </w:r>
    </w:p>
    <w:p>
      <w:pPr>
        <w:pStyle w:val="Heading1"/>
        <w:spacing w:before="1"/>
        <w:ind w:left="300"/>
      </w:pPr>
      <w:r>
        <w:rPr/>
        <w:t>Post Graduate Program in Algorithmic Trading – Indian Institute of Quantitative Finance (Ongoing)</w:t>
      </w:r>
    </w:p>
    <w:p>
      <w:pPr>
        <w:pStyle w:val="BodyText"/>
        <w:ind w:left="0"/>
        <w:rPr>
          <w:b/>
        </w:rPr>
      </w:pPr>
    </w:p>
    <w:p>
      <w:pPr>
        <w:spacing w:before="0"/>
        <w:ind w:left="162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52.25pt,14.269529pt" to="560.25pt,14.319529pt" stroked="true" strokeweight=".550pt" strokecolor="#000000">
            <v:stroke dashstyle="solid"/>
            <w10:wrap type="topAndBottom"/>
          </v:line>
        </w:pict>
      </w:r>
      <w:bookmarkStart w:name="TECHNICAL SKILLS" w:id="5"/>
      <w:bookmarkEnd w:id="5"/>
      <w:r>
        <w:rPr/>
      </w:r>
      <w:r>
        <w:rPr>
          <w:b/>
          <w:sz w:val="22"/>
        </w:rPr>
        <w:t>TECHNICAL SKILLS</w:t>
      </w:r>
    </w:p>
    <w:p>
      <w:pPr>
        <w:pStyle w:val="BodyText"/>
        <w:ind w:left="162" w:right="395"/>
      </w:pPr>
      <w:r>
        <w:rPr>
          <w:b/>
        </w:rPr>
        <w:t>Technical Skills: </w:t>
      </w:r>
      <w:r>
        <w:rPr/>
        <w:t>Financial Modeling, Python, Microsoft </w:t>
      </w:r>
      <w:r>
        <w:rPr>
          <w:spacing w:val="-7"/>
        </w:rPr>
        <w:t>PowerPoint/Word/Excel, </w:t>
      </w:r>
      <w:r>
        <w:rPr/>
        <w:t>SQL, Tableau, Bloomberg, ZM Financial Systems.</w:t>
      </w:r>
    </w:p>
    <w:p>
      <w:pPr>
        <w:spacing w:before="2"/>
        <w:ind w:left="162" w:right="0" w:firstLine="0"/>
        <w:jc w:val="left"/>
        <w:rPr>
          <w:sz w:val="22"/>
        </w:rPr>
      </w:pPr>
      <w:r>
        <w:rPr>
          <w:b/>
          <w:sz w:val="22"/>
        </w:rPr>
        <w:t>Languages: </w:t>
      </w:r>
      <w:r>
        <w:rPr>
          <w:sz w:val="22"/>
        </w:rPr>
        <w:t>Fluent in English, Hindi, Malayalam.</w:t>
      </w:r>
    </w:p>
    <w:sectPr>
      <w:type w:val="continuous"/>
      <w:pgSz w:w="12240" w:h="15840"/>
      <w:pgMar w:top="340" w:bottom="280" w:left="9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Symbol">
    <w:altName w:val="Open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34" w:hanging="216"/>
      </w:pPr>
      <w:rPr>
        <w:rFonts w:hint="default" w:ascii="OpenSymbol" w:hAnsi="OpenSymbol" w:eastAsia="OpenSymbol" w:cs="OpenSymbol"/>
        <w:w w:val="112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26" w:hanging="288"/>
      </w:pPr>
      <w:rPr>
        <w:rFonts w:hint="default" w:ascii="OpenSymbol" w:hAnsi="OpenSymbol" w:eastAsia="OpenSymbol" w:cs="OpenSymbol"/>
        <w:w w:val="11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34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 w:line="550" w:lineRule="exact"/>
      <w:ind w:left="1732" w:right="1886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334" w:hanging="21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regoryntomy@ny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Tomy</dc:creator>
  <dcterms:created xsi:type="dcterms:W3CDTF">2022-03-06T04:13:28Z</dcterms:created>
  <dcterms:modified xsi:type="dcterms:W3CDTF">2022-03-06T04:13:28Z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2022-03-06T00:00:00Z</vt:filetime>
  </property>
</Properties>
</file>