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Vartotojų administravimas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ID 1.1 Vartotojų sąrašo peržiūra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ID 1.2 Vartotojo slaptažodžio keitimas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ID 1.3 Naujo vartotojo pridėjimas į sistemą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ID 1.4 Vartotojo slaptažodžio atnaujinimas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ID 1.5 Vartotojo redagavimas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ID 1.6 Vartotojo deaktyvavimas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ID 1.7 Vartotojo aktyvavimas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ID 1.8 Vartotojo ištrynimas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ID 1.9 Prisijungimas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ID 1.10 Atsijungimas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Maršrutų peržiūra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ID 2.1 Maršruto grafinis atvaizdavimas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ID 2.2 Detalios maršruto informacijos atvaizdavimas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ID 2.3 Sustojimo biuro pastabų įrašymas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Maršrutų generavimas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ID 3.1 Maršrutų generavimas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ID 3.2 Generacijų peržiūra ir/ar lyginimas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ID 3.3 Generacijų trynimas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ID 3.4 Generacijos aktyvavimas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Informacijos valdymas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ID 4.1 Naujo biuro įrašo pridėjimas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ID 4.2 Biuro įrašo trynimas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ID 4.3 Biuro įrašo redagavimas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ID 4.4 Biurų įrašų paieška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ID 4.5 Biurų įrašų importavimas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ID 4.6 Biurų įrašų eksportavimas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ID 4.7 IS parametrų redagavimas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Mobilioji programėlė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ID 5.1 Dienos maršrutų apžvalga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ID 5.2 Važiavimas maršrutais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