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B20" w:rsidRDefault="00E2354E" w:rsidP="00E2354E">
      <w:pPr>
        <w:pStyle w:val="Titol1-Capitul"/>
        <w:numPr>
          <w:ilvl w:val="0"/>
          <w:numId w:val="5"/>
        </w:numPr>
      </w:pPr>
      <w:r>
        <w:t>CAPÍTULO 1. BERTA</w:t>
      </w:r>
    </w:p>
    <w:p w:rsidR="003F3C9C" w:rsidRDefault="00E2354E" w:rsidP="00D10159">
      <w:pPr>
        <w:pStyle w:val="Titol2-Apartat"/>
        <w:numPr>
          <w:ilvl w:val="1"/>
          <w:numId w:val="5"/>
        </w:numPr>
        <w:spacing w:line="480" w:lineRule="auto"/>
        <w:ind w:left="900" w:hanging="900"/>
      </w:pPr>
      <w:r>
        <w:t>Motivación de la aplicación</w:t>
      </w:r>
    </w:p>
    <w:p w:rsidR="003F3C9C" w:rsidRDefault="002701E4" w:rsidP="002701E4">
      <w:pPr>
        <w:pStyle w:val="Estilo1"/>
        <w:jc w:val="both"/>
      </w:pPr>
      <w:r>
        <w:t xml:space="preserve">BERTA es una aplicación de escritorio (ideada inicialmente para usarse en web) programada en MATLAB y PHP, basada en el homologo europeo RASCAL </w:t>
      </w:r>
      <w:r w:rsidR="005A37B2">
        <w:t>ide</w:t>
      </w:r>
      <w:r w:rsidR="00E26533">
        <w:t xml:space="preserve">ado por </w:t>
      </w:r>
      <w:proofErr w:type="spellStart"/>
      <w:r w:rsidR="00E26533">
        <w:t>Eurocontro</w:t>
      </w:r>
      <w:proofErr w:type="spellEnd"/>
      <w:r w:rsidR="00E26533">
        <w:t xml:space="preserve">. Estas aplicaciones son usadas para calcular la proyección gráfica de la cobertura de los instrumentos de navegación aérea por línea de vista </w:t>
      </w:r>
      <w:r w:rsidR="003F3C9C">
        <w:t xml:space="preserve">representada </w:t>
      </w:r>
      <w:r w:rsidR="00E26533">
        <w:t>sobre un plano WGS84</w:t>
      </w:r>
      <w:r w:rsidR="003F3C9C">
        <w:t>.</w:t>
      </w:r>
      <w:r w:rsidR="00E26533">
        <w:t>En el cas</w:t>
      </w:r>
      <w:r w:rsidR="003F3C9C">
        <w:t>o del BERTA el output se trata de un archivo KMZ.</w:t>
      </w:r>
    </w:p>
    <w:p w:rsidR="003F3C9C" w:rsidRDefault="003F3C9C" w:rsidP="002701E4">
      <w:pPr>
        <w:pStyle w:val="Estilo1"/>
        <w:jc w:val="both"/>
      </w:pPr>
      <w:r>
        <w:t>El aplicativo da como resultados las coberturas simples y múltiples para así conocer con exactitud el servicio ofrecido sobre las aerobias que cruzan el espacio aéreo español.</w:t>
      </w:r>
    </w:p>
    <w:p w:rsidR="00717CFF" w:rsidRDefault="00717CFF" w:rsidP="002701E4">
      <w:pPr>
        <w:pStyle w:val="Estilo1"/>
        <w:jc w:val="both"/>
      </w:pPr>
    </w:p>
    <w:p w:rsidR="00E2354E" w:rsidRDefault="00E2354E" w:rsidP="00D10159">
      <w:pPr>
        <w:pStyle w:val="Titol2-Apartat"/>
        <w:numPr>
          <w:ilvl w:val="1"/>
          <w:numId w:val="5"/>
        </w:numPr>
        <w:ind w:left="900" w:hanging="900"/>
      </w:pPr>
      <w:r>
        <w:t>RASCAL</w:t>
      </w:r>
    </w:p>
    <w:p w:rsidR="00CE2BFD" w:rsidRDefault="00CE2BFD" w:rsidP="003F3C9C">
      <w:pPr>
        <w:pStyle w:val="Titol2-Apartat"/>
      </w:pPr>
    </w:p>
    <w:p w:rsidR="003F3C9C" w:rsidRDefault="003F3C9C" w:rsidP="003F3C9C">
      <w:pPr>
        <w:pStyle w:val="Titol2-Apartat"/>
      </w:pPr>
    </w:p>
    <w:p w:rsidR="00E2354E" w:rsidRDefault="00E2354E" w:rsidP="00D10159">
      <w:pPr>
        <w:pStyle w:val="Titol2-Apartat"/>
        <w:numPr>
          <w:ilvl w:val="1"/>
          <w:numId w:val="5"/>
        </w:numPr>
        <w:spacing w:line="480" w:lineRule="auto"/>
        <w:ind w:left="900" w:hanging="900"/>
      </w:pPr>
      <w:r>
        <w:t>Cobertura simple</w:t>
      </w:r>
    </w:p>
    <w:p w:rsidR="00CE2BFD" w:rsidRDefault="003F3C9C" w:rsidP="003F3C9C">
      <w:pPr>
        <w:pStyle w:val="Estilo1"/>
        <w:jc w:val="both"/>
      </w:pPr>
      <w:r>
        <w:t xml:space="preserve">Una cobertura simple es aquella generada solo por un radar. Se usan dos algoritmos distintos para su cálculo dependiendo de la situación. La representación es </w:t>
      </w:r>
      <w:r w:rsidR="002252D4">
        <w:t xml:space="preserve">2D sobre la proyección </w:t>
      </w:r>
      <w:r>
        <w:t xml:space="preserve">WGS84 por lo que requeriremos de un FL (Flight </w:t>
      </w:r>
      <w:proofErr w:type="spellStart"/>
      <w:r>
        <w:t>Level</w:t>
      </w:r>
      <w:proofErr w:type="spellEnd"/>
      <w:r w:rsidR="002252D4">
        <w:t xml:space="preserve">, nivel de vuelo) para concretar un plano. </w:t>
      </w:r>
    </w:p>
    <w:p w:rsidR="00717CFF" w:rsidRDefault="00717CFF" w:rsidP="003F3C9C">
      <w:pPr>
        <w:pStyle w:val="Estilo1"/>
        <w:jc w:val="both"/>
      </w:pPr>
    </w:p>
    <w:p w:rsidR="00E2354E" w:rsidRDefault="00E2354E" w:rsidP="00D10159">
      <w:pPr>
        <w:pStyle w:val="Titol3-Subapartat"/>
        <w:numPr>
          <w:ilvl w:val="2"/>
          <w:numId w:val="5"/>
        </w:numPr>
        <w:spacing w:line="480" w:lineRule="auto"/>
        <w:ind w:left="900" w:hanging="900"/>
      </w:pPr>
      <w:r>
        <w:t>Cálculo para niveles superiores al radar-</w:t>
      </w:r>
      <w:proofErr w:type="spellStart"/>
      <w:r>
        <w:t>site</w:t>
      </w:r>
      <w:proofErr w:type="spellEnd"/>
    </w:p>
    <w:p w:rsidR="00D10159" w:rsidRDefault="00D10159" w:rsidP="00D10159">
      <w:pPr>
        <w:pStyle w:val="Estilo1"/>
        <w:jc w:val="both"/>
      </w:pPr>
      <w:r>
        <w:t>Cuando el FL indicado está por encima del radar-</w:t>
      </w:r>
      <w:proofErr w:type="spellStart"/>
      <w:r>
        <w:t>site</w:t>
      </w:r>
      <w:proofErr w:type="spellEnd"/>
      <w:r>
        <w:t xml:space="preserve"> (antena transmisora-receptora) al proceder al cálculo tenemos que proveernos de información sobre la posición entre el obstáculo más limitante dentro del radio de acción del radar, el centro del haz frecuencial de la antena y el nivel de vuelo. </w:t>
      </w:r>
    </w:p>
    <w:p w:rsidR="00D10159" w:rsidRDefault="00D10159" w:rsidP="00D10159">
      <w:pPr>
        <w:pStyle w:val="Estilo1"/>
        <w:jc w:val="both"/>
      </w:pPr>
      <w:r>
        <w:t>Asimismo, el problema se divide otra vez más para computar toda la casuística del sistema.</w:t>
      </w:r>
    </w:p>
    <w:p w:rsidR="00717CFF" w:rsidRDefault="00717CFF" w:rsidP="00D10159">
      <w:pPr>
        <w:pStyle w:val="Estilo1"/>
        <w:jc w:val="both"/>
      </w:pPr>
    </w:p>
    <w:p w:rsidR="00993D15" w:rsidRPr="00717CFF" w:rsidRDefault="00993D15" w:rsidP="00D10159">
      <w:pPr>
        <w:pStyle w:val="Titol3-Subapartat"/>
        <w:numPr>
          <w:ilvl w:val="3"/>
          <w:numId w:val="5"/>
        </w:numPr>
        <w:ind w:left="900" w:hanging="900"/>
        <w:jc w:val="both"/>
      </w:pPr>
      <w:r>
        <w:rPr>
          <w:b w:val="0"/>
          <w:i/>
          <w:sz w:val="24"/>
          <w:szCs w:val="24"/>
        </w:rPr>
        <w:t xml:space="preserve">El FL está situado sobre el centro del haz frecuencial de la antena y el obstáculo más restrictivo del sistema. </w:t>
      </w:r>
    </w:p>
    <w:p w:rsidR="00717CFF" w:rsidRPr="00D10159" w:rsidRDefault="00717CFF" w:rsidP="00717CFF">
      <w:pPr>
        <w:pStyle w:val="Titol3-Subapartat"/>
        <w:jc w:val="both"/>
      </w:pPr>
    </w:p>
    <w:p w:rsidR="00A338CC" w:rsidRDefault="00A338CC" w:rsidP="00D10159">
      <w:pPr>
        <w:pStyle w:val="Titol3-Subapartat"/>
        <w:jc w:val="both"/>
        <w:rPr>
          <w:b w:val="0"/>
          <w:sz w:val="24"/>
          <w:szCs w:val="24"/>
        </w:rPr>
      </w:pPr>
    </w:p>
    <w:p w:rsidR="00A338CC" w:rsidRDefault="00A338CC" w:rsidP="00A338CC">
      <w:pPr>
        <w:pStyle w:val="Titol3-Subapartat"/>
        <w:jc w:val="both"/>
        <w:rPr>
          <w:rFonts w:eastAsiaTheme="minorEastAsia"/>
          <w:b w:val="0"/>
          <w:sz w:val="24"/>
          <w:szCs w:val="24"/>
        </w:rPr>
      </w:pPr>
      <w:r>
        <w:rPr>
          <w:b w:val="0"/>
          <w:sz w:val="24"/>
          <w:szCs w:val="24"/>
        </w:rPr>
        <w:lastRenderedPageBreak/>
        <w:t xml:space="preserve">Para cada punto del azimut (vertical) se calculará un ángulo </w:t>
      </w:r>
      <m:oMath>
        <m:r>
          <w:rPr>
            <w:rFonts w:ascii="Cambria Math" w:hAnsi="Cambria Math"/>
            <w:sz w:val="24"/>
            <w:szCs w:val="24"/>
          </w:rPr>
          <m:t>δ</m:t>
        </m:r>
      </m:oMath>
      <w:r>
        <w:rPr>
          <w:rFonts w:eastAsiaTheme="minorEastAsia"/>
          <w:b w:val="0"/>
          <w:sz w:val="24"/>
          <w:szCs w:val="24"/>
        </w:rPr>
        <w:t xml:space="preserve"> (Ga</w:t>
      </w:r>
      <w:proofErr w:type="spellStart"/>
      <w:r>
        <w:rPr>
          <w:rFonts w:eastAsiaTheme="minorEastAsia"/>
          <w:b w:val="0"/>
          <w:sz w:val="24"/>
          <w:szCs w:val="24"/>
        </w:rPr>
        <w:t>mma</w:t>
      </w:r>
      <w:proofErr w:type="spellEnd"/>
      <w:r>
        <w:rPr>
          <w:rFonts w:eastAsiaTheme="minorEastAsia"/>
          <w:b w:val="0"/>
          <w:sz w:val="24"/>
          <w:szCs w:val="24"/>
        </w:rPr>
        <w:t>)</w:t>
      </w:r>
      <w:r>
        <w:rPr>
          <w:rFonts w:eastAsiaTheme="minorEastAsia"/>
          <w:b w:val="0"/>
          <w:sz w:val="24"/>
          <w:szCs w:val="24"/>
        </w:rPr>
        <w:t xml:space="preserve">. Este ángulo está formado por la intersección entre el eje del centro terrestre hacia el centro de la antena (visto en planta) y la línea imaginaria entre el centro del haz frecuencial de la antena y el punto terrestre que corresponda a ese azimut. </w:t>
      </w:r>
    </w:p>
    <w:p w:rsidR="00A338CC" w:rsidRDefault="00A338CC" w:rsidP="00A338CC">
      <w:pPr>
        <w:pStyle w:val="Titol3-Subapartat"/>
        <w:jc w:val="both"/>
        <w:rPr>
          <w:rFonts w:eastAsiaTheme="minorEastAsia"/>
          <w:b w:val="0"/>
          <w:sz w:val="24"/>
          <w:szCs w:val="24"/>
        </w:rPr>
      </w:pPr>
      <w:r>
        <w:rPr>
          <w:rFonts w:eastAsiaTheme="minorEastAsia"/>
          <w:b w:val="0"/>
          <w:sz w:val="24"/>
          <w:szCs w:val="24"/>
        </w:rPr>
        <w:t xml:space="preserve">Una vez se han calculado todos los puntos terrestres almacenamos el mayor de ellos </w:t>
      </w:r>
      <w:r>
        <w:rPr>
          <w:rFonts w:eastAsiaTheme="minorEastAsia"/>
          <w:b w:val="0"/>
          <w:sz w:val="24"/>
          <w:szCs w:val="24"/>
        </w:rPr>
        <w:t>(</w:t>
      </w:r>
      <m:oMath>
        <m:sSub>
          <m:sSubPr>
            <m:ctrlPr>
              <w:rPr>
                <w:rFonts w:ascii="Cambria Math" w:hAnsi="Cambria Math"/>
                <w:b w:val="0"/>
                <w:i/>
                <w:sz w:val="24"/>
                <w:szCs w:val="24"/>
              </w:rPr>
            </m:ctrlPr>
          </m:sSubPr>
          <m:e>
            <m:r>
              <w:rPr>
                <w:rFonts w:ascii="Cambria Math" w:hAnsi="Cambria Math"/>
                <w:sz w:val="24"/>
                <w:szCs w:val="24"/>
              </w:rPr>
              <m:t>δ</m:t>
            </m:r>
          </m:e>
          <m:sub>
            <m:r>
              <w:rPr>
                <w:rFonts w:ascii="Cambria Math" w:hAnsi="Cambria Math"/>
                <w:sz w:val="24"/>
                <w:szCs w:val="24"/>
              </w:rPr>
              <m:t>MAX</m:t>
            </m:r>
          </m:sub>
        </m:sSub>
      </m:oMath>
      <w:r>
        <w:rPr>
          <w:rFonts w:eastAsiaTheme="minorEastAsia"/>
          <w:b w:val="0"/>
          <w:sz w:val="24"/>
          <w:szCs w:val="24"/>
        </w:rPr>
        <w:t xml:space="preserve">, Gamma </w:t>
      </w:r>
      <w:proofErr w:type="spellStart"/>
      <w:r>
        <w:rPr>
          <w:rFonts w:eastAsiaTheme="minorEastAsia"/>
          <w:b w:val="0"/>
          <w:sz w:val="24"/>
          <w:szCs w:val="24"/>
        </w:rPr>
        <w:t>max</w:t>
      </w:r>
      <w:proofErr w:type="spellEnd"/>
      <w:r>
        <w:rPr>
          <w:rFonts w:eastAsiaTheme="minorEastAsia"/>
          <w:b w:val="0"/>
          <w:sz w:val="24"/>
          <w:szCs w:val="24"/>
        </w:rPr>
        <w:t>)</w:t>
      </w:r>
      <w:r>
        <w:rPr>
          <w:rFonts w:eastAsiaTheme="minorEastAsia"/>
          <w:b w:val="0"/>
          <w:sz w:val="24"/>
          <w:szCs w:val="24"/>
        </w:rPr>
        <w:t xml:space="preserve">, el cual está relacionado con el obstáculo más restrictivo. </w:t>
      </w:r>
      <w:r w:rsidR="00DB4C75">
        <w:rPr>
          <w:rFonts w:eastAsiaTheme="minorEastAsia"/>
          <w:b w:val="0"/>
          <w:sz w:val="24"/>
          <w:szCs w:val="24"/>
        </w:rPr>
        <w:t>Usando este ángulo máximo, prolongamos la línea imaginaria hasta cortar con el plano del FL deseado.</w:t>
      </w:r>
    </w:p>
    <w:p w:rsidR="00DB4C75" w:rsidRDefault="00A338CC" w:rsidP="00DB4C75">
      <w:pPr>
        <w:pStyle w:val="Titol3-Subapartat"/>
        <w:jc w:val="both"/>
        <w:rPr>
          <w:rFonts w:eastAsiaTheme="minorEastAsia"/>
          <w:b w:val="0"/>
          <w:sz w:val="24"/>
          <w:szCs w:val="24"/>
        </w:rPr>
      </w:pPr>
      <w:r>
        <w:rPr>
          <w:rFonts w:eastAsiaTheme="minorEastAsia"/>
          <w:b w:val="0"/>
          <w:sz w:val="24"/>
          <w:szCs w:val="24"/>
        </w:rPr>
        <w:t xml:space="preserve">Al mismo tiempo, se calcula para cada azimut un ángulo </w:t>
      </w:r>
      <m:oMath>
        <m:r>
          <w:rPr>
            <w:rFonts w:ascii="Cambria Math" w:eastAsiaTheme="minorEastAsia" w:hAnsi="Cambria Math"/>
            <w:sz w:val="24"/>
            <w:szCs w:val="24"/>
          </w:rPr>
          <m:t>ε</m:t>
        </m:r>
      </m:oMath>
      <w:r>
        <w:rPr>
          <w:rFonts w:eastAsiaTheme="minorEastAsia"/>
          <w:b w:val="0"/>
          <w:sz w:val="24"/>
          <w:szCs w:val="24"/>
        </w:rPr>
        <w:t xml:space="preserve"> (Épsilon)</w:t>
      </w:r>
      <w:r>
        <w:rPr>
          <w:rFonts w:eastAsiaTheme="minorEastAsia"/>
          <w:b w:val="0"/>
          <w:sz w:val="24"/>
          <w:szCs w:val="24"/>
        </w:rPr>
        <w:t>, formado por la intersección</w:t>
      </w:r>
      <w:r w:rsidR="00DB4C75">
        <w:rPr>
          <w:rFonts w:eastAsiaTheme="minorEastAsia"/>
          <w:b w:val="0"/>
          <w:sz w:val="24"/>
          <w:szCs w:val="24"/>
        </w:rPr>
        <w:t xml:space="preserve"> en el centro terrestre del eje con </w:t>
      </w:r>
      <w:r w:rsidR="00DB4C75">
        <w:rPr>
          <w:rFonts w:eastAsiaTheme="minorEastAsia"/>
          <w:b w:val="0"/>
          <w:sz w:val="24"/>
          <w:szCs w:val="24"/>
        </w:rPr>
        <w:t>el centro de la antena (visto en planta) y la línea imaginaria entre el punto terrestre correspondiente</w:t>
      </w:r>
      <w:r w:rsidR="00DB4C75">
        <w:rPr>
          <w:rFonts w:eastAsiaTheme="minorEastAsia"/>
          <w:b w:val="0"/>
          <w:sz w:val="24"/>
          <w:szCs w:val="24"/>
        </w:rPr>
        <w:t xml:space="preserve">. </w:t>
      </w:r>
      <w:r w:rsidR="00DB4C75">
        <w:rPr>
          <w:rFonts w:eastAsiaTheme="minorEastAsia"/>
          <w:b w:val="0"/>
          <w:sz w:val="24"/>
          <w:szCs w:val="24"/>
        </w:rPr>
        <w:t xml:space="preserve">Siempre comprobamos que sea inferior al ángulo </w:t>
      </w:r>
      <w:proofErr w:type="spellStart"/>
      <w:r w:rsidR="00DB4C75">
        <w:rPr>
          <w:rFonts w:eastAsiaTheme="minorEastAsia"/>
          <w:b w:val="0"/>
          <w:sz w:val="24"/>
          <w:szCs w:val="24"/>
        </w:rPr>
        <w:t>AlphaRange</w:t>
      </w:r>
      <w:proofErr w:type="spellEnd"/>
      <w:r w:rsidR="00DB4C75">
        <w:rPr>
          <w:rFonts w:eastAsiaTheme="minorEastAsia"/>
          <w:b w:val="0"/>
          <w:sz w:val="24"/>
          <w:szCs w:val="24"/>
        </w:rPr>
        <w:t>, ángulo encarado de definir el rango operacional del radar.</w:t>
      </w:r>
    </w:p>
    <w:p w:rsidR="00DB4C75" w:rsidRDefault="00DB4C75" w:rsidP="00A338CC">
      <w:pPr>
        <w:pStyle w:val="Titol3-Subapartat"/>
        <w:jc w:val="both"/>
        <w:rPr>
          <w:b w:val="0"/>
          <w:sz w:val="24"/>
          <w:szCs w:val="24"/>
        </w:rPr>
      </w:pPr>
      <w:r>
        <w:rPr>
          <w:rFonts w:eastAsiaTheme="minorEastAsia"/>
          <w:b w:val="0"/>
          <w:sz w:val="24"/>
          <w:szCs w:val="24"/>
        </w:rPr>
        <w:t xml:space="preserve">Ahora, para computar la distancia de cobertura de cada azimut se multiplica el ángulo </w:t>
      </w:r>
      <m:oMath>
        <m:r>
          <w:rPr>
            <w:rFonts w:ascii="Cambria Math" w:eastAsiaTheme="minorEastAsia" w:hAnsi="Cambria Math"/>
            <w:sz w:val="24"/>
            <w:szCs w:val="24"/>
          </w:rPr>
          <m:t>ε</m:t>
        </m:r>
      </m:oMath>
      <w:r>
        <w:rPr>
          <w:rFonts w:eastAsiaTheme="minorEastAsia"/>
          <w:b w:val="0"/>
          <w:sz w:val="24"/>
          <w:szCs w:val="24"/>
        </w:rPr>
        <w:t xml:space="preserve"> o </w:t>
      </w:r>
      <w:proofErr w:type="spellStart"/>
      <w:r>
        <w:rPr>
          <w:rFonts w:eastAsiaTheme="minorEastAsia"/>
          <w:b w:val="0"/>
          <w:sz w:val="24"/>
          <w:szCs w:val="24"/>
        </w:rPr>
        <w:t>AlphaRange</w:t>
      </w:r>
      <w:proofErr w:type="spellEnd"/>
      <w:r>
        <w:rPr>
          <w:rFonts w:eastAsiaTheme="minorEastAsia"/>
          <w:b w:val="0"/>
          <w:sz w:val="24"/>
          <w:szCs w:val="24"/>
        </w:rPr>
        <w:t xml:space="preserve"> (dependiendo de cuál sea menor en cada caso) por el radio de la tierra y un factor de corrección de la propagación de las ondas electromagnética en la atmosfera. </w:t>
      </w:r>
    </w:p>
    <w:p w:rsidR="00DB4C75" w:rsidRDefault="00DB4C75" w:rsidP="00A338CC">
      <w:pPr>
        <w:pStyle w:val="Titol3-Subapartat"/>
        <w:jc w:val="both"/>
        <w:rPr>
          <w:b w:val="0"/>
          <w:sz w:val="24"/>
          <w:szCs w:val="24"/>
        </w:rPr>
      </w:pPr>
      <w:r>
        <w:rPr>
          <w:b w:val="0"/>
          <w:sz w:val="24"/>
          <w:szCs w:val="24"/>
        </w:rPr>
        <w:t xml:space="preserve">Como hemos dicho este cálculo se ejecuta para cada azimut (máximos -180º, 180º) y para cada grado del rango operacional del radar (máximos 0º, 360º). </w:t>
      </w:r>
      <w:bookmarkStart w:id="0" w:name="_GoBack"/>
      <w:bookmarkEnd w:id="0"/>
    </w:p>
    <w:p w:rsidR="00717CFF" w:rsidRDefault="00717CFF" w:rsidP="00717CFF">
      <w:pPr>
        <w:pStyle w:val="Estilo1"/>
        <w:jc w:val="right"/>
      </w:pPr>
      <w:r>
        <w:t xml:space="preserve">(Figura 1: Esquema de ángulos utilizados para el </w:t>
      </w:r>
      <w:proofErr w:type="spellStart"/>
      <w:r>
        <w:t>subcaso</w:t>
      </w:r>
      <w:proofErr w:type="spellEnd"/>
      <w:r>
        <w:t xml:space="preserve"> 1.3.1.1 [1])</w:t>
      </w:r>
    </w:p>
    <w:p w:rsidR="00974873" w:rsidRDefault="00974873" w:rsidP="00717CFF">
      <w:pPr>
        <w:pStyle w:val="Estilo1"/>
        <w:jc w:val="right"/>
      </w:pPr>
    </w:p>
    <w:p w:rsidR="00D10159" w:rsidRDefault="00D10159" w:rsidP="00D10159">
      <w:pPr>
        <w:pStyle w:val="Titol3-Subapartat"/>
        <w:numPr>
          <w:ilvl w:val="3"/>
          <w:numId w:val="5"/>
        </w:numPr>
        <w:ind w:left="900" w:hanging="900"/>
        <w:jc w:val="both"/>
      </w:pPr>
      <w:r>
        <w:rPr>
          <w:b w:val="0"/>
          <w:i/>
          <w:sz w:val="24"/>
          <w:szCs w:val="24"/>
        </w:rPr>
        <w:t>El FL está situado sobre el centro del haz frecuencial de la antena, pero por debajo del obstáculo más limitante.</w:t>
      </w:r>
    </w:p>
    <w:p w:rsidR="002252D4" w:rsidRPr="00717CFF" w:rsidRDefault="002252D4" w:rsidP="002252D4">
      <w:pPr>
        <w:pStyle w:val="Titol4-Subapartatdesubapartat"/>
        <w:rPr>
          <w:i w:val="0"/>
        </w:rPr>
      </w:pPr>
    </w:p>
    <w:p w:rsidR="002252D4" w:rsidRDefault="002252D4" w:rsidP="002252D4">
      <w:pPr>
        <w:pStyle w:val="Titol3-Subapartat"/>
        <w:ind w:left="36"/>
      </w:pPr>
    </w:p>
    <w:p w:rsidR="00717CFF" w:rsidRDefault="00717CFF" w:rsidP="002252D4">
      <w:pPr>
        <w:pStyle w:val="Titol3-Subapartat"/>
        <w:ind w:left="36"/>
      </w:pPr>
    </w:p>
    <w:p w:rsidR="00CE2BFD" w:rsidRDefault="00CE2BFD" w:rsidP="00E2354E">
      <w:pPr>
        <w:pStyle w:val="Titol3-Subapartat"/>
        <w:numPr>
          <w:ilvl w:val="2"/>
          <w:numId w:val="5"/>
        </w:numPr>
        <w:ind w:left="540"/>
      </w:pPr>
      <w:r>
        <w:t>Cálculo para niveles inferiores al radar-</w:t>
      </w:r>
      <w:proofErr w:type="spellStart"/>
      <w:r>
        <w:t>site</w:t>
      </w:r>
      <w:proofErr w:type="spellEnd"/>
    </w:p>
    <w:p w:rsidR="00CE2BFD" w:rsidRDefault="00CE2BFD" w:rsidP="00E2354E">
      <w:pPr>
        <w:pStyle w:val="Titol3-Subapartat"/>
        <w:numPr>
          <w:ilvl w:val="2"/>
          <w:numId w:val="5"/>
        </w:numPr>
        <w:ind w:left="540"/>
      </w:pPr>
      <w:r>
        <w:t>Resultados</w:t>
      </w:r>
    </w:p>
    <w:p w:rsidR="00CE2BFD" w:rsidRDefault="00CE2BFD" w:rsidP="00E2354E">
      <w:pPr>
        <w:pStyle w:val="Titol3-Subapartat"/>
        <w:numPr>
          <w:ilvl w:val="2"/>
          <w:numId w:val="5"/>
        </w:numPr>
        <w:ind w:left="540"/>
      </w:pPr>
      <w:r>
        <w:t>Diagrama de bloques o flujo</w:t>
      </w:r>
    </w:p>
    <w:p w:rsidR="00CE2BFD" w:rsidRPr="00DA2F05" w:rsidRDefault="00CE2BFD" w:rsidP="00CE2BFD">
      <w:pPr>
        <w:pStyle w:val="Titol3-Subapartat"/>
        <w:ind w:left="540"/>
        <w:rPr>
          <w:sz w:val="28"/>
          <w:szCs w:val="28"/>
        </w:rPr>
      </w:pPr>
    </w:p>
    <w:p w:rsidR="00CE2BFD" w:rsidRPr="00DA2F05" w:rsidRDefault="00CE2BFD" w:rsidP="00CE2BFD">
      <w:pPr>
        <w:pStyle w:val="Titol3-Subapartat"/>
        <w:numPr>
          <w:ilvl w:val="1"/>
          <w:numId w:val="5"/>
        </w:numPr>
        <w:rPr>
          <w:sz w:val="28"/>
          <w:szCs w:val="28"/>
        </w:rPr>
      </w:pPr>
      <w:r w:rsidRPr="00DA2F05">
        <w:rPr>
          <w:sz w:val="28"/>
          <w:szCs w:val="28"/>
        </w:rPr>
        <w:t>Cobertura múltiple</w:t>
      </w:r>
    </w:p>
    <w:p w:rsidR="00CE2BFD" w:rsidRDefault="00CE2BFD" w:rsidP="00CE2BFD">
      <w:pPr>
        <w:pStyle w:val="Titol3-Subapartat"/>
        <w:ind w:left="360"/>
      </w:pPr>
    </w:p>
    <w:p w:rsidR="00CE2BFD" w:rsidRDefault="00CE2BFD" w:rsidP="00CE2BFD">
      <w:pPr>
        <w:pStyle w:val="Titol3-Subapartat"/>
        <w:numPr>
          <w:ilvl w:val="2"/>
          <w:numId w:val="5"/>
        </w:numPr>
      </w:pPr>
      <w:r>
        <w:t>Cálculos</w:t>
      </w:r>
    </w:p>
    <w:p w:rsidR="00CE2BFD" w:rsidRDefault="00CE2BFD" w:rsidP="00CE2BFD">
      <w:pPr>
        <w:pStyle w:val="Titol3-Subapartat"/>
        <w:numPr>
          <w:ilvl w:val="2"/>
          <w:numId w:val="5"/>
        </w:numPr>
      </w:pPr>
      <w:r>
        <w:t>Resultados</w:t>
      </w:r>
    </w:p>
    <w:p w:rsidR="00CE2BFD" w:rsidRDefault="00CE2BFD" w:rsidP="00CE2BFD">
      <w:pPr>
        <w:pStyle w:val="Titol3-Subapartat"/>
        <w:numPr>
          <w:ilvl w:val="2"/>
          <w:numId w:val="5"/>
        </w:numPr>
      </w:pPr>
      <w:r>
        <w:t>Problemáticas</w:t>
      </w:r>
    </w:p>
    <w:p w:rsidR="00CE2BFD" w:rsidRDefault="00CE2BFD" w:rsidP="00CE2BFD">
      <w:pPr>
        <w:pStyle w:val="Titol3-Subapartat"/>
        <w:numPr>
          <w:ilvl w:val="2"/>
          <w:numId w:val="5"/>
        </w:numPr>
      </w:pPr>
      <w:r>
        <w:lastRenderedPageBreak/>
        <w:t>Diagrama de bloques o flujo</w:t>
      </w:r>
    </w:p>
    <w:p w:rsidR="00CE2BFD" w:rsidRDefault="00CE2BFD" w:rsidP="00CE2BFD">
      <w:pPr>
        <w:pStyle w:val="Titol3-Subapartat"/>
      </w:pPr>
    </w:p>
    <w:p w:rsidR="00CE2BFD" w:rsidRPr="00DA2F05" w:rsidRDefault="00CE2BFD" w:rsidP="00CE2BFD">
      <w:pPr>
        <w:pStyle w:val="Titol3-Subapartat"/>
        <w:numPr>
          <w:ilvl w:val="1"/>
          <w:numId w:val="5"/>
        </w:numPr>
        <w:rPr>
          <w:sz w:val="28"/>
          <w:szCs w:val="28"/>
        </w:rPr>
      </w:pPr>
      <w:r w:rsidRPr="00DA2F05">
        <w:rPr>
          <w:sz w:val="28"/>
          <w:szCs w:val="28"/>
        </w:rPr>
        <w:t>RASCAL vs BERTA</w:t>
      </w:r>
    </w:p>
    <w:p w:rsidR="00E2354E" w:rsidRPr="00DA6B20" w:rsidRDefault="00E2354E" w:rsidP="00E2354E">
      <w:pPr>
        <w:pStyle w:val="Titol2-Apartat"/>
      </w:pPr>
    </w:p>
    <w:sectPr w:rsidR="00E2354E" w:rsidRPr="00DA6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E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255737"/>
    <w:multiLevelType w:val="multilevel"/>
    <w:tmpl w:val="115652B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0" w:firstLine="1080"/>
      </w:pPr>
      <w:rPr>
        <w:rFonts w:hint="default"/>
        <w:b w:val="0"/>
        <w:i/>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AD3F77"/>
    <w:multiLevelType w:val="hybridMultilevel"/>
    <w:tmpl w:val="81284F12"/>
    <w:lvl w:ilvl="0" w:tplc="E766CF5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0975D8"/>
    <w:multiLevelType w:val="hybridMultilevel"/>
    <w:tmpl w:val="762A8F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4274E5"/>
    <w:multiLevelType w:val="multilevel"/>
    <w:tmpl w:val="305A6E6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6D3F584B"/>
    <w:multiLevelType w:val="hybridMultilevel"/>
    <w:tmpl w:val="4DFABF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4D7410"/>
    <w:multiLevelType w:val="hybridMultilevel"/>
    <w:tmpl w:val="CB6ECB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67"/>
    <w:rsid w:val="001E5FE7"/>
    <w:rsid w:val="002252D4"/>
    <w:rsid w:val="002701E4"/>
    <w:rsid w:val="002A2C67"/>
    <w:rsid w:val="003F3C9C"/>
    <w:rsid w:val="005A37B2"/>
    <w:rsid w:val="006C27A3"/>
    <w:rsid w:val="00717CFF"/>
    <w:rsid w:val="00793299"/>
    <w:rsid w:val="00854DCC"/>
    <w:rsid w:val="00895530"/>
    <w:rsid w:val="00974873"/>
    <w:rsid w:val="00993D15"/>
    <w:rsid w:val="00A338CC"/>
    <w:rsid w:val="00CE2BFD"/>
    <w:rsid w:val="00D10159"/>
    <w:rsid w:val="00DA2F05"/>
    <w:rsid w:val="00DA6B20"/>
    <w:rsid w:val="00DB4C75"/>
    <w:rsid w:val="00E2354E"/>
    <w:rsid w:val="00E265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81EF"/>
  <w15:chartTrackingRefBased/>
  <w15:docId w15:val="{D7F8E3A5-2BE8-4E95-87C6-E05165BC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ol1-Capitul">
    <w:name w:val="Titol 1 - Capitul"/>
    <w:basedOn w:val="Normal"/>
    <w:next w:val="Normal"/>
    <w:link w:val="Titol1-CapitulCar"/>
    <w:qFormat/>
    <w:rsid w:val="00DA6B20"/>
    <w:pPr>
      <w:jc w:val="center"/>
    </w:pPr>
    <w:rPr>
      <w:rFonts w:ascii="Arial" w:hAnsi="Arial"/>
      <w:b/>
      <w:sz w:val="32"/>
    </w:rPr>
  </w:style>
  <w:style w:type="paragraph" w:customStyle="1" w:styleId="Titol2-Apartat">
    <w:name w:val="Titol 2 - Apartat"/>
    <w:basedOn w:val="Titol1-Capitul"/>
    <w:link w:val="Titol2-ApartatCar"/>
    <w:qFormat/>
    <w:rsid w:val="00DA6B20"/>
    <w:pPr>
      <w:jc w:val="left"/>
    </w:pPr>
    <w:rPr>
      <w:sz w:val="28"/>
    </w:rPr>
  </w:style>
  <w:style w:type="character" w:customStyle="1" w:styleId="Titol1-CapitulCar">
    <w:name w:val="Titol 1 - Capitul Car"/>
    <w:basedOn w:val="Fuentedeprrafopredeter"/>
    <w:link w:val="Titol1-Capitul"/>
    <w:rsid w:val="00DA6B20"/>
    <w:rPr>
      <w:rFonts w:ascii="Arial" w:hAnsi="Arial"/>
      <w:b/>
      <w:sz w:val="32"/>
    </w:rPr>
  </w:style>
  <w:style w:type="paragraph" w:customStyle="1" w:styleId="Titol3-Subapartat">
    <w:name w:val="Titol 3 - Subapartat"/>
    <w:basedOn w:val="Titol2-Apartat"/>
    <w:link w:val="Titol3-SubapartatCar"/>
    <w:qFormat/>
    <w:rsid w:val="00DA6B20"/>
    <w:rPr>
      <w:sz w:val="26"/>
    </w:rPr>
  </w:style>
  <w:style w:type="character" w:customStyle="1" w:styleId="Titol2-ApartatCar">
    <w:name w:val="Titol 2 - Apartat Car"/>
    <w:basedOn w:val="Titol1-CapitulCar"/>
    <w:link w:val="Titol2-Apartat"/>
    <w:rsid w:val="00DA6B20"/>
    <w:rPr>
      <w:rFonts w:ascii="Arial" w:hAnsi="Arial"/>
      <w:b/>
      <w:sz w:val="28"/>
    </w:rPr>
  </w:style>
  <w:style w:type="paragraph" w:styleId="Prrafodelista">
    <w:name w:val="List Paragraph"/>
    <w:basedOn w:val="Normal"/>
    <w:uiPriority w:val="34"/>
    <w:qFormat/>
    <w:rsid w:val="00E2354E"/>
    <w:pPr>
      <w:ind w:left="720"/>
      <w:contextualSpacing/>
    </w:pPr>
  </w:style>
  <w:style w:type="character" w:customStyle="1" w:styleId="Titol3-SubapartatCar">
    <w:name w:val="Titol 3 - Subapartat Car"/>
    <w:basedOn w:val="Titol2-ApartatCar"/>
    <w:link w:val="Titol3-Subapartat"/>
    <w:rsid w:val="00DA6B20"/>
    <w:rPr>
      <w:rFonts w:ascii="Arial" w:hAnsi="Arial"/>
      <w:b/>
      <w:sz w:val="26"/>
    </w:rPr>
  </w:style>
  <w:style w:type="paragraph" w:customStyle="1" w:styleId="Estilo1">
    <w:name w:val="Estilo1"/>
    <w:basedOn w:val="Normal"/>
    <w:link w:val="Estilo1Car"/>
    <w:qFormat/>
    <w:rsid w:val="002701E4"/>
    <w:rPr>
      <w:rFonts w:ascii="Arial" w:hAnsi="Arial"/>
      <w:sz w:val="24"/>
    </w:rPr>
  </w:style>
  <w:style w:type="paragraph" w:styleId="Sinespaciado">
    <w:name w:val="No Spacing"/>
    <w:link w:val="SinespaciadoCar"/>
    <w:uiPriority w:val="1"/>
    <w:qFormat/>
    <w:rsid w:val="002252D4"/>
    <w:pPr>
      <w:spacing w:after="0" w:line="240" w:lineRule="auto"/>
    </w:pPr>
  </w:style>
  <w:style w:type="character" w:customStyle="1" w:styleId="Estilo1Car">
    <w:name w:val="Estilo1 Car"/>
    <w:basedOn w:val="Fuentedeprrafopredeter"/>
    <w:link w:val="Estilo1"/>
    <w:rsid w:val="002701E4"/>
    <w:rPr>
      <w:rFonts w:ascii="Arial" w:hAnsi="Arial"/>
      <w:sz w:val="24"/>
    </w:rPr>
  </w:style>
  <w:style w:type="paragraph" w:customStyle="1" w:styleId="Titol4-Subapartatdesubapartat">
    <w:name w:val="Titol 4 - Subapartat de subapartat"/>
    <w:basedOn w:val="Estilo1"/>
    <w:next w:val="Normal"/>
    <w:link w:val="Titol4-SubapartatdesubapartatCar"/>
    <w:qFormat/>
    <w:rsid w:val="002252D4"/>
    <w:rPr>
      <w:i/>
    </w:rPr>
  </w:style>
  <w:style w:type="character" w:styleId="Textodelmarcadordeposicin">
    <w:name w:val="Placeholder Text"/>
    <w:basedOn w:val="Fuentedeprrafopredeter"/>
    <w:uiPriority w:val="99"/>
    <w:semiHidden/>
    <w:rsid w:val="00D10159"/>
    <w:rPr>
      <w:color w:val="808080"/>
    </w:rPr>
  </w:style>
  <w:style w:type="character" w:customStyle="1" w:styleId="SinespaciadoCar">
    <w:name w:val="Sin espaciado Car"/>
    <w:basedOn w:val="Fuentedeprrafopredeter"/>
    <w:link w:val="Sinespaciado"/>
    <w:uiPriority w:val="1"/>
    <w:rsid w:val="002252D4"/>
  </w:style>
  <w:style w:type="character" w:customStyle="1" w:styleId="Titol4-SubapartatdesubapartatCar">
    <w:name w:val="Titol 4 - Subapartat de subapartat Car"/>
    <w:basedOn w:val="SinespaciadoCar"/>
    <w:link w:val="Titol4-Subapartatdesubapartat"/>
    <w:rsid w:val="002252D4"/>
    <w:rPr>
      <w:rFonts w:ascii="Arial" w:hAnsi="Arial"/>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488DC-B8BB-45B5-ACAC-B310BE57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494</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Gomar Bonet</dc:creator>
  <cp:keywords/>
  <dc:description/>
  <cp:lastModifiedBy>arnau Gomar Bonet</cp:lastModifiedBy>
  <cp:revision>6</cp:revision>
  <dcterms:created xsi:type="dcterms:W3CDTF">2021-09-16T13:55:00Z</dcterms:created>
  <dcterms:modified xsi:type="dcterms:W3CDTF">2021-09-17T19:17:00Z</dcterms:modified>
</cp:coreProperties>
</file>