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137.png" ContentType="image/png"/>
  <Override PartName="/word/media/rId201.png" ContentType="image/png"/>
  <Override PartName="/word/media/rId85.png" ContentType="image/png"/>
  <Override PartName="/word/media/rId247.png" ContentType="image/png"/>
  <Override PartName="/word/media/rId251.png" ContentType="image/png"/>
  <Override PartName="/word/media/rId255.png" ContentType="image/png"/>
  <Override PartName="/word/media/rId234.png" ContentType="image/png"/>
  <Override PartName="/word/media/rId238.png" ContentType="image/png"/>
  <Override PartName="/word/media/rId242.png" ContentType="image/png"/>
  <Override PartName="/word/media/rId221.png" ContentType="image/png"/>
  <Override PartName="/word/media/rId225.png" ContentType="image/png"/>
  <Override PartName="/word/media/rId229.png" ContentType="image/png"/>
  <Override PartName="/word/media/rId208.png" ContentType="image/png"/>
  <Override PartName="/word/media/rId189.png" ContentType="image/png"/>
  <Override PartName="/word/media/rId193.png" ContentType="image/png"/>
  <Override PartName="/word/media/rId8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GWAS Analyses utilising the CARTaGENE database</w:t>
      </w:r>
    </w:p>
    <w:p>
      <w:pPr>
        <w:pStyle w:val="Author"/>
      </w:pPr>
      <w:r>
        <w:t xml:space="preserve">Bastien CHASSAGNOL and Marie-Pier SCOT-KELLY and Clément and Fabrice</w:t>
      </w:r>
    </w:p>
    <w:p>
      <w:pPr>
        <w:pStyle w:val="Date"/>
      </w:pPr>
      <w:r>
        <w:t xml:space="preserve">2025-04-24</w:t>
      </w:r>
    </w:p>
    <w:sdt>
      <w:sdtPr>
        <w:docPartObj>
          <w:docPartGallery w:val="Table of Contents"/>
          <w:docPartUnique/>
        </w:docPartObj>
      </w:sdtPr>
      <w:sdtContent>
        <w:p>
          <w:pPr>
            <w:pStyle w:val="TOCHeading"/>
          </w:pPr>
          <w:r>
            <w:t xml:space="preserve">Contents</w:t>
          </w:r>
        </w:p>
        <w:p>
          <w:r>
            <w:fldChar w:fldCharType="begin" w:dirty="true"/>
            <w:instrText xml:space="preserve">TOC \o "1-4" \h \z \u</w:instrText>
            <w:fldChar w:fldCharType="separate"/>
            <w:fldChar w:fldCharType="end"/>
          </w:r>
        </w:p>
      </w:sdtContent>
    </w:sdt>
    <w:bookmarkStart w:id="20" w:name="welcome"/>
    <w:p>
      <w:pPr>
        <w:pStyle w:val="Heading1"/>
      </w:pPr>
      <w:r>
        <w:t xml:space="preserve">Welcome</w:t>
      </w:r>
    </w:p>
    <w:p>
      <w:pPr>
        <w:pStyle w:val="FirstParagraph"/>
      </w:pPr>
      <w:r>
        <w:t xml:space="preserve">This is the online book for running and reproducing:</w:t>
      </w:r>
      <w:r>
        <w:t xml:space="preserve"> </w:t>
      </w:r>
      <w:r>
        <w:rPr>
          <w:b/>
          <w:bCs/>
        </w:rPr>
        <w:t xml:space="preserve">GWAS Analyses utilising the</w:t>
      </w:r>
      <w:r>
        <w:rPr>
          <w:b/>
          <w:bCs/>
        </w:rPr>
        <w:t xml:space="preserve"> </w:t>
      </w:r>
      <w:r>
        <w:rPr>
          <w:rStyle w:val="VerbatimChar"/>
          <w:b/>
          <w:bCs/>
        </w:rPr>
        <w:t xml:space="preserve">CARTaGENE</w:t>
      </w:r>
      <w:r>
        <w:rPr>
          <w:b/>
          <w:bCs/>
        </w:rPr>
        <w:t xml:space="preserve"> </w:t>
      </w:r>
      <w:r>
        <w:rPr>
          <w:b/>
          <w:bCs/>
        </w:rPr>
        <w:t xml:space="preserve">database</w:t>
      </w:r>
      <w:r>
        <w:t xml:space="preserve">.</w:t>
      </w:r>
    </w:p>
    <w:bookmarkEnd w:id="20"/>
    <w:bookmarkStart w:id="186" w:name="main-gwas-pipeline"/>
    <w:p>
      <w:pPr>
        <w:pStyle w:val="Heading1"/>
      </w:pPr>
      <w:r>
        <w:t xml:space="preserve">1. Main GWAS pipeline</w:t>
      </w:r>
    </w:p>
    <w:bookmarkStart w:id="28" w:name="X057c47997b389ccf76c3560f50f729eb9224d17"/>
    <w:p>
      <w:pPr>
        <w:pStyle w:val="Heading2"/>
      </w:pPr>
      <w:r>
        <w:t xml:space="preserve">1.1 Reproduce the pipeline and questions to address</w:t>
      </w:r>
    </w:p>
    <w:bookmarkStart w:id="21" w:name="two-step-pipeline"/>
    <w:p>
      <w:pPr>
        <w:pStyle w:val="Heading3"/>
      </w:pPr>
      <w:r>
        <w:t xml:space="preserve">1.1.1 Two-step pipeline</w:t>
      </w:r>
    </w:p>
    <w:p>
      <w:pPr>
        <w:pStyle w:val="FirstParagraph"/>
      </w:pPr>
      <w:r>
        <w:t xml:space="preserve">Assuming PCA components have already been computed (report to</w:t>
      </w:r>
      <w:r>
        <w:t xml:space="preserve"> </w:t>
      </w:r>
      <w:hyperlink w:anchor="sec-white-selection">
        <w:r>
          <w:rPr>
            <w:rStyle w:val="Hyperlink"/>
          </w:rPr>
          <w:t xml:space="preserve">Section 1.3.2.1</w:t>
        </w:r>
      </w:hyperlink>
      <w:r>
        <w:t xml:space="preserve"> </w:t>
      </w:r>
      <w:r>
        <w:t xml:space="preserve">and</w:t>
      </w:r>
      <w:r>
        <w:t xml:space="preserve"> </w:t>
      </w:r>
      <w:hyperlink w:anchor="sec-preprocessing-redundancy">
        <w:r>
          <w:rPr>
            <w:rStyle w:val="Hyperlink"/>
          </w:rPr>
          <w:t xml:space="preserve">Section 1.3.2.2</w:t>
        </w:r>
      </w:hyperlink>
      <w:r>
        <w:t xml:space="preserve"> </w:t>
      </w:r>
      <w:r>
        <w:t xml:space="preserve">for details), follow this two-step protocol:</w:t>
      </w:r>
    </w:p>
    <w:p>
      <w:pPr>
        <w:pStyle w:val="Compact"/>
        <w:numPr>
          <w:ilvl w:val="0"/>
          <w:numId w:val="1001"/>
        </w:numPr>
      </w:pPr>
      <w:r>
        <w:t xml:space="preserve">Retrieve all known variants associated with your genes of interest in</w:t>
      </w:r>
      <w:r>
        <w:t xml:space="preserve"> </w:t>
      </w:r>
      <w:hyperlink w:anchor="sec-variant-extraction">
        <w:r>
          <w:rPr>
            <w:rStyle w:val="Hyperlink"/>
          </w:rPr>
          <w:t xml:space="preserve">Section 1.3.4</w:t>
        </w:r>
      </w:hyperlink>
      <w:r>
        <w:t xml:space="preserve">, and generate the corresponding</w:t>
      </w:r>
      <w:r>
        <w:t xml:space="preserve"> </w:t>
      </w:r>
      <w:r>
        <w:rPr>
          <w:rStyle w:val="VerbatimChar"/>
        </w:rPr>
        <w:t xml:space="preserve">VCF</w:t>
      </w:r>
      <w:r>
        <w:t xml:space="preserve"> </w:t>
      </w:r>
      <w:r>
        <w:t xml:space="preserve">file.</w:t>
      </w:r>
    </w:p>
    <w:p>
      <w:pPr>
        <w:pStyle w:val="Compact"/>
        <w:numPr>
          <w:ilvl w:val="0"/>
          <w:numId w:val="1001"/>
        </w:numPr>
      </w:pPr>
      <w:r>
        <w:t xml:space="preserve">Change the response variable to predict in</w:t>
      </w:r>
      <w:r>
        <w:t xml:space="preserve"> </w:t>
      </w:r>
      <w:hyperlink w:anchor="lst-glm-bash">
        <w:r>
          <w:rPr>
            <w:rStyle w:val="Hyperlink"/>
          </w:rPr>
          <w:t xml:space="preserve">Listing 1.5</w:t>
        </w:r>
      </w:hyperlink>
      <w:r>
        <w:t xml:space="preserve"> </w:t>
      </w:r>
      <w:r>
        <w:t xml:space="preserve">(with option</w:t>
      </w:r>
      <w:r>
        <w:t xml:space="preserve"> </w:t>
      </w:r>
      <w:r>
        <w:rPr>
          <w:rStyle w:val="VerbatimChar"/>
        </w:rPr>
        <w:t xml:space="preserve">--glm</w:t>
      </w:r>
      <w:r>
        <w:t xml:space="preserve">, the model applied should adjust automatically whether the outcome is binary or continuous).</w:t>
      </w:r>
    </w:p>
    <w:bookmarkEnd w:id="21"/>
    <w:bookmarkStart w:id="25" w:name="reproducibility"/>
    <w:p>
      <w:pPr>
        <w:pStyle w:val="Heading3"/>
      </w:pPr>
      <w:r>
        <w:t xml:space="preserve">1.1.2 Reproducibility</w:t>
      </w:r>
    </w:p>
    <w:p>
      <w:pPr>
        <w:pStyle w:val="FirstParagraph"/>
      </w:pPr>
      <w:r>
        <w:t xml:space="preserve">Two command-lines tools are needed for reproducing the analyses and/or delivering new outcomes:</w:t>
      </w:r>
    </w:p>
    <w:p>
      <w:pPr>
        <w:pStyle w:val="Compact"/>
        <w:numPr>
          <w:ilvl w:val="0"/>
          <w:numId w:val="1002"/>
        </w:numPr>
      </w:pPr>
      <w:hyperlink r:id="rId22">
        <w:r>
          <w:rPr>
            <w:rStyle w:val="VerbatimChar"/>
          </w:rPr>
          <w:t xml:space="preserve">plink2</w:t>
        </w:r>
      </w:hyperlink>
      <w:r>
        <w:t xml:space="preserve"> </w:t>
      </w:r>
      <w:r>
        <w:t xml:space="preserve">for running most of the SNPs analyses.</w:t>
      </w:r>
    </w:p>
    <w:p>
      <w:pPr>
        <w:pStyle w:val="Compact"/>
        <w:numPr>
          <w:ilvl w:val="0"/>
          <w:numId w:val="1002"/>
        </w:numPr>
      </w:pPr>
      <w:hyperlink r:id="rId23">
        <w:r>
          <w:rPr>
            <w:rStyle w:val="VerbatimChar"/>
          </w:rPr>
          <w:t xml:space="preserve">bcftools</w:t>
        </w:r>
      </w:hyperlink>
      <w:r>
        <w:t xml:space="preserve"> </w:t>
      </w:r>
      <w:r>
        <w:t xml:space="preserve">for extracting variants of interest in a given genomic region.</w:t>
      </w:r>
    </w:p>
    <w:p>
      <w:pPr>
        <w:pStyle w:val="Compact"/>
        <w:numPr>
          <w:ilvl w:val="0"/>
          <w:numId w:val="1002"/>
        </w:numPr>
      </w:pPr>
      <w:r>
        <w:t xml:space="preserve">Details for installing from scratch these two CLI tools are reported in</w:t>
      </w:r>
      <w:r>
        <w:t xml:space="preserve"> </w:t>
      </w:r>
      <w:hyperlink w:anchor="sec-tools-install">
        <w:r>
          <w:rPr>
            <w:rStyle w:val="Hyperlink"/>
          </w:rPr>
          <w:t xml:space="preserve">Section A.1</w:t>
        </w:r>
      </w:hyperlink>
      <w:r>
        <w:t xml:space="preserve">.</w:t>
      </w:r>
    </w:p>
    <w:p>
      <w:pPr>
        <w:pStyle w:val="FirstParagraph"/>
      </w:pPr>
      <w:r>
        <w:t xml:space="preserve">The code, main results (figures and tables), along with reports, are versioned in an unique place, on</w:t>
      </w:r>
      <w:r>
        <w:t xml:space="preserve"> </w:t>
      </w:r>
      <w:r>
        <w:rPr>
          <w:rStyle w:val="VerbatimChar"/>
        </w:rPr>
        <w:t xml:space="preserve">GitHub</w:t>
      </w:r>
      <w:r>
        <w:t xml:space="preserve">:</w:t>
      </w:r>
    </w:p>
    <w:p>
      <w:pPr>
        <w:pStyle w:val="Compact"/>
        <w:numPr>
          <w:ilvl w:val="0"/>
          <w:numId w:val="1003"/>
        </w:numPr>
      </w:pPr>
      <w:hyperlink r:id="rId24">
        <w:r>
          <w:rPr>
            <w:rStyle w:val="VerbatimChar"/>
          </w:rPr>
          <w:t xml:space="preserve">GitHub</w:t>
        </w:r>
        <w:r>
          <w:rPr>
            <w:rStyle w:val="Hyperlink"/>
          </w:rPr>
          <w:t xml:space="preserve"> </w:t>
        </w:r>
        <w:r>
          <w:rPr>
            <w:rStyle w:val="Hyperlink"/>
          </w:rPr>
          <w:t xml:space="preserve">project:</w:t>
        </w:r>
        <w:r>
          <w:rPr>
            <w:rStyle w:val="Hyperlink"/>
          </w:rPr>
          <w:t xml:space="preserve"> </w:t>
        </w:r>
        <w:r>
          <w:rPr>
            <w:rStyle w:val="VerbatimChar"/>
          </w:rPr>
          <w:t xml:space="preserve">cartagene-gwas</w:t>
        </w:r>
      </w:hyperlink>
      <w:r>
        <w:t xml:space="preserve"> </w:t>
      </w:r>
      <w:r>
        <w:t xml:space="preserve">to version the code</w:t>
      </w:r>
    </w:p>
    <w:p>
      <w:pPr>
        <w:pStyle w:val="Compact"/>
        <w:numPr>
          <w:ilvl w:val="0"/>
          <w:numId w:val="1003"/>
        </w:numPr>
      </w:pPr>
      <w:r>
        <w:t xml:space="preserve">R project +</w:t>
      </w:r>
      <w:r>
        <w:t xml:space="preserve"> </w:t>
      </w:r>
      <w:r>
        <w:rPr>
          <w:rStyle w:val="VerbatimChar"/>
        </w:rPr>
        <w:t xml:space="preserve">renv()</w:t>
      </w:r>
      <w:r>
        <w:t xml:space="preserve"> </w:t>
      </w:r>
      <w:r>
        <w:t xml:space="preserve">to create a reproducible and standalone computational environment.</w:t>
      </w:r>
    </w:p>
    <w:bookmarkEnd w:id="25"/>
    <w:bookmarkStart w:id="27" w:name="sec-questions"/>
    <w:p>
      <w:pPr>
        <w:pStyle w:val="Heading3"/>
      </w:pPr>
      <w:r>
        <w:t xml:space="preserve">1.1.3 Important Questions to Address!!</w:t>
      </w:r>
    </w:p>
    <w:p>
      <w:pPr>
        <w:pStyle w:val="Compact"/>
        <w:numPr>
          <w:ilvl w:val="0"/>
          <w:numId w:val="1004"/>
        </w:numPr>
      </w:pPr>
      <w:r>
        <w:rPr>
          <w:color w:val="red"/>
        </w:rPr>
        <w:t>
          <w:r>
            <w:t xml:space="preserve">Check Human reference genome assembly, see</w:t>
          </w:r>
          <w:r>
            <w:t xml:space="preserve"> </w:t>
          </w:r>
          <w:hyperlink w:anchor="sec-HDAC9">
            <w:r>
              <w:rPr>
                <w:rStyle w:val="Hyperlink"/>
              </w:rPr>
              <w:t xml:space="preserve">Section 1.3.4.1</w:t>
            </w:r>
          </w:hyperlink>
          <w:r>
            <w:t xml:space="preserve">. Indeed, among the five genome arrays assembled in</w:t>
          </w:r>
          <w:r>
            <w:t xml:space="preserve"> </w:t>
          </w:r>
          <w:hyperlink w:anchor="sec-white-selection">
            <w:r>
              <w:rPr>
                <w:rStyle w:val="Hyperlink"/>
              </w:rPr>
              <w:t xml:space="preserve">Section 1.3.2.1</w:t>
            </w:r>
          </w:hyperlink>
          <w:r>
            <w:t xml:space="preserve">, most have been mapped against</w:t>
          </w:r>
          <w:r>
            <w:t xml:space="preserve"> </w:t>
          </w:r>
          <w:r>
            <w:rPr>
              <w:rStyle w:val="VerbatimChar"/>
            </w:rPr>
            <w:t xml:space="preserve">GRCh37 (hg19)</w:t>
          </w:r>
          <w:r>
            <w:t xml:space="preserve">, but at least one has been mapped against the recent</w:t>
          </w:r>
          <w:r>
            <w:t xml:space="preserve"> </w:t>
          </w:r>
          <w:r>
            <w:rPr>
              <w:rStyle w:val="VerbatimChar"/>
            </w:rPr>
            <w:t xml:space="preserve">hg38 (GRCh38, 2013)</w:t>
          </w:r>
          <w:r>
            <w:t xml:space="preserve"> </w:t>
          </w:r>
          <w:r>
            <w:t xml:space="preserve">version, report to page 38 in</w:t>
          </w:r>
          <w:r>
            <w:t xml:space="preserve"> </w:t>
          </w:r>
          <w:r>
            <w:t xml:space="preserve">Pelletier (</w:t>
          </w:r>
          <w:hyperlink w:anchor="ref-pelletier2022">
            <w:r>
              <w:rPr>
                <w:rStyle w:val="Hyperlink"/>
              </w:rPr>
              <w:t xml:space="preserve">2022</w:t>
            </w:r>
          </w:hyperlink>
          <w:r>
            <w:t xml:space="preserve">)</w:t>
          </w:r>
          <w:r>
            <w:t xml:space="preserve">.</w:t>
          </w:r>
        </w:t>
      </w:r>
    </w:p>
    <w:p>
      <w:pPr>
        <w:pStyle w:val="Compact"/>
        <w:numPr>
          <w:ilvl w:val="0"/>
          <w:numId w:val="1004"/>
        </w:numPr>
      </w:pPr>
      <w:r>
        <w:t xml:space="preserve">We definitely do not have the most recent version of</w:t>
      </w:r>
      <w:r>
        <w:t xml:space="preserve"> </w:t>
      </w:r>
      <w:r>
        <w:rPr>
          <w:rStyle w:val="VerbatimChar"/>
        </w:rPr>
        <w:t xml:space="preserve">CarTaGene</w:t>
      </w:r>
      <w:r>
        <w:t xml:space="preserve"> </w:t>
      </w:r>
      <w:r>
        <w:t xml:space="preserve">(in the paper, around</w:t>
      </w:r>
      <w:r>
        <w:t xml:space="preserve"> </w:t>
      </w:r>
      <m:oMath>
        <m:r>
          <m:t>30000</m:t>
        </m:r>
      </m:oMath>
      <w:r>
        <w:t xml:space="preserve"> </w:t>
      </w:r>
      <w:r>
        <w:t xml:space="preserve">samples mentioned, against</w:t>
      </w:r>
      <w:r>
        <w:t xml:space="preserve"> </w:t>
      </w:r>
      <m:oMath>
        <m:r>
          <m:t>19131</m:t>
        </m:r>
      </m:oMath>
      <w:r>
        <w:t xml:space="preserve"> </w:t>
      </w:r>
      <w:r>
        <w:t xml:space="preserve">in my genotyping arrays database)</w:t>
      </w:r>
    </w:p>
    <w:p>
      <w:pPr>
        <w:pStyle w:val="Compact"/>
        <w:numPr>
          <w:ilvl w:val="0"/>
          <w:numId w:val="1004"/>
        </w:numPr>
      </w:pPr>
      <w:r>
        <w:rPr>
          <w:color w:val="red"/>
        </w:rPr>
        <w:t>
          <w:r>
            <w:t xml:space="preserve">Why starting from BAM/BED/BIM pre-processed files in</w:t>
          </w:r>
          <w:r>
            <w:t xml:space="preserve"> </w:t>
          </w:r>
          <w:hyperlink w:anchor="sec-white-selection">
            <w:r>
              <w:rPr>
                <w:rStyle w:val="Hyperlink"/>
              </w:rPr>
              <w:t xml:space="preserve">Section 1.3.2.1</w:t>
            </w:r>
          </w:hyperlink>
          <w:r>
            <w:t xml:space="preserve">, instead of</w:t>
          </w:r>
          <w:r>
            <w:t xml:space="preserve"> </w:t>
          </w:r>
          <w:r>
            <w:rPr>
              <w:rStyle w:val="VerbatimChar"/>
            </w:rPr>
            <w:t xml:space="preserve">FASTQ</w:t>
          </w:r>
          <w:r>
            <w:t xml:space="preserve"> </w:t>
          </w:r>
          <w:r>
            <w:t xml:space="preserve">files available in</w:t>
          </w:r>
          <w:r>
            <w:t xml:space="preserve"> </w:t>
          </w:r>
          <w:r>
            <w:rPr>
              <w:rStyle w:val="VerbatimChar"/>
            </w:rPr>
            <w:t xml:space="preserve">/mnt/projects_tn01/Cartagene/data/merged</w:t>
          </w:r>
          <w:r>
            <w:t xml:space="preserve">? Related question: we use the</w:t>
          </w:r>
          <w:r>
            <w:t xml:space="preserve"> </w:t>
          </w:r>
          <w:r>
            <w:rPr>
              <w:rStyle w:val="VerbatimChar"/>
            </w:rPr>
            <w:t xml:space="preserve">BAM/BED/BIM</w:t>
          </w:r>
          <w:r>
            <w:t xml:space="preserve"> </w:t>
          </w:r>
          <w:r>
            <w:t xml:space="preserve">files stored in folder</w:t>
          </w:r>
          <w:r>
            <w:t xml:space="preserve"> </w:t>
          </w:r>
          <w:r>
            <w:rPr>
              <w:rStyle w:val="VerbatimChar"/>
            </w:rPr>
            <w:t xml:space="preserve">/mnt/projects_tn01/Cartagene/analyses/QC</w:t>
          </w:r>
          <w:r>
            <w:t xml:space="preserve"> </w:t>
          </w:r>
          <w:r>
            <w:t xml:space="preserve">for PCA computation in</w:t>
          </w:r>
          <w:r>
            <w:t xml:space="preserve"> </w:t>
          </w:r>
          <w:hyperlink w:anchor="sec-preprocessing-redundancy">
            <w:r>
              <w:rPr>
                <w:rStyle w:val="Hyperlink"/>
              </w:rPr>
              <w:t xml:space="preserve">Section 1.3.2.2</w:t>
            </w:r>
          </w:hyperlink>
          <w:r>
            <w:t xml:space="preserve">, but</w:t>
          </w:r>
          <w:r>
            <w:t xml:space="preserve"> </w:t>
          </w:r>
          <w:r>
            <w:rPr>
              <w:rStyle w:val="VerbatimChar"/>
            </w:rPr>
            <w:t xml:space="preserve">VCF</w:t>
          </w:r>
          <w:r>
            <w:t xml:space="preserve"> </w:t>
          </w:r>
          <w:r>
            <w:t xml:space="preserve">files stored in</w:t>
          </w:r>
          <w:r>
            <w:t xml:space="preserve"> </w:t>
          </w:r>
          <w:r>
            <w:rPr>
              <w:rStyle w:val="VerbatimChar"/>
            </w:rPr>
            <w:t xml:space="preserve">/mnt/projects_tn01/Cartagene/analyses/variants_extraction</w:t>
          </w:r>
          <w:r>
            <w:t xml:space="preserve"> </w:t>
          </w:r>
          <w:r>
            <w:t xml:space="preserve">for running the GWAS analyses, for which reason?</w:t>
          </w:r>
        </w:t>
      </w:r>
    </w:p>
    <w:p>
      <w:pPr>
        <w:pStyle w:val="Compact"/>
        <w:numPr>
          <w:ilvl w:val="0"/>
          <w:numId w:val="1004"/>
        </w:numPr>
      </w:pPr>
      <w:r>
        <w:rPr>
          <w:color w:val="red"/>
        </w:rPr>
        <w:t>
          <w:r>
            <w:t xml:space="preserve">Why use a biased</w:t>
          </w:r>
          <w:r>
            <w:t xml:space="preserve"> </w:t>
          </w:r>
          <w:r>
            <w:rPr>
              <w:i/>
              <w:iCs/>
            </w:rPr>
            <w:t xml:space="preserve">gene-centric approach</w:t>
          </w:r>
          <w:r>
            <w:t xml:space="preserve">, instead of true GWAS (further discussed in</w:t>
          </w:r>
          <w:r>
            <w:t xml:space="preserve"> </w:t>
          </w:r>
          <w:hyperlink w:anchor="sec-post-GWAS">
            <w:r>
              <w:rPr>
                <w:rStyle w:val="Hyperlink"/>
              </w:rPr>
              <w:t xml:space="preserve">Section 1.4.4</w:t>
            </w:r>
          </w:hyperlink>
          <w:r>
            <w:t xml:space="preserve">)?</w:t>
          </w:r>
        </w:t>
      </w:r>
      <w:r>
        <w:t xml:space="preserve">. If ou really want to use a</w:t>
      </w:r>
      <w:r>
        <w:t xml:space="preserve"> </w:t>
      </w:r>
      <w:r>
        <w:rPr>
          <w:i/>
          <w:iCs/>
        </w:rPr>
        <w:t xml:space="preserve">candidate-gene approach</w:t>
      </w:r>
      <w:r>
        <w:t xml:space="preserve">, report to</w:t>
      </w:r>
      <w:r>
        <w:t xml:space="preserve"> </w:t>
      </w:r>
      <w:hyperlink r:id="rId26">
        <w:r>
          <w:rPr>
            <w:rStyle w:val="Hyperlink"/>
          </w:rPr>
          <w:t xml:space="preserve">A current guide to candidate gene association studies</w:t>
        </w:r>
      </w:hyperlink>
      <w:r>
        <w:t xml:space="preserve">, from</w:t>
      </w:r>
      <w:r>
        <w:t xml:space="preserve"> </w:t>
      </w:r>
      <w:r>
        <w:t xml:space="preserve">David (</w:t>
      </w:r>
      <w:hyperlink w:anchor="ref-david2021tig">
        <w:r>
          <w:rPr>
            <w:rStyle w:val="Hyperlink"/>
          </w:rPr>
          <w:t xml:space="preserve">2021</w:t>
        </w:r>
      </w:hyperlink>
      <w:r>
        <w:t xml:space="preserve">)</w:t>
      </w:r>
      <w:r>
        <w:t xml:space="preserve">.</w:t>
      </w:r>
    </w:p>
    <w:p>
      <w:pPr>
        <w:pStyle w:val="Compact"/>
        <w:numPr>
          <w:ilvl w:val="0"/>
          <w:numId w:val="1004"/>
        </w:numPr>
      </w:pPr>
      <w:r>
        <w:rPr>
          <w:color w:val="red"/>
        </w:rPr>
        <w:t>
          <w:r>
            <w:t xml:space="preserve">Run sample size experiences prior to gene candidate studies, see</w:t>
          </w:r>
          <w:r>
            <w:t xml:space="preserve"> </w:t>
          </w:r>
          <w:hyperlink w:anchor="sec-sample-size">
            <w:r>
              <w:rPr>
                <w:rStyle w:val="Hyperlink"/>
              </w:rPr>
              <w:t xml:space="preserve">Section 2.3</w:t>
            </w:r>
          </w:hyperlink>
          <w:r>
            <w:t xml:space="preserve">.</w:t>
          </w:r>
        </w:t>
      </w:r>
    </w:p>
    <w:bookmarkEnd w:id="27"/>
    <w:bookmarkEnd w:id="28"/>
    <w:bookmarkStart w:id="44" w:name="introduction"/>
    <w:p>
      <w:pPr>
        <w:pStyle w:val="Heading2"/>
      </w:pPr>
      <w:r>
        <w:t xml:space="preserve">1.2 Introduction</w:t>
      </w:r>
    </w:p>
    <w:bookmarkStart w:id="32" w:name="gwas-litterature-review"/>
    <w:p>
      <w:pPr>
        <w:pStyle w:val="Heading3"/>
      </w:pPr>
      <w:r>
        <w:t xml:space="preserve">1.2.1 GWAS Litterature Review</w:t>
      </w:r>
    </w:p>
    <w:p>
      <w:pPr>
        <w:numPr>
          <w:ilvl w:val="0"/>
          <w:numId w:val="1005"/>
        </w:numPr>
      </w:pPr>
      <w:r>
        <w:t xml:space="preserve">Fundamental paper, aka</w:t>
      </w:r>
      <w:r>
        <w:t xml:space="preserve"> </w:t>
      </w:r>
      <w:hyperlink r:id="rId29">
        <w:r>
          <w:rPr>
            <w:rStyle w:val="Hyperlink"/>
          </w:rPr>
          <w:t xml:space="preserve">Genome-wide association studies: theoretical and practical concerns</w:t>
        </w:r>
      </w:hyperlink>
      <w:r>
        <w:t xml:space="preserve">, from</w:t>
      </w:r>
      <w:r>
        <w:t xml:space="preserve"> </w:t>
      </w:r>
      <w:r>
        <w:t xml:space="preserve">Wang et al. (</w:t>
      </w:r>
      <w:hyperlink w:anchor="ref-wang2005nrg">
        <w:r>
          <w:rPr>
            <w:rStyle w:val="Hyperlink"/>
          </w:rPr>
          <w:t xml:space="preserve">2005</w:t>
        </w:r>
      </w:hyperlink>
      <w:r>
        <w:t xml:space="preserve">)</w:t>
      </w:r>
      <w:r>
        <w:t xml:space="preserve">.</w:t>
      </w:r>
    </w:p>
    <w:p>
      <w:pPr>
        <w:numPr>
          <w:ilvl w:val="0"/>
          <w:numId w:val="1005"/>
        </w:numPr>
      </w:pPr>
      <w:r>
        <w:t xml:space="preserve">Book reviewing pros and cons of statistical GWAS approaches, from</w:t>
      </w:r>
      <w:r>
        <w:t xml:space="preserve"> </w:t>
      </w:r>
      <w:hyperlink r:id="rId30">
        <w:r>
          <w:rPr>
            <w:rStyle w:val="Hyperlink"/>
          </w:rPr>
          <w:t xml:space="preserve">Overview of Statistical Methods for Genome-Wide Association Studies</w:t>
        </w:r>
      </w:hyperlink>
      <w:r>
        <w:t xml:space="preserve">, from</w:t>
      </w:r>
      <w:r>
        <w:t xml:space="preserve"> </w:t>
      </w:r>
      <w:r>
        <w:t xml:space="preserve">Hayes (</w:t>
      </w:r>
      <w:hyperlink w:anchor="ref-hayes2013gasagp">
        <w:r>
          <w:rPr>
            <w:rStyle w:val="Hyperlink"/>
          </w:rPr>
          <w:t xml:space="preserve">2013</w:t>
        </w:r>
      </w:hyperlink>
      <w:r>
        <w:t xml:space="preserve">)</w:t>
      </w:r>
      <w:r>
        <w:t xml:space="preserve">.</w:t>
      </w:r>
    </w:p>
    <w:p>
      <w:pPr>
        <w:numPr>
          <w:ilvl w:val="0"/>
          <w:numId w:val="1005"/>
        </w:numPr>
      </w:pPr>
      <w:hyperlink r:id="rId31">
        <w:r>
          <w:rPr>
            <w:rStyle w:val="Hyperlink"/>
          </w:rPr>
          <w:t xml:space="preserve">Genome-wide association studies</w:t>
        </w:r>
      </w:hyperlink>
      <w:r>
        <w:t xml:space="preserve">, from</w:t>
      </w:r>
      <w:r>
        <w:t xml:space="preserve"> </w:t>
      </w:r>
      <w:r>
        <w:t xml:space="preserve">Uffelmann et al. (</w:t>
      </w:r>
      <w:hyperlink w:anchor="ref-uffelmann2021nrmp">
        <w:r>
          <w:rPr>
            <w:rStyle w:val="Hyperlink"/>
          </w:rPr>
          <w:t xml:space="preserve">2021</w:t>
        </w:r>
      </w:hyperlink>
      <w:r>
        <w:t xml:space="preserve">)</w:t>
      </w:r>
      <w:r>
        <w:t xml:space="preserve">.</w:t>
      </w:r>
    </w:p>
    <w:bookmarkEnd w:id="32"/>
    <w:bookmarkStart w:id="43" w:name="design-of-the-cartagene-study"/>
    <w:p>
      <w:pPr>
        <w:pStyle w:val="Heading3"/>
      </w:pPr>
      <w:r>
        <w:t xml:space="preserve">1.2.2 Design of the</w:t>
      </w:r>
      <w:r>
        <w:t xml:space="preserve"> </w:t>
      </w:r>
      <w:r>
        <w:rPr>
          <w:rStyle w:val="VerbatimChar"/>
        </w:rPr>
        <w:t xml:space="preserve">CARTaGENE</w:t>
      </w:r>
      <w:r>
        <w:t xml:space="preserve"> </w:t>
      </w:r>
      <w:r>
        <w:t xml:space="preserve">study</w:t>
      </w:r>
    </w:p>
    <w:p>
      <w:pPr>
        <w:pStyle w:val="Compact"/>
        <w:numPr>
          <w:ilvl w:val="0"/>
          <w:numId w:val="1006"/>
        </w:numPr>
      </w:pPr>
      <w:hyperlink r:id="rId33">
        <w:r>
          <w:rPr>
            <w:rStyle w:val="Hyperlink"/>
          </w:rPr>
          <w:t xml:space="preserve">Cohort profile of the</w:t>
        </w:r>
        <w:r>
          <w:rPr>
            <w:rStyle w:val="Hyperlink"/>
          </w:rPr>
          <w:t xml:space="preserve"> </w:t>
        </w:r>
        <w:r>
          <w:rPr>
            <w:rStyle w:val="VerbatimChar"/>
          </w:rPr>
          <w:t xml:space="preserve">CARTaGENE</w:t>
        </w:r>
        <w:r>
          <w:rPr>
            <w:rStyle w:val="Hyperlink"/>
          </w:rPr>
          <w:t xml:space="preserve"> </w:t>
        </w:r>
        <w:r>
          <w:rPr>
            <w:rStyle w:val="Hyperlink"/>
          </w:rPr>
          <w:t xml:space="preserve">study: Quebec’s population-based biobank for public health and personalized genomics</w:t>
        </w:r>
      </w:hyperlink>
      <w:r>
        <w:t xml:space="preserve">, from</w:t>
      </w:r>
      <w:r>
        <w:t xml:space="preserve"> </w:t>
      </w:r>
      <w:r>
        <w:t xml:space="preserve">Awadalla et al. (</w:t>
      </w:r>
      <w:hyperlink w:anchor="ref-awadalla2013ijoe">
        <w:r>
          <w:rPr>
            <w:rStyle w:val="Hyperlink"/>
          </w:rPr>
          <w:t xml:space="preserve">2013</w:t>
        </w:r>
      </w:hyperlink>
      <w:r>
        <w:t xml:space="preserve">)</w:t>
      </w:r>
      <w:r>
        <w:t xml:space="preserve">:</w:t>
      </w:r>
    </w:p>
    <w:p>
      <w:pPr>
        <w:pStyle w:val="Compact"/>
        <w:numPr>
          <w:ilvl w:val="1"/>
          <w:numId w:val="1007"/>
        </w:numPr>
      </w:pPr>
      <w:r>
        <w:t xml:space="preserve">Includes both Single nucleotide polymorphisms (SNPs) and insertion-deletion (InDels).</w:t>
      </w:r>
    </w:p>
    <w:bookmarkStart w:id="42" w:name="impute-unobserved-gwas-in-cartagene"/>
    <w:p>
      <w:pPr>
        <w:pStyle w:val="Heading4"/>
      </w:pPr>
      <w:r>
        <w:t xml:space="preserve">1.2.2.1 Impute unobserved GWAS in</w:t>
      </w:r>
      <w:r>
        <w:t xml:space="preserve"> </w:t>
      </w:r>
      <w:r>
        <w:rPr>
          <w:rStyle w:val="VerbatimChar"/>
        </w:rPr>
        <w:t xml:space="preserve">CARTaGENE</w:t>
      </w:r>
    </w:p>
    <w:p>
      <w:pPr>
        <w:numPr>
          <w:ilvl w:val="0"/>
          <w:numId w:val="1008"/>
        </w:numPr>
      </w:pPr>
      <w:r>
        <w:t xml:space="preserve">Most of the</w:t>
      </w:r>
      <w:r>
        <w:t xml:space="preserve"> </w:t>
      </w:r>
      <w:r>
        <w:rPr>
          <w:rStyle w:val="VerbatimChar"/>
        </w:rPr>
        <w:t xml:space="preserve">CARTaGENE</w:t>
      </w:r>
      <w:r>
        <w:t xml:space="preserve"> </w:t>
      </w:r>
      <w:r>
        <w:t xml:space="preserve">samples are</w:t>
      </w:r>
      <w:r>
        <w:t xml:space="preserve"> </w:t>
      </w:r>
      <w:r>
        <w:rPr>
          <w:i/>
          <w:iCs/>
        </w:rPr>
        <w:t xml:space="preserve">WES</w:t>
      </w:r>
      <w:r>
        <w:t xml:space="preserve"> </w:t>
      </w:r>
      <w:r>
        <w:t xml:space="preserve">(whole exome sequencing), instead of</w:t>
      </w:r>
      <w:r>
        <w:t xml:space="preserve"> </w:t>
      </w:r>
      <w:r>
        <w:rPr>
          <w:i/>
          <w:iCs/>
        </w:rPr>
        <w:t xml:space="preserve">WGS</w:t>
      </w:r>
      <w:r>
        <w:t xml:space="preserve"> </w:t>
      </w:r>
      <w:r>
        <w:t xml:space="preserve">(whole genome sequencing).</w:t>
      </w:r>
    </w:p>
    <w:p>
      <w:pPr>
        <w:numPr>
          <w:ilvl w:val="0"/>
          <w:numId w:val="1008"/>
        </w:numPr>
      </w:pPr>
      <w:hyperlink r:id="rId34">
        <w:r>
          <w:rPr>
            <w:rStyle w:val="Hyperlink"/>
          </w:rPr>
          <w:t xml:space="preserve">Évaluation de l’imputation des données génétiques Canadiennes-Françaises</w:t>
        </w:r>
      </w:hyperlink>
      <w:r>
        <w:t xml:space="preserve">, from</w:t>
      </w:r>
      <w:r>
        <w:t xml:space="preserve"> </w:t>
      </w:r>
      <w:r>
        <w:t xml:space="preserve">Pelletier (</w:t>
      </w:r>
      <w:hyperlink w:anchor="ref-pelletier2022">
        <w:r>
          <w:rPr>
            <w:rStyle w:val="Hyperlink"/>
          </w:rPr>
          <w:t xml:space="preserve">2022</w:t>
        </w:r>
      </w:hyperlink>
      <w:r>
        <w:t xml:space="preserve">)</w:t>
      </w:r>
      <w:r>
        <w:t xml:space="preserve">.</w:t>
      </w:r>
      <w:r>
        <w:t xml:space="preserve"> </w:t>
      </w:r>
      <w:r>
        <w:rPr>
          <w:b/>
          <w:bCs/>
        </w:rPr>
        <w:t xml:space="preserve">Key points</w:t>
      </w:r>
      <w:r>
        <w:rPr>
          <w:rStyle w:val="FootnoteReference"/>
        </w:rPr>
        <w:footnoteReference w:id="35"/>
      </w:r>
      <w:r>
        <w:t xml:space="preserve">:</w:t>
      </w:r>
    </w:p>
    <w:p>
      <w:pPr>
        <w:numPr>
          <w:ilvl w:val="1"/>
          <w:numId w:val="1009"/>
        </w:numPr>
      </w:pPr>
      <w:r>
        <w:rPr>
          <w:b/>
          <w:bCs/>
        </w:rPr>
        <w:t xml:space="preserve">Chapter 3</w:t>
      </w:r>
      <w:r>
        <w:t xml:space="preserve">, named</w:t>
      </w:r>
      <w:r>
        <w:t xml:space="preserve"> </w:t>
      </w:r>
      <w:r>
        <w:t xml:space="preserve">“Evaluation of genetic imputation in the French-Canadian founder population”</w:t>
      </w:r>
      <w:r>
        <w:t xml:space="preserve">, pages 54-93. Details the underlying imputation strategy, derived from</w:t>
      </w:r>
      <w:r>
        <w:t xml:space="preserve"> </w:t>
      </w:r>
      <w:r>
        <w:rPr>
          <w:rStyle w:val="VerbatimChar"/>
        </w:rPr>
        <w:t xml:space="preserve">TOPMed</w:t>
      </w:r>
      <w:r>
        <w:t xml:space="preserve"> </w:t>
      </w:r>
      <w:r>
        <w:t xml:space="preserve">(for Trans-Omics for Precision Medicine).</w:t>
      </w:r>
    </w:p>
    <w:p>
      <w:pPr>
        <w:numPr>
          <w:ilvl w:val="1"/>
          <w:numId w:val="1009"/>
        </w:numPr>
      </w:pPr>
      <w:r>
        <w:rPr>
          <w:b/>
          <w:bCs/>
        </w:rPr>
        <w:t xml:space="preserve">Page 45/61</w:t>
      </w:r>
      <w:r>
        <w:t xml:space="preserve">: Describes imputation strategies, along with the preprocessing steps. Code for reproducing the analyses is</w:t>
      </w:r>
      <w:r>
        <w:t xml:space="preserve"> </w:t>
      </w:r>
      <w:hyperlink r:id="rId36">
        <w:r>
          <w:rPr>
            <w:rStyle w:val="Hyperlink"/>
          </w:rPr>
          <w:t xml:space="preserve">FC-imputation</w:t>
        </w:r>
      </w:hyperlink>
      <w:r>
        <w:t xml:space="preserve">.</w:t>
      </w:r>
      <w:r>
        <w:t xml:space="preserve"> </w:t>
      </w:r>
      <w:r>
        <w:rPr>
          <w:b/>
          <w:bCs/>
        </w:rPr>
        <w:t xml:space="preserve">Imputation performance</w:t>
      </w:r>
      <w:r>
        <w:t xml:space="preserve"> </w:t>
      </w:r>
      <w:r>
        <w:t xml:space="preserve">is much lower for SNPs exhibiting</w:t>
      </w:r>
      <w:r>
        <w:t xml:space="preserve"> </w:t>
      </w:r>
      <w:r>
        <w:rPr>
          <w:rStyle w:val="VerbatimChar"/>
        </w:rPr>
        <w:t xml:space="preserve">MAF&lt;0.01</w:t>
      </w:r>
      <w:r>
        <w:t xml:space="preserve">, strongly promoting early removal of rare variants:</w:t>
      </w:r>
    </w:p>
    <w:p>
      <w:pPr>
        <w:numPr>
          <w:ilvl w:val="1"/>
          <w:numId w:val="1009"/>
        </w:numPr>
      </w:pPr>
      <w:r>
        <w:rPr>
          <w:b/>
          <w:bCs/>
        </w:rPr>
        <w:t xml:space="preserve">Page 83/99</w:t>
      </w:r>
      <w:r>
        <w:t xml:space="preserve">: Strong polymorphism in some regions, such as</w:t>
      </w:r>
      <w:r>
        <w:t xml:space="preserve"> </w:t>
      </w:r>
      <w:r>
        <w:rPr>
          <w:rStyle w:val="VerbatimChar"/>
        </w:rPr>
        <w:t xml:space="preserve">HLA</w:t>
      </w:r>
      <w:r>
        <w:t xml:space="preserve">.</w:t>
      </w:r>
    </w:p>
    <w:tbl>
      <w:tblPr>
        <w:tblStyle w:val="Table"/>
        <w:tblW w:type="pct" w:w="5000"/>
        <w:tblLayout w:type="fixed"/>
        <w:tblLook w:firstRow="0" w:lastRow="0" w:firstColumn="0" w:lastColumn="0" w:noHBand="0" w:noVBand="0" w:val="0000"/>
      </w:tblPr>
      <w:tblGrid>
        <w:gridCol w:w="7920"/>
      </w:tblGrid>
      <w:tr>
        <w:tc>
          <w:tcPr/>
          <w:bookmarkStart w:id="41" w:name="fig-gwas-global"/>
          <w:p>
            <w:pPr>
              <w:pStyle w:val="Compact"/>
              <w:jc w:val="center"/>
            </w:pPr>
            <w:r>
              <w:drawing>
                <wp:inline>
                  <wp:extent cx="5334000" cy="2442865"/>
                  <wp:effectExtent b="0" l="0" r="0" t="0"/>
                  <wp:docPr descr="" title="" id="38" name="Picture"/>
                  <a:graphic>
                    <a:graphicData uri="http://schemas.openxmlformats.org/drawingml/2006/picture">
                      <pic:pic>
                        <pic:nvPicPr>
                          <pic:cNvPr descr="./figures/global-GWAS.png" id="39" name="Picture"/>
                          <pic:cNvPicPr>
                            <a:picLocks noChangeArrowheads="1" noChangeAspect="1"/>
                          </pic:cNvPicPr>
                        </pic:nvPicPr>
                        <pic:blipFill>
                          <a:blip r:embed="rId37"/>
                          <a:stretch>
                            <a:fillRect/>
                          </a:stretch>
                        </pic:blipFill>
                        <pic:spPr bwMode="auto">
                          <a:xfrm>
                            <a:off x="0" y="0"/>
                            <a:ext cx="5334000" cy="244286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w:t>
            </w:r>
            <w:r>
              <w:t xml:space="preserve"> </w:t>
            </w:r>
            <w:r>
              <w:rPr>
                <w:b/>
                <w:bCs/>
              </w:rPr>
              <w:t xml:space="preserve">GWAS of</w:t>
            </w:r>
            <w:r>
              <w:rPr>
                <w:b/>
                <w:bCs/>
              </w:rPr>
              <w:t xml:space="preserve"> </w:t>
            </w:r>
            <w:r>
              <w:rPr>
                <w:rStyle w:val="VerbatimChar"/>
                <w:b/>
                <w:bCs/>
              </w:rPr>
              <w:t xml:space="preserve">CarTaGene</w:t>
            </w:r>
            <w:r>
              <w:rPr>
                <w:b/>
                <w:bCs/>
              </w:rPr>
              <w:t xml:space="preserve"> </w:t>
            </w:r>
            <w:r>
              <w:rPr>
                <w:b/>
                <w:bCs/>
              </w:rPr>
              <w:t xml:space="preserve">SNPs using TOPMed Merge-Impute strategy.</w:t>
            </w:r>
            <w:r>
              <w:t xml:space="preserve"> </w:t>
            </w:r>
            <w:r>
              <w:t xml:space="preserve">The</w:t>
            </w:r>
            <w:r>
              <w:t xml:space="preserve"> </w:t>
            </w:r>
            <w:hyperlink r:id="rId40">
              <w:r>
                <w:rPr>
                  <w:rStyle w:val="VerbatimChar"/>
                </w:rPr>
                <w:t xml:space="preserve">TOPMed</w:t>
              </w:r>
              <w:r>
                <w:rPr>
                  <w:rStyle w:val="Hyperlink"/>
                </w:rPr>
                <w:t xml:space="preserve"> </w:t>
              </w:r>
              <w:r>
                <w:rPr>
                  <w:rStyle w:val="Hyperlink"/>
                </w:rPr>
                <w:t xml:space="preserve">Imputation Server</w:t>
              </w:r>
            </w:hyperlink>
            <w:r>
              <w:t xml:space="preserve"> </w:t>
            </w:r>
            <w:r>
              <w:t xml:space="preserve">has been used. Manhattan plots depict the genome-wide association study (GWAS) results for variants, before and after imputation The figure is reproduced from</w:t>
            </w:r>
            <w:r>
              <w:t xml:space="preserve"> </w:t>
            </w:r>
            <w:r>
              <w:t xml:space="preserve">(</w:t>
            </w:r>
            <w:hyperlink w:anchor="ref-pelletier2022">
              <w:r>
                <w:rPr>
                  <w:rStyle w:val="Hyperlink"/>
                </w:rPr>
                <w:t xml:space="preserve">Pelletier 2022, 97–98</w:t>
              </w:r>
            </w:hyperlink>
            <w:r>
              <w:t xml:space="preserve">)</w:t>
            </w:r>
            <w:r>
              <w:t xml:space="preserve">. The</w:t>
            </w:r>
            <w:r>
              <w:t xml:space="preserve"> </w:t>
            </w:r>
            <m:oMath>
              <m:r>
                <m:t>y</m:t>
              </m:r>
            </m:oMath>
            <w:r>
              <w:t xml:space="preserve">-axis represents the</w:t>
            </w:r>
            <w:r>
              <w:t xml:space="preserve"> </w:t>
            </w:r>
            <m:oMath>
              <m:r>
                <m:rPr>
                  <m:sty m:val="p"/>
                </m:rPr>
                <m:t>−</m:t>
              </m:r>
              <m:sSub>
                <m:e>
                  <m:r>
                    <m:rPr>
                      <m:sty m:val="p"/>
                    </m:rPr>
                    <m:t>log</m:t>
                  </m:r>
                </m:e>
                <m:sub>
                  <m:r>
                    <m:t>10</m:t>
                  </m:r>
                </m:sub>
              </m:sSub>
              <m:d>
                <m:dPr>
                  <m:begChr m:val="("/>
                  <m:endChr m:val=")"/>
                  <m:sepChr m:val=""/>
                  <m:grow/>
                </m:dPr>
                <m:e>
                  <m:r>
                    <m:t>p</m:t>
                  </m:r>
                </m:e>
              </m:d>
            </m:oMath>
            <w:r>
              <w:t xml:space="preserve"> </w:t>
            </w:r>
            <m:oMath>
              <m:r>
                <m:t>p</m:t>
              </m:r>
            </m:oMath>
            <w:r>
              <w:t xml:space="preserve">-value association of each variant.</w:t>
            </w:r>
            <w:r>
              <w:t xml:space="preserve"> </w:t>
            </w:r>
            <w:r>
              <w:rPr>
                <w:color w:val="green"/>
              </w:rPr>
              <w:t>
                <w:r>
                  <w:t xml:space="preserve">Variants with</w:t>
                </w:r>
                <w:r>
                  <w:t xml:space="preserve"> </w:t>
                </w:r>
                <w:r>
                  <w:t xml:space="preserve">-values equal to zero are highlighted in green</w:t>
                </w:r>
              </w:t>
            </w:r>
            <w:r>
              <w:t xml:space="preserve">, while the</w:t>
            </w:r>
            <w:r>
              <w:t xml:space="preserve"> </w:t>
            </w:r>
            <w:r>
              <w:rPr>
                <w:color w:val="red"/>
              </w:rPr>
              <w:t>
                <w:r>
                  <w:t xml:space="preserve">horizontal red line indicates the genome-wide</w:t>
                </w:r>
                <w:r>
                  <w:t xml:space="preserve"> </w:t>
                </w:r>
                <w:r>
                  <w:rPr>
                    <w:i/>
                    <w:iCs/>
                  </w:rPr>
                  <w:t xml:space="preserve">significance threshold</w:t>
                </w:r>
                <w:r>
                  <w:t xml:space="preserve">.</w:t>
                </w:r>
              </w:t>
            </w:r>
            <w:r>
              <w:t xml:space="preserve">. The total sample consisted of</w:t>
            </w:r>
            <w:r>
              <w:t xml:space="preserve"> </w:t>
            </w:r>
            <m:oMath>
              <m:r>
                <m:t>27</m:t>
              </m:r>
              <m:r>
                <m:rPr>
                  <m:sty m:val="p"/>
                </m:rPr>
                <m:t>,</m:t>
              </m:r>
              <m:r>
                <m:t>422</m:t>
              </m:r>
            </m:oMath>
            <w:r>
              <w:t xml:space="preserve"> </w:t>
            </w:r>
            <w:r>
              <w:t xml:space="preserve">individuals, with the</w:t>
            </w:r>
            <w:r>
              <w:t xml:space="preserve"> </w:t>
            </w:r>
            <w:r>
              <w:rPr>
                <w:b/>
                <w:bCs/>
              </w:rPr>
              <w:t xml:space="preserve">GWAS focus being comparing ground-truth SNPs versus imputed SNPs.</w:t>
            </w:r>
          </w:p>
          <w:bookmarkEnd w:id="41"/>
        </w:tc>
      </w:tr>
    </w:tbl>
    <w:bookmarkEnd w:id="42"/>
    <w:bookmarkEnd w:id="43"/>
    <w:bookmarkEnd w:id="44"/>
    <w:bookmarkStart w:id="144" w:name="analyses"/>
    <w:p>
      <w:pPr>
        <w:pStyle w:val="Heading2"/>
      </w:pPr>
      <w:r>
        <w:t xml:space="preserve">1.3 Analyses</w:t>
      </w:r>
    </w:p>
    <w:bookmarkStart w:id="48" w:name="setup-enviroment"/>
    <w:p>
      <w:pPr>
        <w:pStyle w:val="Heading3"/>
      </w:pPr>
      <w:r>
        <w:t xml:space="preserve">1.3.1 Setup enviroment</w:t>
      </w:r>
    </w:p>
    <w:bookmarkStart w:id="46" w:name="bash-configuration"/>
    <w:p>
      <w:pPr>
        <w:pStyle w:val="Heading4"/>
      </w:pPr>
      <w:r>
        <w:t xml:space="preserve">1.3.1.1 Bash configuration:</w:t>
      </w:r>
    </w:p>
    <w:p>
      <w:pPr>
        <w:pStyle w:val="FirstParagraph"/>
      </w:pPr>
      <w:r>
        <w:t xml:space="preserve">We use</w:t>
      </w:r>
      <w:r>
        <w:t xml:space="preserve"> </w:t>
      </w:r>
      <w:r>
        <w:rPr>
          <w:i/>
          <w:iCs/>
        </w:rPr>
        <w:t xml:space="preserve">symbolic links</w:t>
      </w:r>
      <w:r>
        <w:t xml:space="preserve"> </w:t>
      </w:r>
      <w:r>
        <w:t xml:space="preserve">to encapsulate the whole project, see</w:t>
      </w:r>
      <w:r>
        <w:t xml:space="preserve"> </w:t>
      </w:r>
      <w:hyperlink r:id="rId45">
        <w:r>
          <w:rPr>
            <w:rStyle w:val="VerbatimChar"/>
          </w:rPr>
          <w:t xml:space="preserve">ln -s</w:t>
        </w:r>
        <w:r>
          <w:rPr>
            <w:rStyle w:val="Hyperlink"/>
          </w:rPr>
          <w:t xml:space="preserve"> </w:t>
        </w:r>
        <w:r>
          <w:rPr>
            <w:rStyle w:val="Hyperlink"/>
          </w:rPr>
          <w:t xml:space="preserve">Post</w:t>
        </w:r>
      </w:hyperlink>
      <w:r>
        <w:t xml:space="preserve"> </w:t>
      </w:r>
      <w:r>
        <w:t xml:space="preserve">for details:</w:t>
      </w:r>
    </w:p>
    <w:p>
      <w:pPr>
        <w:pStyle w:val="SourceCode"/>
      </w:pPr>
      <w:r>
        <w:rPr>
          <w:rStyle w:val="CommentTok"/>
        </w:rPr>
        <w:t xml:space="preserve">## Render executive files findable</w:t>
      </w:r>
      <w:r>
        <w:br/>
      </w:r>
      <w:r>
        <w:rPr>
          <w:rStyle w:val="BuiltInTok"/>
        </w:rPr>
        <w:t xml:space="preserve">export</w:t>
      </w:r>
      <w:r>
        <w:rPr>
          <w:rStyle w:val="NormalTok"/>
        </w:rPr>
        <w:t xml:space="preserve"> </w:t>
      </w:r>
      <w:r>
        <w:rPr>
          <w:rStyle w:val="VariableTok"/>
        </w:rPr>
        <w:t xml:space="preserve">PATH</w:t>
      </w:r>
      <w:r>
        <w:rPr>
          <w:rStyle w:val="OperatorTok"/>
        </w:rPr>
        <w:t xml:space="preserve">=</w:t>
      </w:r>
      <w:r>
        <w:rPr>
          <w:rStyle w:val="NormalTok"/>
        </w:rPr>
        <w:t xml:space="preserve">./bin/bcftools/bin:</w:t>
      </w:r>
      <w:r>
        <w:rPr>
          <w:rStyle w:val="VariableTok"/>
        </w:rPr>
        <w:t xml:space="preserve">$PATH</w:t>
      </w:r>
      <w:r>
        <w:br/>
      </w:r>
      <w:r>
        <w:rPr>
          <w:rStyle w:val="BuiltInTok"/>
        </w:rPr>
        <w:t xml:space="preserve">export</w:t>
      </w:r>
      <w:r>
        <w:rPr>
          <w:rStyle w:val="NormalTok"/>
        </w:rPr>
        <w:t xml:space="preserve"> </w:t>
      </w:r>
      <w:r>
        <w:rPr>
          <w:rStyle w:val="VariableTok"/>
        </w:rPr>
        <w:t xml:space="preserve">PATH</w:t>
      </w:r>
      <w:r>
        <w:rPr>
          <w:rStyle w:val="OperatorTok"/>
        </w:rPr>
        <w:t xml:space="preserve">=</w:t>
      </w:r>
      <w:r>
        <w:rPr>
          <w:rStyle w:val="NormalTok"/>
        </w:rPr>
        <w:t xml:space="preserve">./bin/plink2:</w:t>
      </w:r>
      <w:r>
        <w:rPr>
          <w:rStyle w:val="VariableTok"/>
        </w:rPr>
        <w:t xml:space="preserve">$PATH</w:t>
      </w:r>
      <w:r>
        <w:br/>
      </w:r>
      <w:r>
        <w:br/>
      </w:r>
      <w:r>
        <w:rPr>
          <w:rStyle w:val="CommentTok"/>
        </w:rPr>
        <w:t xml:space="preserve">## Check versions</w:t>
      </w:r>
      <w:r>
        <w:br/>
      </w:r>
      <w:r>
        <w:rPr>
          <w:rStyle w:val="ExtensionTok"/>
        </w:rPr>
        <w:t xml:space="preserve">plink2</w:t>
      </w:r>
      <w:r>
        <w:rPr>
          <w:rStyle w:val="NormalTok"/>
        </w:rPr>
        <w:t xml:space="preserve"> </w:t>
      </w:r>
      <w:r>
        <w:rPr>
          <w:rStyle w:val="AttributeTok"/>
        </w:rPr>
        <w:t xml:space="preserve">--version</w:t>
      </w:r>
      <w:r>
        <w:br/>
      </w:r>
      <w:r>
        <w:rPr>
          <w:rStyle w:val="BuiltInTok"/>
        </w:rPr>
        <w:t xml:space="preserve">echo</w:t>
      </w:r>
      <w:r>
        <w:rPr>
          <w:rStyle w:val="NormalTok"/>
        </w:rPr>
        <w:t xml:space="preserve"> </w:t>
      </w:r>
      <w:r>
        <w:rPr>
          <w:rStyle w:val="AttributeTok"/>
        </w:rPr>
        <w:t xml:space="preserve">-e</w:t>
      </w:r>
      <w:r>
        <w:rPr>
          <w:rStyle w:val="NormalTok"/>
        </w:rPr>
        <w:t xml:space="preserve"> </w:t>
      </w:r>
      <w:r>
        <w:rPr>
          <w:rStyle w:val="StringTok"/>
        </w:rPr>
        <w:t xml:space="preserve">"\n"</w:t>
      </w:r>
      <w:r>
        <w:br/>
      </w:r>
      <w:r>
        <w:rPr>
          <w:rStyle w:val="ExtensionTok"/>
        </w:rPr>
        <w:t xml:space="preserve">bcftools</w:t>
      </w:r>
      <w:r>
        <w:rPr>
          <w:rStyle w:val="NormalTok"/>
        </w:rPr>
        <w:t xml:space="preserve"> </w:t>
      </w:r>
      <w:r>
        <w:rPr>
          <w:rStyle w:val="AttributeTok"/>
        </w:rPr>
        <w:t xml:space="preserve">--version</w:t>
      </w:r>
      <w:r>
        <w:br/>
      </w:r>
      <w:r>
        <w:br/>
      </w:r>
      <w:r>
        <w:rPr>
          <w:rStyle w:val="CommentTok"/>
        </w:rPr>
        <w:t xml:space="preserve">## Create symbolic links to organise everything within the same folder</w:t>
      </w:r>
      <w:r>
        <w:br/>
      </w:r>
      <w:r>
        <w:rPr>
          <w:rStyle w:val="CommentTok"/>
        </w:rPr>
        <w:t xml:space="preserve">## warning: if original content is deleted, everything broke!!!!!!</w:t>
      </w:r>
      <w:r>
        <w:br/>
      </w:r>
      <w:r>
        <w:rPr>
          <w:rStyle w:val="BuiltInTok"/>
        </w:rPr>
        <w:t xml:space="preserve">echo</w:t>
      </w:r>
      <w:r>
        <w:rPr>
          <w:rStyle w:val="NormalTok"/>
        </w:rPr>
        <w:t xml:space="preserve"> ln </w:t>
      </w:r>
      <w:r>
        <w:rPr>
          <w:rStyle w:val="AttributeTok"/>
        </w:rPr>
        <w:t xml:space="preserve">-s</w:t>
      </w:r>
      <w:r>
        <w:rPr>
          <w:rStyle w:val="NormalTok"/>
        </w:rPr>
        <w:t xml:space="preserve"> ./data/genotypages/ /mnt/projects_tn01/Cartagene/genotypage/imputation/imputation_merged</w:t>
      </w:r>
    </w:p>
    <w:p>
      <w:pPr>
        <w:pStyle w:val="SourceCode"/>
      </w:pPr>
      <w:r>
        <w:rPr>
          <w:rStyle w:val="VerbatimChar"/>
        </w:rPr>
        <w:t xml:space="preserve">##  PLINK v2.0.0-a.6.9LM 64-bit Intel (29 Jan 2025)</w:t>
      </w:r>
      <w:r>
        <w:br/>
      </w:r>
      <w:r>
        <w:rPr>
          <w:rStyle w:val="VerbatimChar"/>
        </w:rPr>
        <w:t xml:space="preserve">##  </w:t>
      </w:r>
      <w:r>
        <w:br/>
      </w:r>
      <w:r>
        <w:rPr>
          <w:rStyle w:val="VerbatimChar"/>
        </w:rPr>
        <w:t xml:space="preserve">##  </w:t>
      </w:r>
      <w:r>
        <w:br/>
      </w:r>
      <w:r>
        <w:rPr>
          <w:rStyle w:val="VerbatimChar"/>
        </w:rPr>
        <w:t xml:space="preserve">##  bcftools 1.21</w:t>
      </w:r>
      <w:r>
        <w:br/>
      </w:r>
      <w:r>
        <w:rPr>
          <w:rStyle w:val="VerbatimChar"/>
        </w:rPr>
        <w:t xml:space="preserve">##  Using htslib 1.21</w:t>
      </w:r>
      <w:r>
        <w:br/>
      </w:r>
      <w:r>
        <w:rPr>
          <w:rStyle w:val="VerbatimChar"/>
        </w:rPr>
        <w:t xml:space="preserve">##  Copyright (C) 2024 Genome Research Ltd.</w:t>
      </w:r>
      <w:r>
        <w:br/>
      </w:r>
      <w:r>
        <w:rPr>
          <w:rStyle w:val="VerbatimChar"/>
        </w:rPr>
        <w:t xml:space="preserve">##  License Expat: The MIT/Expat license</w:t>
      </w:r>
      <w:r>
        <w:br/>
      </w:r>
      <w:r>
        <w:rPr>
          <w:rStyle w:val="VerbatimChar"/>
        </w:rPr>
        <w:t xml:space="preserve">##  This is free software: you are free to change and redistribute it.</w:t>
      </w:r>
      <w:r>
        <w:br/>
      </w:r>
      <w:r>
        <w:rPr>
          <w:rStyle w:val="VerbatimChar"/>
        </w:rPr>
        <w:t xml:space="preserve">##  There is NO WARRANTY, to the extent permitted by law.</w:t>
      </w:r>
      <w:r>
        <w:br/>
      </w:r>
      <w:r>
        <w:rPr>
          <w:rStyle w:val="VerbatimChar"/>
        </w:rPr>
        <w:t xml:space="preserve">##  ln -s ./data/genotypages/ /mnt/projects_tn01/Cartagene/genotypage/imputation/imputation_merged</w:t>
      </w:r>
    </w:p>
    <w:bookmarkEnd w:id="46"/>
    <w:bookmarkStart w:id="47" w:name="r-configuration"/>
    <w:p>
      <w:pPr>
        <w:pStyle w:val="Heading4"/>
      </w:pPr>
      <w:r>
        <w:t xml:space="preserve">1.3.1.2 R configuration:</w:t>
      </w:r>
    </w:p>
    <w:p>
      <w:pPr>
        <w:pStyle w:val="SourceCode"/>
      </w:pPr>
      <w:r>
        <w:rPr>
          <w:rStyle w:val="DocumentationTok"/>
        </w:rPr>
        <w:t xml:space="preserve">## data wrangling and visualisations</w:t>
      </w:r>
      <w:r>
        <w:br/>
      </w:r>
      <w:r>
        <w:rPr>
          <w:rStyle w:val="FunctionTok"/>
        </w:rPr>
        <w:t xml:space="preserve">library</w:t>
      </w:r>
      <w:r>
        <w:rPr>
          <w:rStyle w:val="NormalTok"/>
        </w:rPr>
        <w:t xml:space="preserve">(haven)</w:t>
      </w:r>
      <w:r>
        <w:br/>
      </w:r>
      <w:r>
        <w:rPr>
          <w:rStyle w:val="FunctionTok"/>
        </w:rPr>
        <w:t xml:space="preserve">library</w:t>
      </w:r>
      <w:r>
        <w:rPr>
          <w:rStyle w:val="NormalTok"/>
        </w:rPr>
        <w:t xml:space="preserve">(flextable)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DocumentationTok"/>
        </w:rPr>
        <w:t xml:space="preserve">## Required for code linking</w:t>
      </w:r>
      <w:r>
        <w:br/>
      </w:r>
      <w:r>
        <w:rPr>
          <w:rStyle w:val="FunctionTok"/>
        </w:rPr>
        <w:t xml:space="preserve">library</w:t>
      </w:r>
      <w:r>
        <w:rPr>
          <w:rStyle w:val="NormalTok"/>
        </w:rPr>
        <w:t xml:space="preserve">(downlit)</w:t>
      </w:r>
      <w:r>
        <w:br/>
      </w:r>
      <w:r>
        <w:rPr>
          <w:rStyle w:val="FunctionTok"/>
        </w:rPr>
        <w:t xml:space="preserve">library</w:t>
      </w:r>
      <w:r>
        <w:rPr>
          <w:rStyle w:val="NormalTok"/>
        </w:rPr>
        <w:t xml:space="preserve">(xml2)</w:t>
      </w:r>
      <w:r>
        <w:br/>
      </w:r>
      <w:r>
        <w:br/>
      </w:r>
      <w:r>
        <w:rPr>
          <w:rStyle w:val="CommentTok"/>
        </w:rPr>
        <w:t xml:space="preserve"># Avoid warning "Replace previous import ‘utils::findMatches’ by ‘S4Vectors::findMatches’ when loading ‘AnnotationDbi’"</w:t>
      </w:r>
      <w:r>
        <w:br/>
      </w:r>
      <w:r>
        <w:rPr>
          <w:rStyle w:val="FunctionTok"/>
        </w:rPr>
        <w:t xml:space="preserve">library</w:t>
      </w:r>
      <w:r>
        <w:rPr>
          <w:rStyle w:val="NormalTok"/>
        </w:rPr>
        <w:t xml:space="preserve">(conflicted)</w:t>
      </w:r>
      <w:r>
        <w:br/>
      </w:r>
      <w:r>
        <w:rPr>
          <w:rStyle w:val="NormalTok"/>
        </w:rPr>
        <w:t xml:space="preserve">conflicted</w:t>
      </w:r>
      <w:r>
        <w:rPr>
          <w:rStyle w:val="SpecialCharTok"/>
        </w:rPr>
        <w:t xml:space="preserve">::</w:t>
      </w:r>
      <w:r>
        <w:rPr>
          <w:rStyle w:val="FunctionTok"/>
        </w:rPr>
        <w:t xml:space="preserve">conflict_prefer</w:t>
      </w:r>
      <w:r>
        <w:rPr>
          <w:rStyle w:val="NormalTok"/>
        </w:rPr>
        <w:t xml:space="preserve">(</w:t>
      </w:r>
      <w:r>
        <w:rPr>
          <w:rStyle w:val="StringTok"/>
        </w:rPr>
        <w:t xml:space="preserve">"findMatches"</w:t>
      </w:r>
      <w:r>
        <w:rPr>
          <w:rStyle w:val="NormalTok"/>
        </w:rPr>
        <w:t xml:space="preserve">, </w:t>
      </w:r>
      <w:r>
        <w:rPr>
          <w:rStyle w:val="StringTok"/>
        </w:rPr>
        <w:t xml:space="preserve">"S4Vectors"</w:t>
      </w:r>
      <w:r>
        <w:rPr>
          <w:rStyle w:val="NormalTok"/>
        </w:rPr>
        <w:t xml:space="preserve">)</w:t>
      </w:r>
      <w:r>
        <w:br/>
      </w:r>
      <w:r>
        <w:rPr>
          <w:rStyle w:val="NormalTok"/>
        </w:rPr>
        <w:t xml:space="preserve">conflicted</w:t>
      </w:r>
      <w:r>
        <w:rPr>
          <w:rStyle w:val="SpecialCharTok"/>
        </w:rPr>
        <w:t xml:space="preserve">::</w:t>
      </w:r>
      <w:r>
        <w:rPr>
          <w:rStyle w:val="FunctionTok"/>
        </w:rPr>
        <w:t xml:space="preserve">conflicts_prefer</w:t>
      </w:r>
      <w:r>
        <w:rPr>
          <w:rStyle w:val="NormalTok"/>
        </w:rPr>
        <w:t xml:space="preserve">(base</w:t>
      </w:r>
      <w:r>
        <w:rPr>
          <w:rStyle w:val="SpecialCharTok"/>
        </w:rPr>
        <w:t xml:space="preserve">::</w:t>
      </w:r>
      <w:r>
        <w:rPr>
          <w:rStyle w:val="NormalTok"/>
        </w:rPr>
        <w:t xml:space="preserve">setdiff, base</w:t>
      </w:r>
      <w:r>
        <w:rPr>
          <w:rStyle w:val="SpecialCharTok"/>
        </w:rPr>
        <w:t xml:space="preserve">::</w:t>
      </w:r>
      <w:r>
        <w:rPr>
          <w:rStyle w:val="NormalTok"/>
        </w:rPr>
        <w:t xml:space="preserve">intersect, </w:t>
      </w:r>
      <w:r>
        <w:br/>
      </w:r>
      <w:r>
        <w:rPr>
          <w:rStyle w:val="NormalTok"/>
        </w:rPr>
        <w:t xml:space="preserve">                             base</w:t>
      </w:r>
      <w:r>
        <w:rPr>
          <w:rStyle w:val="SpecialCharTok"/>
        </w:rPr>
        <w:t xml:space="preserve">::</w:t>
      </w:r>
      <w:r>
        <w:rPr>
          <w:rStyle w:val="NormalTok"/>
        </w:rPr>
        <w:t xml:space="preserve">setequal, base</w:t>
      </w:r>
      <w:r>
        <w:rPr>
          <w:rStyle w:val="SpecialCharTok"/>
        </w:rPr>
        <w:t xml:space="preserve">::</w:t>
      </w:r>
      <w:r>
        <w:rPr>
          <w:rStyle w:val="NormalTok"/>
        </w:rPr>
        <w:t xml:space="preserve">union)</w:t>
      </w:r>
      <w:r>
        <w:br/>
      </w:r>
      <w:r>
        <w:rPr>
          <w:rStyle w:val="NormalTok"/>
        </w:rPr>
        <w:t xml:space="preserve">conflicted</w:t>
      </w:r>
      <w:r>
        <w:rPr>
          <w:rStyle w:val="SpecialCharTok"/>
        </w:rPr>
        <w:t xml:space="preserve">::</w:t>
      </w:r>
      <w:r>
        <w:rPr>
          <w:rStyle w:val="FunctionTok"/>
        </w:rPr>
        <w:t xml:space="preserve">conflicts_prefer</w:t>
      </w:r>
      <w:r>
        <w:rPr>
          <w:rStyle w:val="NormalTok"/>
        </w:rPr>
        <w:t xml:space="preserve">(dplyr</w:t>
      </w:r>
      <w:r>
        <w:rPr>
          <w:rStyle w:val="SpecialCharTok"/>
        </w:rPr>
        <w:t xml:space="preserve">::</w:t>
      </w:r>
      <w:r>
        <w:rPr>
          <w:rStyle w:val="NormalTok"/>
        </w:rPr>
        <w:t xml:space="preserve">select, dplyr</w:t>
      </w:r>
      <w:r>
        <w:rPr>
          <w:rStyle w:val="SpecialCharTok"/>
        </w:rPr>
        <w:t xml:space="preserve">::</w:t>
      </w:r>
      <w:r>
        <w:rPr>
          <w:rStyle w:val="NormalTok"/>
        </w:rPr>
        <w:t xml:space="preserve">filter)</w:t>
      </w:r>
      <w:r>
        <w:br/>
      </w:r>
      <w:r>
        <w:br/>
      </w:r>
      <w:r>
        <w:br/>
      </w:r>
      <w:r>
        <w:rPr>
          <w:rStyle w:val="DocumentationTok"/>
        </w:rPr>
        <w:t xml:space="preserve">## Retrieve gene positions</w:t>
      </w:r>
      <w:r>
        <w:br/>
      </w:r>
      <w:r>
        <w:rPr>
          <w:rStyle w:val="FunctionTok"/>
        </w:rPr>
        <w:t xml:space="preserve">library</w:t>
      </w:r>
      <w:r>
        <w:rPr>
          <w:rStyle w:val="NormalTok"/>
        </w:rPr>
        <w:t xml:space="preserve">(GenomicFeatures) </w:t>
      </w:r>
      <w:r>
        <w:rPr>
          <w:rStyle w:val="CommentTok"/>
        </w:rPr>
        <w:t xml:space="preserve"># Pre-load the package for mapping gene IDs</w:t>
      </w:r>
      <w:r>
        <w:br/>
      </w:r>
      <w:r>
        <w:rPr>
          <w:rStyle w:val="FunctionTok"/>
        </w:rPr>
        <w:t xml:space="preserve">library</w:t>
      </w:r>
      <w:r>
        <w:rPr>
          <w:rStyle w:val="NormalTok"/>
        </w:rPr>
        <w:t xml:space="preserve">(org.Hs.eg.db)  </w:t>
      </w:r>
      <w:r>
        <w:rPr>
          <w:rStyle w:val="DocumentationTok"/>
        </w:rPr>
        <w:t xml:space="preserve">## Provides gene symbol to Entrez ID mapping</w:t>
      </w:r>
      <w:r>
        <w:br/>
      </w:r>
      <w:r>
        <w:br/>
      </w:r>
      <w:r>
        <w:rPr>
          <w:rStyle w:val="DocumentationTok"/>
        </w:rPr>
        <w:t xml:space="preserve">## for generating nice visualisations</w:t>
      </w:r>
      <w:r>
        <w:br/>
      </w:r>
      <w:r>
        <w:rPr>
          <w:rStyle w:val="FunctionTok"/>
        </w:rPr>
        <w:t xml:space="preserve">source</w:t>
      </w:r>
      <w:r>
        <w:rPr>
          <w:rStyle w:val="NormalTok"/>
        </w:rPr>
        <w:t xml:space="preserve">(</w:t>
      </w:r>
      <w:r>
        <w:rPr>
          <w:rStyle w:val="StringTok"/>
        </w:rPr>
        <w:t xml:space="preserve">"R/gwas_plots.R"</w:t>
      </w:r>
      <w:r>
        <w:rPr>
          <w:rStyle w:val="NormalTok"/>
        </w:rPr>
        <w:t xml:space="preserve">)</w:t>
      </w:r>
    </w:p>
    <w:bookmarkEnd w:id="47"/>
    <w:bookmarkEnd w:id="48"/>
    <w:bookmarkStart w:id="71" w:name="compute-pca-loadings"/>
    <w:p>
      <w:pPr>
        <w:pStyle w:val="Heading3"/>
      </w:pPr>
      <w:r>
        <w:t xml:space="preserve">1.3.2 Compute PCA</w:t>
      </w:r>
      <w:r>
        <w:t xml:space="preserve"> </w:t>
      </w:r>
      <w:r>
        <w:rPr>
          <w:b/>
          <w:bCs/>
        </w:rPr>
        <w:t xml:space="preserve">loadings</w:t>
      </w:r>
    </w:p>
    <w:bookmarkStart w:id="50" w:name="sec-white-selection"/>
    <w:p>
      <w:pPr>
        <w:pStyle w:val="Heading4"/>
      </w:pPr>
      <w:r>
        <w:t xml:space="preserve">1.3.2.1 Step 1: Merge genotype arrays</w:t>
      </w:r>
    </w:p>
    <w:p>
      <w:pPr>
        <w:pStyle w:val="FirstParagraph"/>
      </w:pPr>
      <w:r>
        <w:t xml:space="preserve">Genotypes were split into five different genotyping arrays. Arrays were merged together using Bash script</w:t>
      </w:r>
      <w:r>
        <w:t xml:space="preserve"> </w:t>
      </w:r>
      <w:hyperlink r:id="rId49">
        <w:r>
          <w:rPr>
            <w:rStyle w:val="Hyperlink"/>
          </w:rPr>
          <w:t xml:space="preserve">merge_datasets.sh</w:t>
        </w:r>
      </w:hyperlink>
      <w:r>
        <w:t xml:space="preserve">, and command</w:t>
      </w:r>
      <w:r>
        <w:t xml:space="preserve"> </w:t>
      </w:r>
      <w:r>
        <w:rPr>
          <w:rStyle w:val="VerbatimChar"/>
        </w:rPr>
        <w:t xml:space="preserve">--bmerge</w:t>
      </w:r>
      <w:r>
        <w:t xml:space="preserve"> </w:t>
      </w:r>
      <w:r>
        <w:t xml:space="preserve">of tool</w:t>
      </w:r>
      <w:r>
        <w:t xml:space="preserve"> </w:t>
      </w:r>
      <w:r>
        <w:rPr>
          <w:rStyle w:val="VerbatimChar"/>
        </w:rPr>
        <w:t xml:space="preserve">plink2</w:t>
      </w:r>
      <w:r>
        <w:t xml:space="preserve">. This command only keeps matching</w:t>
      </w:r>
      <w:r>
        <w:t xml:space="preserve"> </w:t>
      </w:r>
      <w:r>
        <w:rPr>
          <w:b/>
          <w:bCs/>
        </w:rPr>
        <w:t xml:space="preserve">SNPs</w:t>
      </w:r>
      <w:r>
        <w:t xml:space="preserve"> </w:t>
      </w:r>
      <w:r>
        <w:t xml:space="preserve">and</w:t>
      </w:r>
      <w:r>
        <w:t xml:space="preserve"> </w:t>
      </w:r>
      <w:r>
        <w:rPr>
          <w:b/>
          <w:bCs/>
        </w:rPr>
        <w:t xml:space="preserve">alleles</w:t>
      </w:r>
      <w:r>
        <w:t xml:space="preserve"> </w:t>
      </w:r>
      <w:r>
        <w:t xml:space="preserve">across the 5 arrays.</w:t>
      </w:r>
    </w:p>
    <w:p>
      <w:pPr>
        <w:pStyle w:val="BodyText"/>
      </w:pPr>
      <w:r>
        <w:t xml:space="preserve">The resulting</w:t>
      </w:r>
      <w:r>
        <w:t xml:space="preserve"> </w:t>
      </w:r>
      <w:r>
        <w:rPr>
          <w:rStyle w:val="VerbatimChar"/>
        </w:rPr>
        <w:t xml:space="preserve">BAM</w:t>
      </w:r>
      <w:r>
        <w:t xml:space="preserve"> </w:t>
      </w:r>
      <w:r>
        <w:t xml:space="preserve">files (sequence alignments),</w:t>
      </w:r>
      <w:r>
        <w:t xml:space="preserve"> </w:t>
      </w:r>
      <w:r>
        <w:rPr>
          <w:rStyle w:val="VerbatimChar"/>
        </w:rPr>
        <w:t xml:space="preserve">BED</w:t>
      </w:r>
      <w:r>
        <w:t xml:space="preserve"> </w:t>
      </w:r>
      <w:r>
        <w:t xml:space="preserve">files (genomic regions of interest, for viewers),</w:t>
      </w:r>
      <w:r>
        <w:t xml:space="preserve"> </w:t>
      </w:r>
      <w:r>
        <w:rPr>
          <w:rStyle w:val="VerbatimChar"/>
        </w:rPr>
        <w:t xml:space="preserve">BIM</w:t>
      </w:r>
      <w:r>
        <w:t xml:space="preserve"> </w:t>
      </w:r>
      <w:r>
        <w:t xml:space="preserve">(SNP information) and</w:t>
      </w:r>
      <w:r>
        <w:t xml:space="preserve"> </w:t>
      </w:r>
      <w:r>
        <w:rPr>
          <w:rStyle w:val="VerbatimChar"/>
        </w:rPr>
        <w:t xml:space="preserve">FAM</w:t>
      </w:r>
      <w:r>
        <w:t xml:space="preserve"> </w:t>
      </w:r>
      <w:r>
        <w:t xml:space="preserve">(phenotype data, such as individuals and pedigree), are listed in folder</w:t>
      </w:r>
      <w:r>
        <w:t xml:space="preserve"> </w:t>
      </w:r>
      <w:r>
        <w:rPr>
          <w:rStyle w:val="VerbatimChar"/>
        </w:rPr>
        <w:t xml:space="preserve">/mnt/projects_tn01/Cartagene/analyses/QC</w:t>
      </w:r>
      <w:r>
        <w:t xml:space="preserve">, with prefix</w:t>
      </w:r>
      <w:r>
        <w:t xml:space="preserve"> </w:t>
      </w:r>
      <w:r>
        <w:rPr>
          <w:rStyle w:val="VerbatimChar"/>
        </w:rPr>
        <w:t xml:space="preserve">merge_5_*</w:t>
      </w:r>
      <w:r>
        <w:t xml:space="preserve"> </w:t>
      </w:r>
      <w:r>
        <w:t xml:space="preserve">(for 5 genotypes concatenated).</w:t>
      </w:r>
    </w:p>
    <w:bookmarkEnd w:id="50"/>
    <w:bookmarkStart w:id="62" w:name="sec-preprocessing-redundancy"/>
    <w:p>
      <w:pPr>
        <w:pStyle w:val="Heading4"/>
      </w:pPr>
      <w:r>
        <w:t xml:space="preserve">1.3.2.2 Step 2: Preprocessing for Removing Correlated Features</w:t>
      </w:r>
    </w:p>
    <w:p>
      <w:pPr>
        <w:pStyle w:val="FirstParagraph"/>
      </w:pPr>
      <w:r>
        <w:rPr>
          <w:b/>
          <w:bCs/>
        </w:rPr>
        <w:t xml:space="preserve">Remark</w:t>
      </w:r>
      <w:r>
        <w:t xml:space="preserve">: the prefix</w:t>
      </w:r>
      <w:r>
        <w:t xml:space="preserve"> </w:t>
      </w:r>
      <w:r>
        <w:rPr>
          <w:rStyle w:val="VerbatimChar"/>
        </w:rPr>
        <w:t xml:space="preserve">eur_only</w:t>
      </w:r>
      <w:r>
        <w:t xml:space="preserve"> </w:t>
      </w:r>
      <w:r>
        <w:t xml:space="preserve">stands for Caucasian phenotypes.</w:t>
      </w:r>
    </w:p>
    <w:bookmarkStart w:id="51" w:name="sec-missing-SNPs"/>
    <w:p>
      <w:pPr>
        <w:pStyle w:val="Heading5"/>
      </w:pPr>
      <w:r>
        <w:t xml:space="preserve">1.3.2.2.1 i) Trim missing SNPs</w:t>
      </w:r>
    </w:p>
    <w:p>
      <w:pPr>
        <w:numPr>
          <w:ilvl w:val="0"/>
          <w:numId w:val="1010"/>
        </w:numPr>
      </w:pPr>
      <w:r>
        <w:rPr>
          <w:b/>
          <w:bCs/>
        </w:rPr>
        <w:t xml:space="preserve">Inputs</w:t>
      </w:r>
      <w:r>
        <w:t xml:space="preserve">:</w:t>
      </w:r>
    </w:p>
    <w:p>
      <w:pPr>
        <w:pStyle w:val="Compact"/>
        <w:numPr>
          <w:ilvl w:val="1"/>
          <w:numId w:val="1011"/>
        </w:numPr>
      </w:pPr>
      <w:r>
        <w:rPr>
          <w:b/>
          <w:bCs/>
        </w:rPr>
        <w:t xml:space="preserve">Phenotype Ids of white individuals</w:t>
      </w:r>
      <w:r>
        <w:t xml:space="preserve">:</w:t>
      </w:r>
      <w:r>
        <w:t xml:space="preserve"> </w:t>
      </w:r>
      <w:r>
        <w:rPr>
          <w:rStyle w:val="VerbatimChar"/>
        </w:rPr>
        <w:t xml:space="preserve">eur_only/cartagene_self_reported_EUR.plink_format.txt</w:t>
      </w:r>
    </w:p>
    <w:p>
      <w:pPr>
        <w:pStyle w:val="Compact"/>
        <w:numPr>
          <w:ilvl w:val="1"/>
          <w:numId w:val="1011"/>
        </w:numPr>
      </w:pPr>
      <w:r>
        <w:rPr>
          <w:b/>
          <w:bCs/>
        </w:rPr>
        <w:t xml:space="preserve">BIM/BED/FAM/hh</w:t>
      </w:r>
      <w:r>
        <w:t xml:space="preserve"> </w:t>
      </w:r>
      <w:r>
        <w:t xml:space="preserve">folder generated with</w:t>
      </w:r>
      <w:r>
        <w:t xml:space="preserve"> </w:t>
      </w:r>
      <w:r>
        <w:rPr>
          <w:rStyle w:val="VerbatimChar"/>
        </w:rPr>
        <w:t xml:space="preserve">--make-bed</w:t>
      </w:r>
      <w:r>
        <w:t xml:space="preserve"> </w:t>
      </w:r>
      <w:r>
        <w:t xml:space="preserve">command:</w:t>
      </w:r>
      <w:r>
        <w:t xml:space="preserve"> </w:t>
      </w:r>
      <w:r>
        <w:rPr>
          <w:rStyle w:val="VerbatimChar"/>
        </w:rPr>
        <w:t xml:space="preserve">analyses/QC/merge_5_datasets</w:t>
      </w:r>
      <w:r>
        <w:t xml:space="preserve">.</w:t>
      </w:r>
      <w:r>
        <w:t xml:space="preserve"> </w:t>
      </w:r>
      <w:r>
        <w:rPr>
          <w:color w:val="red"/>
        </w:rPr>
        <w:t>
          <w:r>
            <w:t xml:space="preserve">It seems that among the 5 genotype arrays concatenated, at least one genotype, namely</w:t>
          </w:r>
          <w:r>
            <w:t xml:space="preserve"> </w:t>
          </w:r>
          <w:r>
            <w:rPr>
              <w:rStyle w:val="VerbatimChar"/>
            </w:rPr>
            <w:t xml:space="preserve">gsa.17k.final.hg19.bim,</w:t>
          </w:r>
          <w:r>
            <w:t xml:space="preserve"> </w:t>
          </w:r>
          <w:r>
            <w:t xml:space="preserve">has been mapped thanks to</w:t>
          </w:r>
          <w:r>
            <w:t xml:space="preserve"> </w:t>
          </w:r>
          <w:r>
            <w:rPr>
              <w:rStyle w:val="VerbatimChar"/>
            </w:rPr>
            <w:t xml:space="preserve">GRCh37 (hg19)</w:t>
          </w:r>
          <w:r>
            <w:t xml:space="preserve"> </w:t>
          </w:r>
          <w:r>
            <w:t xml:space="preserve">reference instead of more recent</w:t>
          </w:r>
          <w:r>
            <w:t xml:space="preserve"> </w:t>
          </w:r>
          <w:r>
            <w:rPr>
              <w:rStyle w:val="VerbatimChar"/>
            </w:rPr>
            <w:t xml:space="preserve">hg38 (GRCh38, 2013)</w:t>
          </w:r>
          <w:r>
            <w:t xml:space="preserve"> </w:t>
          </w:r>
          <w:r>
            <w:t xml:space="preserve">version.</w:t>
          </w:r>
        </w:t>
      </w:r>
      <w:r>
        <w:t xml:space="preserve">$$</w:t>
      </w:r>
    </w:p>
    <w:p>
      <w:pPr>
        <w:numPr>
          <w:ilvl w:val="0"/>
          <w:numId w:val="1010"/>
        </w:numPr>
      </w:pPr>
      <w:r>
        <w:rPr>
          <w:b/>
          <w:bCs/>
        </w:rPr>
        <w:t xml:space="preserve">Objective</w:t>
      </w:r>
      <w:r>
        <w:t xml:space="preserve">: Keep white individuals and remove SNPs variants with genotyping rate</w:t>
      </w:r>
      <w:r>
        <w:t xml:space="preserve"> </w:t>
      </w:r>
      <m:oMath>
        <m:r>
          <m:rPr>
            <m:sty m:val="p"/>
          </m:rPr>
          <m:t>&lt;</m:t>
        </m:r>
        <m:r>
          <m:t>0.95</m:t>
        </m:r>
      </m:oMath>
      <w:r>
        <w:t xml:space="preserve">. The</w:t>
      </w:r>
      <w:r>
        <w:t xml:space="preserve"> </w:t>
      </w:r>
      <w:r>
        <w:rPr>
          <w:b/>
          <w:bCs/>
        </w:rPr>
        <w:t xml:space="preserve">genotyping rate</w:t>
      </w:r>
      <w:r>
        <w:t xml:space="preserve"> </w:t>
      </w:r>
      <w:r>
        <w:t xml:space="preserve">measures the proportion of successfully genotyped markers and indicates how complete the genotype data is. Removing SNPs with low Genotyping Rate increases Missing Data imputation performance, and overall maintains higher statistical power.</w:t>
      </w:r>
    </w:p>
    <w:p>
      <w:pPr>
        <w:numPr>
          <w:ilvl w:val="0"/>
          <w:numId w:val="1010"/>
        </w:numPr>
      </w:pPr>
      <w:r>
        <w:rPr>
          <w:color w:val="red"/>
        </w:rPr>
        <w:t>
          <w:r>
            <w:rPr>
              <w:b/>
              <w:bCs/>
            </w:rPr>
            <w:t xml:space="preserve">Remark</w:t>
          </w:r>
          <w:r>
            <w:t xml:space="preserve">: Also advised to exclude samples with low Genotyping Rate, below 0.98.</w:t>
          </w:r>
        </w:t>
      </w:r>
    </w:p>
    <w:p>
      <w:pPr>
        <w:numPr>
          <w:ilvl w:val="0"/>
          <w:numId w:val="1010"/>
        </w:numPr>
      </w:pPr>
      <w:r>
        <w:rPr>
          <w:b/>
          <w:bCs/>
        </w:rPr>
        <w:t xml:space="preserve">Bash command</w:t>
      </w:r>
      <w:r>
        <w:t xml:space="preserve">:</w:t>
      </w:r>
    </w:p>
    <w:p>
      <w:pPr>
        <w:pStyle w:val="SourceCode"/>
      </w:pPr>
      <w:r>
        <w:rPr>
          <w:rStyle w:val="ExtensionTok"/>
        </w:rPr>
        <w:t xml:space="preserve">plink2</w:t>
      </w:r>
      <w:r>
        <w:rPr>
          <w:rStyle w:val="NormalTok"/>
        </w:rPr>
        <w:t xml:space="preserve"> </w:t>
      </w:r>
      <w:r>
        <w:rPr>
          <w:rStyle w:val="DataTypeTok"/>
        </w:rPr>
        <w:t xml:space="preserve">\</w:t>
      </w:r>
      <w:r>
        <w:br/>
      </w:r>
      <w:r>
        <w:rPr>
          <w:rStyle w:val="NormalTok"/>
        </w:rPr>
        <w:t xml:space="preserve">  </w:t>
      </w:r>
      <w:r>
        <w:rPr>
          <w:rStyle w:val="AttributeTok"/>
        </w:rPr>
        <w:t xml:space="preserve">--bfile</w:t>
      </w:r>
      <w:r>
        <w:rPr>
          <w:rStyle w:val="NormalTok"/>
        </w:rPr>
        <w:t xml:space="preserve"> /mnt/projects_tn01/Cartagene/analyses/QC/merge_5_datasets </w:t>
      </w:r>
      <w:r>
        <w:rPr>
          <w:rStyle w:val="DataTypeTok"/>
        </w:rPr>
        <w:t xml:space="preserve">\</w:t>
      </w:r>
      <w:r>
        <w:br/>
      </w:r>
      <w:r>
        <w:rPr>
          <w:rStyle w:val="NormalTok"/>
        </w:rPr>
        <w:t xml:space="preserve">  </w:t>
      </w:r>
      <w:r>
        <w:rPr>
          <w:rStyle w:val="AttributeTok"/>
        </w:rPr>
        <w:t xml:space="preserve">--geno</w:t>
      </w:r>
      <w:r>
        <w:rPr>
          <w:rStyle w:val="NormalTok"/>
        </w:rPr>
        <w:t xml:space="preserve"> 0.05 </w:t>
      </w:r>
      <w:r>
        <w:rPr>
          <w:rStyle w:val="DataTypeTok"/>
        </w:rPr>
        <w:t xml:space="preserve">\</w:t>
      </w:r>
      <w:r>
        <w:br/>
      </w:r>
      <w:r>
        <w:rPr>
          <w:rStyle w:val="NormalTok"/>
        </w:rPr>
        <w:t xml:space="preserve">  </w:t>
      </w:r>
      <w:r>
        <w:rPr>
          <w:rStyle w:val="AttributeTok"/>
        </w:rPr>
        <w:t xml:space="preserve">--keep</w:t>
      </w:r>
      <w:r>
        <w:rPr>
          <w:rStyle w:val="NormalTok"/>
        </w:rPr>
        <w:t xml:space="preserve"> /mnt/projects_tn01/Cartagene/analyses/QC/eur_only/cartagene_self_reported_EUR.plink_format.txt </w:t>
      </w:r>
      <w:r>
        <w:rPr>
          <w:rStyle w:val="DataTypeTok"/>
        </w:rPr>
        <w:t xml:space="preserve">\</w:t>
      </w:r>
      <w:r>
        <w:br/>
      </w:r>
      <w:r>
        <w:rPr>
          <w:rStyle w:val="NormalTok"/>
        </w:rPr>
        <w:t xml:space="preserve">  </w:t>
      </w:r>
      <w:r>
        <w:rPr>
          <w:rStyle w:val="AttributeTok"/>
        </w:rPr>
        <w:t xml:space="preserve">--make-bed</w:t>
      </w:r>
      <w:r>
        <w:rPr>
          <w:rStyle w:val="NormalTok"/>
        </w:rPr>
        <w:t xml:space="preserve"> </w:t>
      </w:r>
      <w:r>
        <w:rPr>
          <w:rStyle w:val="DataTypeTok"/>
        </w:rPr>
        <w:t xml:space="preserve">\</w:t>
      </w:r>
      <w:r>
        <w:br/>
      </w:r>
      <w:r>
        <w:rPr>
          <w:rStyle w:val="NormalTok"/>
        </w:rPr>
        <w:t xml:space="preserve">  </w:t>
      </w:r>
      <w:r>
        <w:rPr>
          <w:rStyle w:val="AttributeTok"/>
        </w:rPr>
        <w:t xml:space="preserve">--out</w:t>
      </w:r>
      <w:r>
        <w:rPr>
          <w:rStyle w:val="NormalTok"/>
        </w:rPr>
        <w:t xml:space="preserve"> /mnt/projects_tn01/Cartagene/analyses/QC/eur_only/merge_5_datasets.eur_only.geno095</w:t>
      </w:r>
    </w:p>
    <w:bookmarkEnd w:id="51"/>
    <w:bookmarkStart w:id="52" w:name="sec-HWD"/>
    <w:p>
      <w:pPr>
        <w:pStyle w:val="Heading5"/>
      </w:pPr>
      <w:r>
        <w:t xml:space="preserve">1.3.2.2.2 ii) Hardy-Weinberg Disequilibrium</w:t>
      </w:r>
    </w:p>
    <w:p>
      <w:pPr>
        <w:numPr>
          <w:ilvl w:val="0"/>
          <w:numId w:val="1012"/>
        </w:numPr>
      </w:pPr>
      <w:r>
        <w:rPr>
          <w:b/>
          <w:bCs/>
        </w:rPr>
        <w:t xml:space="preserve">Inputs</w:t>
      </w:r>
      <w:r>
        <w:t xml:space="preserve">:</w:t>
      </w:r>
    </w:p>
    <w:p>
      <w:pPr>
        <w:pStyle w:val="Compact"/>
        <w:numPr>
          <w:ilvl w:val="1"/>
          <w:numId w:val="1013"/>
        </w:numPr>
      </w:pPr>
      <w:r>
        <w:rPr>
          <w:b/>
          <w:bCs/>
        </w:rPr>
        <w:t xml:space="preserve">BIM/BED/FAM/hh (Homozygous-Haplotype)</w:t>
      </w:r>
      <w:r>
        <w:t xml:space="preserve"> </w:t>
      </w:r>
      <w:r>
        <w:t xml:space="preserve">files generated from previous SNP missing removal, see</w:t>
      </w:r>
      <w:r>
        <w:t xml:space="preserve"> </w:t>
      </w:r>
      <w:hyperlink w:anchor="sec-missing-SNPs">
        <w:r>
          <w:rPr>
            <w:rStyle w:val="Hyperlink"/>
          </w:rPr>
          <w:t xml:space="preserve">Section 1.3.2.2.1</w:t>
        </w:r>
      </w:hyperlink>
      <w:r>
        <w:t xml:space="preserve">.</w:t>
      </w:r>
    </w:p>
    <w:p>
      <w:pPr>
        <w:numPr>
          <w:ilvl w:val="0"/>
          <w:numId w:val="1012"/>
        </w:numPr>
      </w:pPr>
      <w:r>
        <w:rPr>
          <w:b/>
          <w:bCs/>
        </w:rPr>
        <w:t xml:space="preserve">Objective</w:t>
      </w:r>
      <w:r>
        <w:t xml:space="preserve">: Remove SNPs variants with</w:t>
      </w:r>
      <w:r>
        <w:t xml:space="preserve"> </w:t>
      </w:r>
      <w:r>
        <w:rPr>
          <w:b/>
          <w:bCs/>
        </w:rPr>
        <w:t xml:space="preserve">Hardy-Weinberg disequilibrium</w:t>
      </w:r>
      <w:r>
        <w:t xml:space="preserve"> </w:t>
      </w:r>
      <m:oMath>
        <m:r>
          <m:rPr>
            <m:sty m:val="p"/>
          </m:rPr>
          <m:t>&lt;</m:t>
        </m:r>
        <m:r>
          <m:t>1</m:t>
        </m:r>
        <m:r>
          <m:rPr>
            <m:sty m:val="p"/>
          </m:rPr>
          <m:t>×</m:t>
        </m:r>
        <m:sSup>
          <m:e>
            <m:r>
              <m:t>10</m:t>
            </m:r>
          </m:e>
          <m:sup>
            <m:r>
              <m:rPr>
                <m:sty m:val="p"/>
              </m:rPr>
              <m:t>−</m:t>
            </m:r>
            <m:r>
              <m:t>6</m:t>
            </m:r>
          </m:sup>
        </m:sSup>
      </m:oMath>
      <w:r>
        <w:t xml:space="preserve">. Indeed, if a SNP is in HWD, it might reflect hidden sub-population structure or poor-quality rather than true genetic associations.</w:t>
      </w:r>
    </w:p>
    <w:p>
      <w:pPr>
        <w:numPr>
          <w:ilvl w:val="0"/>
          <w:numId w:val="1012"/>
        </w:numPr>
      </w:pPr>
      <w:r>
        <w:rPr>
          <w:color w:val="red"/>
        </w:rPr>
        <w:t>
          <w:r>
            <w:rPr>
              <w:b/>
              <w:bCs/>
            </w:rPr>
            <w:t xml:space="preserve">Remark</w:t>
          </w:r>
          <w:r>
            <w:t xml:space="preserve">: If a SNP is under strong</w:t>
          </w:r>
          <w:r>
            <w:t xml:space="preserve"> </w:t>
          </w:r>
          <w:r>
            <w:rPr>
              <w:b/>
              <w:bCs/>
            </w:rPr>
            <w:t xml:space="preserve">natural selection</w:t>
          </w:r>
          <w:r>
            <w:t xml:space="preserve">, such as SNPs involved in the HLA genes, they are likely to deviate from HWE due to balancing selection. If the SNP is biologically important, don’t exclude it blindly!! Alternative: compute the SNP score.</w:t>
          </w:r>
        </w:t>
      </w:r>
    </w:p>
    <w:p>
      <w:pPr>
        <w:numPr>
          <w:ilvl w:val="0"/>
          <w:numId w:val="1012"/>
        </w:numPr>
      </w:pPr>
      <w:r>
        <w:rPr>
          <w:b/>
          <w:bCs/>
        </w:rPr>
        <w:t xml:space="preserve">Bash command</w:t>
      </w:r>
      <w:r>
        <w:t xml:space="preserve">:</w:t>
      </w:r>
    </w:p>
    <w:p>
      <w:pPr>
        <w:pStyle w:val="SourceCode"/>
      </w:pPr>
      <w:r>
        <w:rPr>
          <w:rStyle w:val="ExtensionTok"/>
        </w:rPr>
        <w:t xml:space="preserve">plink2</w:t>
      </w:r>
      <w:r>
        <w:rPr>
          <w:rStyle w:val="NormalTok"/>
        </w:rPr>
        <w:t xml:space="preserve"> </w:t>
      </w:r>
      <w:r>
        <w:rPr>
          <w:rStyle w:val="DataTypeTok"/>
        </w:rPr>
        <w:t xml:space="preserve">\</w:t>
      </w:r>
      <w:r>
        <w:br/>
      </w:r>
      <w:r>
        <w:rPr>
          <w:rStyle w:val="NormalTok"/>
        </w:rPr>
        <w:t xml:space="preserve">  </w:t>
      </w:r>
      <w:r>
        <w:rPr>
          <w:rStyle w:val="AttributeTok"/>
        </w:rPr>
        <w:t xml:space="preserve">--bfile</w:t>
      </w:r>
      <w:r>
        <w:rPr>
          <w:rStyle w:val="NormalTok"/>
        </w:rPr>
        <w:t xml:space="preserve"> /mnt/projects_tn01/Cartagene/analyses/QC/eur_only/merge_5_datasets.eur_only.geno095 </w:t>
      </w:r>
      <w:r>
        <w:rPr>
          <w:rStyle w:val="DataTypeTok"/>
        </w:rPr>
        <w:t xml:space="preserve">\</w:t>
      </w:r>
      <w:r>
        <w:br/>
      </w:r>
      <w:r>
        <w:rPr>
          <w:rStyle w:val="NormalTok"/>
        </w:rPr>
        <w:t xml:space="preserve">  </w:t>
      </w:r>
      <w:r>
        <w:rPr>
          <w:rStyle w:val="AttributeTok"/>
        </w:rPr>
        <w:t xml:space="preserve">--hwe</w:t>
      </w:r>
      <w:r>
        <w:rPr>
          <w:rStyle w:val="NormalTok"/>
        </w:rPr>
        <w:t xml:space="preserve"> 1e-6 </w:t>
      </w:r>
      <w:r>
        <w:rPr>
          <w:rStyle w:val="DataTypeTok"/>
        </w:rPr>
        <w:t xml:space="preserve">\</w:t>
      </w:r>
      <w:r>
        <w:br/>
      </w:r>
      <w:r>
        <w:rPr>
          <w:rStyle w:val="NormalTok"/>
        </w:rPr>
        <w:t xml:space="preserve">  </w:t>
      </w:r>
      <w:r>
        <w:rPr>
          <w:rStyle w:val="AttributeTok"/>
        </w:rPr>
        <w:t xml:space="preserve">--make-bed</w:t>
      </w:r>
      <w:r>
        <w:rPr>
          <w:rStyle w:val="NormalTok"/>
        </w:rPr>
        <w:t xml:space="preserve"> </w:t>
      </w:r>
      <w:r>
        <w:rPr>
          <w:rStyle w:val="DataTypeTok"/>
        </w:rPr>
        <w:t xml:space="preserve">\</w:t>
      </w:r>
      <w:r>
        <w:br/>
      </w:r>
      <w:r>
        <w:rPr>
          <w:rStyle w:val="NormalTok"/>
        </w:rPr>
        <w:t xml:space="preserve">  </w:t>
      </w:r>
      <w:r>
        <w:rPr>
          <w:rStyle w:val="AttributeTok"/>
        </w:rPr>
        <w:t xml:space="preserve">--out</w:t>
      </w:r>
      <w:r>
        <w:rPr>
          <w:rStyle w:val="NormalTok"/>
        </w:rPr>
        <w:t xml:space="preserve"> /mnt/projects_tn01/Cartagene/analyses/QC/eur_only/merge_5_datasets.eur_only.geno095.hwe1e06</w:t>
      </w:r>
    </w:p>
    <w:bookmarkEnd w:id="52"/>
    <w:bookmarkStart w:id="57" w:name="sec-LD"/>
    <w:p>
      <w:pPr>
        <w:pStyle w:val="Heading5"/>
      </w:pPr>
      <w:r>
        <w:t xml:space="preserve">1.3.2.2.3 iii) Linkage Disequilibrium</w:t>
      </w:r>
    </w:p>
    <w:bookmarkStart w:id="53" w:name="sec-local-LD"/>
    <w:p>
      <w:pPr>
        <w:pStyle w:val="Heading6"/>
      </w:pPr>
      <w:r>
        <w:t xml:space="preserve">1.3.2.2.3.1 Local LD analysis</w:t>
      </w:r>
    </w:p>
    <w:p>
      <w:pPr>
        <w:numPr>
          <w:ilvl w:val="0"/>
          <w:numId w:val="1014"/>
        </w:numPr>
      </w:pPr>
      <w:r>
        <w:rPr>
          <w:b/>
          <w:bCs/>
        </w:rPr>
        <w:t xml:space="preserve">Inputs</w:t>
      </w:r>
      <w:r>
        <w:t xml:space="preserve">:</w:t>
      </w:r>
    </w:p>
    <w:p>
      <w:pPr>
        <w:pStyle w:val="Compact"/>
        <w:numPr>
          <w:ilvl w:val="1"/>
          <w:numId w:val="1015"/>
        </w:numPr>
      </w:pPr>
      <w:r>
        <w:rPr>
          <w:b/>
          <w:bCs/>
        </w:rPr>
        <w:t xml:space="preserve">BIM/BED/FAM/hh (Homozygous-Haplotype)</w:t>
      </w:r>
      <w:r>
        <w:t xml:space="preserve"> </w:t>
      </w:r>
      <w:r>
        <w:t xml:space="preserve">files</w:t>
      </w:r>
      <w:r>
        <w:t xml:space="preserve"> </w:t>
      </w:r>
      <w:r>
        <w:rPr>
          <w:rStyle w:val="VerbatimChar"/>
        </w:rPr>
        <w:t xml:space="preserve">/merge_5_datasets.eur_only.geno095.hwe1e0</w:t>
      </w:r>
      <w:r>
        <w:t xml:space="preserve"> </w:t>
      </w:r>
      <w:r>
        <w:t xml:space="preserve">generated from previous HWD SNP trimming, see</w:t>
      </w:r>
      <w:r>
        <w:t xml:space="preserve"> </w:t>
      </w:r>
      <w:hyperlink w:anchor="sec-HWD">
        <w:r>
          <w:rPr>
            <w:rStyle w:val="Hyperlink"/>
          </w:rPr>
          <w:t xml:space="preserve">Section 1.3.2.2.2</w:t>
        </w:r>
      </w:hyperlink>
      <w:r>
        <w:t xml:space="preserve">.</w:t>
      </w:r>
    </w:p>
    <w:p>
      <w:pPr>
        <w:numPr>
          <w:ilvl w:val="0"/>
          <w:numId w:val="1014"/>
        </w:numPr>
      </w:pPr>
      <w:r>
        <w:rPr>
          <w:b/>
          <w:bCs/>
        </w:rPr>
        <w:t xml:space="preserve">Objective</w:t>
      </w:r>
      <w:r>
        <w:t xml:space="preserve">: Remove SNPs variants associated with strong</w:t>
      </w:r>
      <w:r>
        <w:t xml:space="preserve"> </w:t>
      </w:r>
      <w:r>
        <w:rPr>
          <w:b/>
          <w:bCs/>
        </w:rPr>
        <w:t xml:space="preserve">linkage disequilibrium</w:t>
      </w:r>
      <w:r>
        <w:t xml:space="preserve">. In an ideal population under random mating, allele combinations should be independent (</w:t>
      </w:r>
      <m:oMath>
        <m:sSup>
          <m:e>
            <m:r>
              <m:t>r</m:t>
            </m:r>
          </m:e>
          <m:sup>
            <m:r>
              <m:t>2</m:t>
            </m:r>
          </m:sup>
        </m:sSup>
        <m:r>
          <m:rPr>
            <m:sty m:val="p"/>
          </m:rPr>
          <m:t>=</m:t>
        </m:r>
        <m:r>
          <m:t>0</m:t>
        </m:r>
      </m:oMath>
      <w:r>
        <w:t xml:space="preserve">). However, due to factors such as genetic drift, or physical proximity, certain alleles tend to be inherited together more often than expected. In GWAS, LD pruning avoids</w:t>
      </w:r>
      <w:r>
        <w:t xml:space="preserve"> </w:t>
      </w:r>
      <w:r>
        <w:rPr>
          <w:b/>
          <w:bCs/>
        </w:rPr>
        <w:t xml:space="preserve">overfitting</w:t>
      </w:r>
      <w:r>
        <w:t xml:space="preserve"> </w:t>
      </w:r>
      <w:r>
        <w:t xml:space="preserve">(SNPs in high LD carry redundant information), avoiding spurious inflation of GWAS association signals.</w:t>
      </w:r>
    </w:p>
    <w:p>
      <w:pPr>
        <w:numPr>
          <w:ilvl w:val="0"/>
          <w:numId w:val="1014"/>
        </w:numPr>
      </w:pPr>
      <w:r>
        <w:rPr>
          <w:color w:val="red"/>
        </w:rPr>
        <w:t>
          <w:r>
            <w:rPr>
              <w:b/>
              <w:bCs/>
            </w:rPr>
            <w:t xml:space="preserve">Remark</w:t>
          </w:r>
          <w:r>
            <w:t xml:space="preserve">: Report the Number of SNPs Before and After Pruning, usually more stringent</w:t>
          </w:r>
          <w:r>
            <w:t xml:space="preserve"> </w:t>
          </w:r>
          <m:oMath>
            <m:sSup>
              <m:e>
                <m:r>
                  <m:t>R</m:t>
                </m:r>
              </m:e>
              <m:sup>
                <m:r>
                  <m:t>2</m:t>
                </m:r>
              </m:sup>
            </m:sSup>
          </m:oMath>
          <w:r>
            <w:t xml:space="preserve"> </w:t>
          </w:r>
          <w:r>
            <w:t xml:space="preserve">is considered.</w:t>
          </w:r>
        </w:t>
      </w:r>
    </w:p>
    <w:p>
      <w:pPr>
        <w:numPr>
          <w:ilvl w:val="0"/>
          <w:numId w:val="1014"/>
        </w:numPr>
      </w:pPr>
      <w:r>
        <w:rPr>
          <w:b/>
          <w:bCs/>
        </w:rPr>
        <w:t xml:space="preserve">Tool</w:t>
      </w:r>
      <w:r>
        <w:t xml:space="preserve">:</w:t>
      </w:r>
      <w:r>
        <w:t xml:space="preserve"> </w:t>
      </w:r>
      <w:r>
        <w:rPr>
          <w:rStyle w:val="VerbatimChar"/>
        </w:rPr>
        <w:t xml:space="preserve">plink --indep-pairwise 50 5 0.5</w:t>
      </w:r>
      <w:r>
        <w:t xml:space="preserve"> </w:t>
      </w:r>
      <w:r>
        <w:t xml:space="preserve">will discard SNPs with a correlation coefficient above</w:t>
      </w:r>
      <w:r>
        <w:t xml:space="preserve"> </w:t>
      </w:r>
      <m:oMath>
        <m:r>
          <m:t>0.5</m:t>
        </m:r>
      </m:oMath>
      <w:r>
        <w:t xml:space="preserve"> </w:t>
      </w:r>
      <w:r>
        <w:t xml:space="preserve">(given that a</w:t>
      </w:r>
      <w:r>
        <w:t xml:space="preserve"> </w:t>
      </w:r>
      <m:oMath>
        <m:sSup>
          <m:e>
            <m:r>
              <m:t>R</m:t>
            </m:r>
          </m:e>
          <m:sup>
            <m:r>
              <m:t>2</m:t>
            </m:r>
          </m:sup>
        </m:sSup>
      </m:oMath>
      <w:r>
        <w:t xml:space="preserve"> </w:t>
      </w:r>
      <w:r>
        <w:t xml:space="preserve">score of 1 indicates a perfect correlation), on a</w:t>
      </w:r>
      <w:r>
        <w:t xml:space="preserve"> </w:t>
      </w:r>
      <w:r>
        <w:rPr>
          <w:i/>
          <w:iCs/>
        </w:rPr>
        <w:t xml:space="preserve">rolling window</w:t>
      </w:r>
      <w:r>
        <w:t xml:space="preserve"> </w:t>
      </w:r>
      <w:r>
        <w:t xml:space="preserve">of</w:t>
      </w:r>
      <w:r>
        <w:t xml:space="preserve"> </w:t>
      </w:r>
      <m:oMath>
        <m:r>
          <m:t>50</m:t>
        </m:r>
      </m:oMath>
      <w:r>
        <w:t xml:space="preserve"> </w:t>
      </w:r>
      <w:r>
        <w:t xml:space="preserve">SNPs (focus on local zones) and step</w:t>
      </w:r>
      <w:r>
        <w:t xml:space="preserve"> </w:t>
      </w:r>
      <m:oMath>
        <m:r>
          <m:t>5</m:t>
        </m:r>
      </m:oMath>
      <w:r>
        <w:t xml:space="preserve"> </w:t>
      </w:r>
      <w:r>
        <w:t xml:space="preserve">by</w:t>
      </w:r>
      <w:r>
        <w:t xml:space="preserve"> </w:t>
      </w:r>
      <m:oMath>
        <m:r>
          <m:t>5</m:t>
        </m:r>
      </m:oMath>
      <w:r>
        <w:t xml:space="preserve">.</w:t>
      </w:r>
    </w:p>
    <w:p>
      <w:pPr>
        <w:numPr>
          <w:ilvl w:val="0"/>
          <w:numId w:val="1014"/>
        </w:numPr>
      </w:pPr>
      <w:r>
        <w:rPr>
          <w:b/>
          <w:bCs/>
        </w:rPr>
        <w:t xml:space="preserve">Bash command</w:t>
      </w:r>
      <w:r>
        <w:t xml:space="preserve">:</w:t>
      </w:r>
    </w:p>
    <w:p>
      <w:pPr>
        <w:pStyle w:val="SourceCode"/>
      </w:pPr>
      <w:r>
        <w:rPr>
          <w:rStyle w:val="CommentTok"/>
        </w:rPr>
        <w:t xml:space="preserve">## identify SNPs with low LD</w:t>
      </w:r>
      <w:r>
        <w:br/>
      </w:r>
      <w:r>
        <w:rPr>
          <w:rStyle w:val="ExtensionTok"/>
        </w:rPr>
        <w:t xml:space="preserve">plink2</w:t>
      </w:r>
      <w:r>
        <w:rPr>
          <w:rStyle w:val="NormalTok"/>
        </w:rPr>
        <w:t xml:space="preserve"> </w:t>
      </w:r>
      <w:r>
        <w:rPr>
          <w:rStyle w:val="DataTypeTok"/>
        </w:rPr>
        <w:t xml:space="preserve">\</w:t>
      </w:r>
      <w:r>
        <w:br/>
      </w:r>
      <w:r>
        <w:rPr>
          <w:rStyle w:val="NormalTok"/>
        </w:rPr>
        <w:t xml:space="preserve">  </w:t>
      </w:r>
      <w:r>
        <w:rPr>
          <w:rStyle w:val="AttributeTok"/>
        </w:rPr>
        <w:t xml:space="preserve">--bfile</w:t>
      </w:r>
      <w:r>
        <w:rPr>
          <w:rStyle w:val="NormalTok"/>
        </w:rPr>
        <w:t xml:space="preserve"> /mnt/projects_tn01/Cartagene/analyses/QC/eur_only/merge_5_datasets.eur_only.geno095.hwe1e06 </w:t>
      </w:r>
      <w:r>
        <w:rPr>
          <w:rStyle w:val="DataTypeTok"/>
        </w:rPr>
        <w:t xml:space="preserve">\</w:t>
      </w:r>
      <w:r>
        <w:br/>
      </w:r>
      <w:r>
        <w:rPr>
          <w:rStyle w:val="NormalTok"/>
        </w:rPr>
        <w:t xml:space="preserve">  </w:t>
      </w:r>
      <w:r>
        <w:rPr>
          <w:rStyle w:val="AttributeTok"/>
        </w:rPr>
        <w:t xml:space="preserve">--indep-pairwise</w:t>
      </w:r>
      <w:r>
        <w:rPr>
          <w:rStyle w:val="NormalTok"/>
        </w:rPr>
        <w:t xml:space="preserve"> 50 5 0.5 </w:t>
      </w:r>
      <w:r>
        <w:rPr>
          <w:rStyle w:val="DataTypeTok"/>
        </w:rPr>
        <w:t xml:space="preserve">\</w:t>
      </w:r>
      <w:r>
        <w:br/>
      </w:r>
      <w:r>
        <w:rPr>
          <w:rStyle w:val="NormalTok"/>
        </w:rPr>
        <w:t xml:space="preserve">  </w:t>
      </w:r>
      <w:r>
        <w:rPr>
          <w:rStyle w:val="AttributeTok"/>
        </w:rPr>
        <w:t xml:space="preserve">--out</w:t>
      </w:r>
      <w:r>
        <w:rPr>
          <w:rStyle w:val="NormalTok"/>
        </w:rPr>
        <w:t xml:space="preserve"> /mnt/projects_tn01/Cartagene/analyses/QC/eur_only/merge_5_datasets.eur_only.geno095.hwe1e06.pruned_snps</w:t>
      </w:r>
      <w:r>
        <w:br/>
      </w:r>
      <w:r>
        <w:rPr>
          <w:rStyle w:val="NormalTok"/>
        </w:rPr>
        <w:t xml:space="preserve">  </w:t>
      </w:r>
      <w:r>
        <w:br/>
      </w:r>
      <w:r>
        <w:rPr>
          <w:rStyle w:val="CommentTok"/>
        </w:rPr>
        <w:t xml:space="preserve">## save pruned SNPs associated with low LD</w:t>
      </w:r>
      <w:r>
        <w:br/>
      </w:r>
      <w:r>
        <w:rPr>
          <w:rStyle w:val="ExtensionTok"/>
        </w:rPr>
        <w:t xml:space="preserve">plink2</w:t>
      </w:r>
      <w:r>
        <w:rPr>
          <w:rStyle w:val="NormalTok"/>
        </w:rPr>
        <w:t xml:space="preserve"> </w:t>
      </w:r>
      <w:r>
        <w:rPr>
          <w:rStyle w:val="DataTypeTok"/>
        </w:rPr>
        <w:t xml:space="preserve">\</w:t>
      </w:r>
      <w:r>
        <w:br/>
      </w:r>
      <w:r>
        <w:rPr>
          <w:rStyle w:val="NormalTok"/>
        </w:rPr>
        <w:t xml:space="preserve">  </w:t>
      </w:r>
      <w:r>
        <w:rPr>
          <w:rStyle w:val="AttributeTok"/>
        </w:rPr>
        <w:t xml:space="preserve">--bfile</w:t>
      </w:r>
      <w:r>
        <w:rPr>
          <w:rStyle w:val="NormalTok"/>
        </w:rPr>
        <w:t xml:space="preserve"> /mnt/projects_tn01/Cartagene/analyses/QC/eur_only/merge_5_datasets.eur_only.geno095.hwe1e06 </w:t>
      </w:r>
      <w:r>
        <w:rPr>
          <w:rStyle w:val="DataTypeTok"/>
        </w:rPr>
        <w:t xml:space="preserve">\</w:t>
      </w:r>
      <w:r>
        <w:br/>
      </w:r>
      <w:r>
        <w:rPr>
          <w:rStyle w:val="NormalTok"/>
        </w:rPr>
        <w:t xml:space="preserve">  </w:t>
      </w:r>
      <w:r>
        <w:rPr>
          <w:rStyle w:val="AttributeTok"/>
        </w:rPr>
        <w:t xml:space="preserve">--extract</w:t>
      </w:r>
      <w:r>
        <w:rPr>
          <w:rStyle w:val="NormalTok"/>
        </w:rPr>
        <w:t xml:space="preserve"> /mnt/projects_tn01/Cartagene/analyses/QC/eur_only/merge_5_datasets.eur_only.geno095.hwe1e06.pruned_snps.prune.in </w:t>
      </w:r>
      <w:r>
        <w:rPr>
          <w:rStyle w:val="DataTypeTok"/>
        </w:rPr>
        <w:t xml:space="preserve">\</w:t>
      </w:r>
      <w:r>
        <w:br/>
      </w:r>
      <w:r>
        <w:rPr>
          <w:rStyle w:val="NormalTok"/>
        </w:rPr>
        <w:t xml:space="preserve">  </w:t>
      </w:r>
      <w:r>
        <w:rPr>
          <w:rStyle w:val="AttributeTok"/>
        </w:rPr>
        <w:t xml:space="preserve">--make-bed</w:t>
      </w:r>
      <w:r>
        <w:rPr>
          <w:rStyle w:val="NormalTok"/>
        </w:rPr>
        <w:t xml:space="preserve"> </w:t>
      </w:r>
      <w:r>
        <w:rPr>
          <w:rStyle w:val="DataTypeTok"/>
        </w:rPr>
        <w:t xml:space="preserve">\</w:t>
      </w:r>
      <w:r>
        <w:br/>
      </w:r>
      <w:r>
        <w:rPr>
          <w:rStyle w:val="NormalTok"/>
        </w:rPr>
        <w:t xml:space="preserve">  </w:t>
      </w:r>
      <w:r>
        <w:rPr>
          <w:rStyle w:val="AttributeTok"/>
        </w:rPr>
        <w:t xml:space="preserve">--out</w:t>
      </w:r>
      <w:r>
        <w:rPr>
          <w:rStyle w:val="NormalTok"/>
        </w:rPr>
        <w:t xml:space="preserve"> /mnt/projects_tn01/Cartagene/analyses/QC/eur_only/merge_5_datasets.eur_only.geno095.hwe1e06.pruned_snps_bfile</w:t>
      </w:r>
    </w:p>
    <w:bookmarkEnd w:id="53"/>
    <w:bookmarkStart w:id="56" w:name="sec-global-LD"/>
    <w:p>
      <w:pPr>
        <w:pStyle w:val="Heading6"/>
      </w:pPr>
      <w:r>
        <w:t xml:space="preserve">1.3.2.2.3.2 Global LD analysis from prior expert knowledge</w:t>
      </w:r>
    </w:p>
    <w:p>
      <w:pPr>
        <w:numPr>
          <w:ilvl w:val="0"/>
          <w:numId w:val="1016"/>
        </w:numPr>
      </w:pPr>
      <w:r>
        <w:rPr>
          <w:b/>
          <w:bCs/>
        </w:rPr>
        <w:t xml:space="preserve">Inputs</w:t>
      </w:r>
      <w:r>
        <w:t xml:space="preserve">:</w:t>
      </w:r>
    </w:p>
    <w:p>
      <w:pPr>
        <w:pStyle w:val="Compact"/>
        <w:numPr>
          <w:ilvl w:val="1"/>
          <w:numId w:val="1017"/>
        </w:numPr>
      </w:pPr>
      <w:r>
        <w:rPr>
          <w:b/>
          <w:bCs/>
        </w:rPr>
        <w:t xml:space="preserve">BIM/BED/FAM/hh (Homozygous-Haplotype)</w:t>
      </w:r>
      <w:r>
        <w:t xml:space="preserve"> </w:t>
      </w:r>
      <w:r>
        <w:t xml:space="preserve">files</w:t>
      </w:r>
      <w:r>
        <w:t xml:space="preserve"> </w:t>
      </w:r>
      <w:r>
        <w:rPr>
          <w:rStyle w:val="VerbatimChar"/>
        </w:rPr>
        <w:t xml:space="preserve">merge_5_datasets.eur_only.geno095.hwe1e06.pruned_snps_bfile</w:t>
      </w:r>
      <w:r>
        <w:t xml:space="preserve"> </w:t>
      </w:r>
      <w:r>
        <w:t xml:space="preserve">generated from previous local LD trimming, see</w:t>
      </w:r>
      <w:r>
        <w:t xml:space="preserve"> </w:t>
      </w:r>
      <w:hyperlink w:anchor="sec-local-LD">
        <w:r>
          <w:rPr>
            <w:rStyle w:val="Hyperlink"/>
          </w:rPr>
          <w:t xml:space="preserve">Section 1.3.2.2.3.1</w:t>
        </w:r>
      </w:hyperlink>
      <w:r>
        <w:t xml:space="preserve">.</w:t>
      </w:r>
    </w:p>
    <w:p>
      <w:pPr>
        <w:numPr>
          <w:ilvl w:val="0"/>
          <w:numId w:val="1016"/>
        </w:numPr>
      </w:pPr>
      <w:r>
        <w:rPr>
          <w:b/>
          <w:bCs/>
        </w:rPr>
        <w:t xml:space="preserve">Objective</w:t>
      </w:r>
      <w:r>
        <w:t xml:space="preserve">: Remove SNPs variants associated with strong</w:t>
      </w:r>
      <w:r>
        <w:t xml:space="preserve"> </w:t>
      </w:r>
      <w:r>
        <w:rPr>
          <w:b/>
          <w:bCs/>
        </w:rPr>
        <w:t xml:space="preserve">linkage disequilibrium</w:t>
      </w:r>
      <w:r>
        <w:t xml:space="preserve"> </w:t>
      </w:r>
      <w:r>
        <w:t xml:space="preserve">using prior expert knowledge, see</w:t>
      </w:r>
      <w:r>
        <w:t xml:space="preserve"> </w:t>
      </w:r>
      <w:hyperlink r:id="rId54">
        <w:r>
          <w:rPr>
            <w:rStyle w:val="Hyperlink"/>
          </w:rPr>
          <w:t xml:space="preserve">here</w:t>
        </w:r>
      </w:hyperlink>
      <w:r>
        <w:t xml:space="preserve"> </w:t>
      </w:r>
      <w:r>
        <w:t xml:space="preserve">for details.</w:t>
      </w:r>
      <w:r>
        <w:rPr>
          <w:rStyle w:val="FootnoteReference"/>
        </w:rPr>
        <w:footnoteReference w:id="55"/>
      </w:r>
    </w:p>
    <w:p>
      <w:pPr>
        <w:pStyle w:val="Compact"/>
        <w:numPr>
          <w:ilvl w:val="0"/>
          <w:numId w:val="1018"/>
        </w:numPr>
      </w:pPr>
      <w:r>
        <w:rPr>
          <w:b/>
          <w:bCs/>
        </w:rPr>
        <w:t xml:space="preserve">Bash command</w:t>
      </w:r>
      <w:r>
        <w:t xml:space="preserve">:</w:t>
      </w:r>
    </w:p>
    <w:p>
      <w:pPr>
        <w:pStyle w:val="SourceCode"/>
      </w:pPr>
      <w:r>
        <w:br/>
      </w:r>
      <w:r>
        <w:rPr>
          <w:rStyle w:val="ExtensionTok"/>
        </w:rPr>
        <w:t xml:space="preserve">plink2</w:t>
      </w:r>
      <w:r>
        <w:rPr>
          <w:rStyle w:val="NormalTok"/>
        </w:rPr>
        <w:t xml:space="preserve"> </w:t>
      </w:r>
      <w:r>
        <w:rPr>
          <w:rStyle w:val="DataTypeTok"/>
        </w:rPr>
        <w:t xml:space="preserve">\</w:t>
      </w:r>
      <w:r>
        <w:br/>
      </w:r>
      <w:r>
        <w:rPr>
          <w:rStyle w:val="NormalTok"/>
        </w:rPr>
        <w:t xml:space="preserve">  </w:t>
      </w:r>
      <w:r>
        <w:rPr>
          <w:rStyle w:val="AttributeTok"/>
        </w:rPr>
        <w:t xml:space="preserve">--bfile</w:t>
      </w:r>
      <w:r>
        <w:rPr>
          <w:rStyle w:val="NormalTok"/>
        </w:rPr>
        <w:t xml:space="preserve"> /mnt/projects_tn01/Cartagene/analyses/QC/eur_only/merge_5_datasets.eur_only.geno095.hwe1e06.pruned_snps_bfile </w:t>
      </w:r>
      <w:r>
        <w:rPr>
          <w:rStyle w:val="DataTypeTok"/>
        </w:rPr>
        <w:t xml:space="preserve">\</w:t>
      </w:r>
      <w:r>
        <w:br/>
      </w:r>
      <w:r>
        <w:rPr>
          <w:rStyle w:val="NormalTok"/>
        </w:rPr>
        <w:t xml:space="preserve">  </w:t>
      </w:r>
      <w:r>
        <w:rPr>
          <w:rStyle w:val="AttributeTok"/>
        </w:rPr>
        <w:t xml:space="preserve">--exclude</w:t>
      </w:r>
      <w:r>
        <w:rPr>
          <w:rStyle w:val="NormalTok"/>
        </w:rPr>
        <w:t xml:space="preserve"> range /mnt/projects_tn01/Cartagene/analyses/QC/high_ld_regions.plink_format.txt </w:t>
      </w:r>
      <w:r>
        <w:rPr>
          <w:rStyle w:val="DataTypeTok"/>
        </w:rPr>
        <w:t xml:space="preserve">\</w:t>
      </w:r>
      <w:r>
        <w:br/>
      </w:r>
      <w:r>
        <w:rPr>
          <w:rStyle w:val="NormalTok"/>
        </w:rPr>
        <w:t xml:space="preserve">  </w:t>
      </w:r>
      <w:r>
        <w:rPr>
          <w:rStyle w:val="AttributeTok"/>
        </w:rPr>
        <w:t xml:space="preserve">--make-bed</w:t>
      </w:r>
      <w:r>
        <w:rPr>
          <w:rStyle w:val="NormalTok"/>
        </w:rPr>
        <w:t xml:space="preserve"> </w:t>
      </w:r>
      <w:r>
        <w:rPr>
          <w:rStyle w:val="DataTypeTok"/>
        </w:rPr>
        <w:t xml:space="preserve">\</w:t>
      </w:r>
      <w:r>
        <w:br/>
      </w:r>
      <w:r>
        <w:rPr>
          <w:rStyle w:val="NormalTok"/>
        </w:rPr>
        <w:t xml:space="preserve">  </w:t>
      </w:r>
      <w:r>
        <w:rPr>
          <w:rStyle w:val="AttributeTok"/>
        </w:rPr>
        <w:t xml:space="preserve">--out</w:t>
      </w:r>
      <w:r>
        <w:rPr>
          <w:rStyle w:val="NormalTok"/>
        </w:rPr>
        <w:t xml:space="preserve"> /mnt/projects_tn01/Cartagene/analyses/QC/eur_only/merge_5_datasets.eur_only.geno095.hwe1e06.pruned_snps.high_LD_excluded</w:t>
      </w:r>
    </w:p>
    <w:bookmarkEnd w:id="56"/>
    <w:bookmarkEnd w:id="57"/>
    <w:bookmarkStart w:id="61" w:name="Xb387f7e0e89d602fd0bc6c18351207c8255c21c"/>
    <w:p>
      <w:pPr>
        <w:pStyle w:val="Heading5"/>
      </w:pPr>
      <w:r>
        <w:t xml:space="preserve">1.3.2.2.4 iv) Exclude affiliated individuals based on high IBD scores</w:t>
      </w:r>
    </w:p>
    <w:p>
      <w:pPr>
        <w:numPr>
          <w:ilvl w:val="0"/>
          <w:numId w:val="1019"/>
        </w:numPr>
      </w:pPr>
      <w:r>
        <w:rPr>
          <w:b/>
          <w:bCs/>
        </w:rPr>
        <w:t xml:space="preserve">Inputs</w:t>
      </w:r>
      <w:r>
        <w:t xml:space="preserve">:</w:t>
      </w:r>
    </w:p>
    <w:p>
      <w:pPr>
        <w:pStyle w:val="Compact"/>
        <w:numPr>
          <w:ilvl w:val="1"/>
          <w:numId w:val="1020"/>
        </w:numPr>
      </w:pPr>
      <w:r>
        <w:rPr>
          <w:b/>
          <w:bCs/>
        </w:rPr>
        <w:t xml:space="preserve">BIM/BED/FAM/hh (Homozygous-Haplotype)</w:t>
      </w:r>
      <w:r>
        <w:t xml:space="preserve"> </w:t>
      </w:r>
      <w:r>
        <w:t xml:space="preserve">files</w:t>
      </w:r>
      <w:r>
        <w:t xml:space="preserve"> </w:t>
      </w:r>
      <w:r>
        <w:rPr>
          <w:rStyle w:val="VerbatimChar"/>
        </w:rPr>
        <w:t xml:space="preserve">merge_5_datasets.eur_only.geno095.hwe1e06.pruned_snps_bfile</w:t>
      </w:r>
      <w:r>
        <w:t xml:space="preserve"> </w:t>
      </w:r>
      <w:r>
        <w:t xml:space="preserve">generated from previous local LD trimming, see</w:t>
      </w:r>
      <w:r>
        <w:t xml:space="preserve"> </w:t>
      </w:r>
      <w:hyperlink w:anchor="sec-local-LD">
        <w:r>
          <w:rPr>
            <w:rStyle w:val="Hyperlink"/>
          </w:rPr>
          <w:t xml:space="preserve">Section 1.3.2.2.3.1</w:t>
        </w:r>
      </w:hyperlink>
      <w:r>
        <w:t xml:space="preserve">.</w:t>
      </w:r>
    </w:p>
    <w:p>
      <w:pPr>
        <w:numPr>
          <w:ilvl w:val="0"/>
          <w:numId w:val="1019"/>
        </w:numPr>
      </w:pPr>
      <w:r>
        <w:rPr>
          <w:b/>
          <w:bCs/>
        </w:rPr>
        <w:t xml:space="preserve">Objective</w:t>
      </w:r>
      <w:r>
        <w:t xml:space="preserve">: Exclude related individuals computing</w:t>
      </w:r>
      <w:r>
        <w:t xml:space="preserve"> </w:t>
      </w:r>
      <w:r>
        <w:rPr>
          <w:b/>
          <w:bCs/>
        </w:rPr>
        <w:t xml:space="preserve">identity by descent</w:t>
      </w:r>
      <w:r>
        <w:t xml:space="preserve"> </w:t>
      </w:r>
      <w:r>
        <w:t xml:space="preserve">(IBD), a genetic metric of the relatedness between two individuals, and exclude one individual by pairs of individuals with a score above</w:t>
      </w:r>
      <w:r>
        <w:t xml:space="preserve"> </w:t>
      </w:r>
      <m:oMath>
        <m:r>
          <m:t>0.2</m:t>
        </m:r>
      </m:oMath>
      <w:r>
        <w:t xml:space="preserve">. Indeed, strongly associated patients increase bias in GWAS, raising a stronger score than expected in the general population, and prevents quality controls to detect duplicates or sample mix-ups.</w:t>
      </w:r>
    </w:p>
    <w:p>
      <w:pPr>
        <w:numPr>
          <w:ilvl w:val="0"/>
          <w:numId w:val="1019"/>
        </w:numPr>
      </w:pPr>
      <w:r>
        <w:rPr>
          <w:b/>
          <w:bCs/>
        </w:rPr>
        <w:t xml:space="preserve">Details</w:t>
      </w:r>
      <w:r>
        <w:t xml:space="preserve">: A two-step, more stringent IBD filtering strategy has been chosen, eliminating</w:t>
      </w:r>
      <w:r>
        <w:t xml:space="preserve"> </w:t>
      </w:r>
      <w:r>
        <w:rPr>
          <w:i/>
          <w:iCs/>
        </w:rPr>
        <w:t xml:space="preserve">first</w:t>
      </w:r>
      <w:r>
        <w:t xml:space="preserve"> </w:t>
      </w:r>
      <w:r>
        <w:t xml:space="preserve">the most problematic individuals, and the</w:t>
      </w:r>
      <w:r>
        <w:t xml:space="preserve"> </w:t>
      </w:r>
      <w:r>
        <w:rPr>
          <w:i/>
          <w:iCs/>
        </w:rPr>
        <w:t xml:space="preserve">second</w:t>
      </w:r>
      <w:r>
        <w:t xml:space="preserve"> </w:t>
      </w:r>
      <w:r>
        <w:t xml:space="preserve">ensuring the remaining related individuals are properly filtered (for each correlated pair, prune randomly one of them). The Bash instructions are reported</w:t>
      </w:r>
      <w:r>
        <w:t xml:space="preserve"> </w:t>
      </w:r>
      <w:hyperlink r:id="rId58">
        <w:r>
          <w:rPr>
            <w:rStyle w:val="Hyperlink"/>
          </w:rPr>
          <w:t xml:space="preserve">here</w:t>
        </w:r>
      </w:hyperlink>
      <w:r>
        <w:t xml:space="preserve">.</w:t>
      </w:r>
    </w:p>
    <w:p>
      <w:pPr>
        <w:numPr>
          <w:ilvl w:val="0"/>
          <w:numId w:val="1019"/>
        </w:numPr>
      </w:pPr>
      <w:r>
        <w:rPr>
          <w:color w:val="red"/>
        </w:rPr>
        <w:t>
          <w:r>
            <w:rPr>
              <w:b/>
              <w:bCs/>
            </w:rPr>
            <w:t xml:space="preserve">Remarks</w:t>
          </w:r>
          <w:r>
            <w:t xml:space="preserve">: Choice of a heuristic threshold of</w:t>
          </w:r>
          <w:r>
            <w:t xml:space="preserve"> </w:t>
          </w:r>
          <m:oMath>
            <m:r>
              <m:t>n</m:t>
            </m:r>
            <m:r>
              <m:rPr>
                <m:sty m:val="p"/>
              </m:rPr>
              <m:t>=</m:t>
            </m:r>
            <m:r>
              <m:t>68</m:t>
            </m:r>
          </m:oMath>
          <w:r>
            <w:t xml:space="preserve"> </w:t>
          </w:r>
          <w:r>
            <w:t xml:space="preserve">affiliated patients removal to be further discussed. Current score of</w:t>
          </w:r>
          <w:r>
            <w:t xml:space="preserve"> </w:t>
          </w:r>
          <w:r>
            <w:rPr>
              <w:rStyle w:val="VerbatimChar"/>
            </w:rPr>
            <w:t xml:space="preserve">PI_HAT</w:t>
          </w:r>
          <w:r>
            <w:t xml:space="preserve"> </w:t>
          </w:r>
          <w:r>
            <w:t xml:space="preserve">score of</w:t>
          </w:r>
          <w:r>
            <w:t xml:space="preserve"> </w:t>
          </w:r>
          <m:oMath>
            <m:r>
              <m:t>0.2</m:t>
            </m:r>
          </m:oMath>
          <w:r>
            <w:t xml:space="preserve"> </w:t>
          </w:r>
          <w:r>
            <w:t xml:space="preserve">is surprising, as common thresholds are either</w:t>
          </w:r>
          <w:r>
            <w:t xml:space="preserve"> </w:t>
          </w:r>
          <m:oMath>
            <m:r>
              <m:t>0.25</m:t>
            </m:r>
          </m:oMath>
          <w:r>
            <w:t xml:space="preserve"> </w:t>
          </w:r>
          <w:r>
            <w:t xml:space="preserve">for discarding grandparent-grandchild, or</w:t>
          </w:r>
          <w:r>
            <w:t xml:space="preserve"> </w:t>
          </w:r>
          <m:oMath>
            <m:r>
              <m:t>0.125</m:t>
            </m:r>
          </m:oMath>
          <w:r>
            <w:t xml:space="preserve"> </w:t>
          </w:r>
          <w:r>
            <w:t xml:space="preserve">or lower for only keeping the most distant relatives. Starting from</w:t>
          </w:r>
          <w:r>
            <w:t xml:space="preserve"> </w:t>
          </w:r>
          <w:r>
            <w:rPr>
              <w:rStyle w:val="VerbatimChar"/>
            </w:rPr>
            <w:t xml:space="preserve">PLINK 2.0</w:t>
          </w:r>
          <w:r>
            <w:t xml:space="preserve">, the recommended approach is now utilizing the</w:t>
          </w:r>
          <w:r>
            <w:t xml:space="preserve"> </w:t>
          </w:r>
          <w:r>
            <w:rPr>
              <w:rStyle w:val="VerbatimChar"/>
            </w:rPr>
            <w:t xml:space="preserve">--king-cutoff</w:t>
          </w:r>
          <w:r>
            <w:t xml:space="preserve"> </w:t>
          </w:r>
          <w:r>
            <w:t xml:space="preserve">command, over the older</w:t>
          </w:r>
          <w:r>
            <w:t xml:space="preserve"> </w:t>
          </w:r>
          <w:r>
            <w:rPr>
              <w:rStyle w:val="VerbatimChar"/>
            </w:rPr>
            <w:t xml:space="preserve">--rel-cutoff</w:t>
          </w:r>
          <w:r>
            <w:t xml:space="preserve"> </w:t>
          </w:r>
          <w:r>
            <w:t xml:space="preserve">and</w:t>
          </w:r>
          <w:r>
            <w:t xml:space="preserve"> </w:t>
          </w:r>
          <w:r>
            <w:rPr>
              <w:rStyle w:val="VerbatimChar"/>
            </w:rPr>
            <w:t xml:space="preserve">--genome --min</w:t>
          </w:r>
          <w:r>
            <w:t xml:space="preserve"> </w:t>
          </w:r>
          <w:r>
            <w:t xml:space="preserve">+ aggregates all subsequent steps simultaneously, especially in heterogeneous populations</w:t>
          </w:r>
        </w:t>
      </w:r>
      <w:r>
        <w:rPr>
          <w:rStyle w:val="FootnoteReference"/>
        </w:rPr>
        <w:footnoteReference w:id="59"/>
      </w:r>
      <w:r>
        <w:t xml:space="preserve">.</w:t>
      </w:r>
    </w:p>
    <w:p>
      <w:pPr>
        <w:numPr>
          <w:ilvl w:val="0"/>
          <w:numId w:val="1019"/>
        </w:numPr>
      </w:pPr>
      <w:r>
        <w:rPr>
          <w:b/>
          <w:bCs/>
        </w:rPr>
        <w:t xml:space="preserve">Bash command</w:t>
      </w:r>
      <w:r>
        <w:t xml:space="preserve">:</w:t>
      </w:r>
    </w:p>
    <w:p>
      <w:pPr>
        <w:pStyle w:val="SourceCode"/>
      </w:pPr>
      <w:r>
        <w:br/>
      </w:r>
      <w:r>
        <w:rPr>
          <w:rStyle w:val="CommentTok"/>
        </w:rPr>
        <w:t xml:space="preserve">## Calculate IBD, select individuals with IBD above 0.2 for further pruning</w:t>
      </w:r>
      <w:r>
        <w:br/>
      </w:r>
      <w:r>
        <w:br/>
      </w:r>
      <w:r>
        <w:rPr>
          <w:rStyle w:val="ExtensionTok"/>
        </w:rPr>
        <w:t xml:space="preserve">plink2</w:t>
      </w:r>
      <w:r>
        <w:rPr>
          <w:rStyle w:val="NormalTok"/>
        </w:rPr>
        <w:t xml:space="preserve"> </w:t>
      </w:r>
      <w:r>
        <w:rPr>
          <w:rStyle w:val="DataTypeTok"/>
        </w:rPr>
        <w:t xml:space="preserve">\</w:t>
      </w:r>
      <w:r>
        <w:br/>
      </w:r>
      <w:r>
        <w:rPr>
          <w:rStyle w:val="NormalTok"/>
        </w:rPr>
        <w:t xml:space="preserve">  </w:t>
      </w:r>
      <w:r>
        <w:rPr>
          <w:rStyle w:val="AttributeTok"/>
        </w:rPr>
        <w:t xml:space="preserve">--bfile</w:t>
      </w:r>
      <w:r>
        <w:rPr>
          <w:rStyle w:val="NormalTok"/>
        </w:rPr>
        <w:t xml:space="preserve"> /mnt/projects_tn01/Cartagene/analyses/QC/eur_only/merge_5_datasets.eur_only.geno095.hwe1e06.pruned_snps_bfile </w:t>
      </w:r>
      <w:r>
        <w:rPr>
          <w:rStyle w:val="DataTypeTok"/>
        </w:rPr>
        <w:t xml:space="preserve">\</w:t>
      </w:r>
      <w:r>
        <w:br/>
      </w:r>
      <w:r>
        <w:rPr>
          <w:rStyle w:val="NormalTok"/>
        </w:rPr>
        <w:t xml:space="preserve">  </w:t>
      </w:r>
      <w:r>
        <w:rPr>
          <w:rStyle w:val="AttributeTok"/>
        </w:rPr>
        <w:t xml:space="preserve">--genome</w:t>
      </w:r>
      <w:r>
        <w:rPr>
          <w:rStyle w:val="NormalTok"/>
        </w:rPr>
        <w:t xml:space="preserve"> </w:t>
      </w:r>
      <w:r>
        <w:rPr>
          <w:rStyle w:val="DataTypeTok"/>
        </w:rPr>
        <w:t xml:space="preserve">\</w:t>
      </w:r>
      <w:r>
        <w:br/>
      </w:r>
      <w:r>
        <w:rPr>
          <w:rStyle w:val="NormalTok"/>
        </w:rPr>
        <w:t xml:space="preserve">  </w:t>
      </w:r>
      <w:r>
        <w:rPr>
          <w:rStyle w:val="AttributeTok"/>
        </w:rPr>
        <w:t xml:space="preserve">--memory</w:t>
      </w:r>
      <w:r>
        <w:rPr>
          <w:rStyle w:val="NormalTok"/>
        </w:rPr>
        <w:t xml:space="preserve"> 12006 </w:t>
      </w:r>
      <w:r>
        <w:rPr>
          <w:rStyle w:val="DataTypeTok"/>
        </w:rPr>
        <w:t xml:space="preserve">\</w:t>
      </w:r>
      <w:r>
        <w:br/>
      </w:r>
      <w:r>
        <w:rPr>
          <w:rStyle w:val="NormalTok"/>
        </w:rPr>
        <w:t xml:space="preserve">  </w:t>
      </w:r>
      <w:r>
        <w:rPr>
          <w:rStyle w:val="AttributeTok"/>
        </w:rPr>
        <w:t xml:space="preserve">--min</w:t>
      </w:r>
      <w:r>
        <w:rPr>
          <w:rStyle w:val="NormalTok"/>
        </w:rPr>
        <w:t xml:space="preserve"> 0.2 </w:t>
      </w:r>
      <w:r>
        <w:rPr>
          <w:rStyle w:val="DataTypeTok"/>
        </w:rPr>
        <w:t xml:space="preserve">\</w:t>
      </w:r>
      <w:r>
        <w:br/>
      </w:r>
      <w:r>
        <w:rPr>
          <w:rStyle w:val="NormalTok"/>
        </w:rPr>
        <w:t xml:space="preserve">  </w:t>
      </w:r>
      <w:r>
        <w:rPr>
          <w:rStyle w:val="AttributeTok"/>
        </w:rPr>
        <w:t xml:space="preserve">--out</w:t>
      </w:r>
      <w:r>
        <w:rPr>
          <w:rStyle w:val="NormalTok"/>
        </w:rPr>
        <w:t xml:space="preserve"> /mnt/projects_tn01/Cartagene/analyses/QC/eur_only/merge_5_datasets.eur_only.geno095.hwe1e06.pruned_snps.IBD</w:t>
      </w:r>
      <w:r>
        <w:br/>
      </w:r>
      <w:r>
        <w:br/>
      </w:r>
      <w:r>
        <w:br/>
      </w:r>
      <w:r>
        <w:rPr>
          <w:rStyle w:val="CommentTok"/>
        </w:rPr>
        <w:t xml:space="preserve">## Remove related individuals, in a two-stage process</w:t>
      </w:r>
      <w:r>
        <w:br/>
      </w:r>
      <w:r>
        <w:br/>
      </w:r>
      <w:r>
        <w:rPr>
          <w:rStyle w:val="ExtensionTok"/>
        </w:rPr>
        <w:t xml:space="preserve">plink2</w:t>
      </w:r>
      <w:r>
        <w:rPr>
          <w:rStyle w:val="NormalTok"/>
        </w:rPr>
        <w:t xml:space="preserve"> </w:t>
      </w:r>
      <w:r>
        <w:rPr>
          <w:rStyle w:val="DataTypeTok"/>
        </w:rPr>
        <w:t xml:space="preserve">\</w:t>
      </w:r>
      <w:r>
        <w:br/>
      </w:r>
      <w:r>
        <w:rPr>
          <w:rStyle w:val="NormalTok"/>
        </w:rPr>
        <w:t xml:space="preserve">  </w:t>
      </w:r>
      <w:r>
        <w:rPr>
          <w:rStyle w:val="AttributeTok"/>
        </w:rPr>
        <w:t xml:space="preserve">--bfile</w:t>
      </w:r>
      <w:r>
        <w:rPr>
          <w:rStyle w:val="NormalTok"/>
        </w:rPr>
        <w:t xml:space="preserve"> /mnt/projects_tn01/Cartagene/analyses/QC/eur_only/merge_5_datasets.eur_only.geno095.hwe1e06.pruned_snps_bfile </w:t>
      </w:r>
      <w:r>
        <w:rPr>
          <w:rStyle w:val="DataTypeTok"/>
        </w:rPr>
        <w:t xml:space="preserve">\</w:t>
      </w:r>
      <w:r>
        <w:br/>
      </w:r>
      <w:r>
        <w:rPr>
          <w:rStyle w:val="NormalTok"/>
        </w:rPr>
        <w:t xml:space="preserve">  </w:t>
      </w:r>
      <w:r>
        <w:rPr>
          <w:rStyle w:val="AttributeTok"/>
        </w:rPr>
        <w:t xml:space="preserve">--make-bed</w:t>
      </w:r>
      <w:r>
        <w:rPr>
          <w:rStyle w:val="NormalTok"/>
        </w:rPr>
        <w:t xml:space="preserve"> </w:t>
      </w:r>
      <w:r>
        <w:rPr>
          <w:rStyle w:val="DataTypeTok"/>
        </w:rPr>
        <w:t xml:space="preserve">\</w:t>
      </w:r>
      <w:r>
        <w:br/>
      </w:r>
      <w:r>
        <w:rPr>
          <w:rStyle w:val="NormalTok"/>
        </w:rPr>
        <w:t xml:space="preserve">  </w:t>
      </w:r>
      <w:r>
        <w:rPr>
          <w:rStyle w:val="AttributeTok"/>
        </w:rPr>
        <w:t xml:space="preserve">--out</w:t>
      </w:r>
      <w:r>
        <w:rPr>
          <w:rStyle w:val="NormalTok"/>
        </w:rPr>
        <w:t xml:space="preserve"> /mnt/projects_tn01/Cartagene/analyses/QC/eur_only/merge_5_datasets.eur_only.geno095.hwe1e06.pruned_snps_bfile.rem_rel_ind_round_1_of_2 </w:t>
      </w:r>
      <w:r>
        <w:rPr>
          <w:rStyle w:val="DataTypeTok"/>
        </w:rPr>
        <w:t xml:space="preserve">\</w:t>
      </w:r>
      <w:r>
        <w:br/>
      </w:r>
      <w:r>
        <w:rPr>
          <w:rStyle w:val="NormalTok"/>
        </w:rPr>
        <w:t xml:space="preserve">  </w:t>
      </w:r>
      <w:r>
        <w:rPr>
          <w:rStyle w:val="AttributeTok"/>
        </w:rPr>
        <w:t xml:space="preserve">--remove</w:t>
      </w:r>
      <w:r>
        <w:rPr>
          <w:rStyle w:val="NormalTok"/>
        </w:rPr>
        <w:t xml:space="preserve"> /mnt/projects_tn01/Cartagene/analyses/QC/eur_only/related_ids/IBD.genome.iids.merged.sorted.count.reverse.ids_related_to_2_individuals.ids_only.FID_IID_format</w:t>
      </w:r>
      <w:r>
        <w:br/>
      </w:r>
      <w:r>
        <w:br/>
      </w:r>
      <w:r>
        <w:br/>
      </w:r>
      <w:r>
        <w:rPr>
          <w:rStyle w:val="ExtensionTok"/>
        </w:rPr>
        <w:t xml:space="preserve">plink2</w:t>
      </w:r>
      <w:r>
        <w:rPr>
          <w:rStyle w:val="NormalTok"/>
        </w:rPr>
        <w:t xml:space="preserve"> </w:t>
      </w:r>
      <w:r>
        <w:rPr>
          <w:rStyle w:val="DataTypeTok"/>
        </w:rPr>
        <w:t xml:space="preserve">\</w:t>
      </w:r>
      <w:r>
        <w:br/>
      </w:r>
      <w:r>
        <w:rPr>
          <w:rStyle w:val="NormalTok"/>
        </w:rPr>
        <w:t xml:space="preserve">  </w:t>
      </w:r>
      <w:r>
        <w:rPr>
          <w:rStyle w:val="AttributeTok"/>
        </w:rPr>
        <w:t xml:space="preserve">--bfile</w:t>
      </w:r>
      <w:r>
        <w:rPr>
          <w:rStyle w:val="NormalTok"/>
        </w:rPr>
        <w:t xml:space="preserve"> /mnt/projects_tn01/Cartagene/analyses/QC/eur_only/merge_5_datasets.eur_only.geno095.hwe1e06.pruned_snps_bfile.rem_rel_ind_round_1_of_2 </w:t>
      </w:r>
      <w:r>
        <w:rPr>
          <w:rStyle w:val="DataTypeTok"/>
        </w:rPr>
        <w:t xml:space="preserve">\</w:t>
      </w:r>
      <w:r>
        <w:br/>
      </w:r>
      <w:r>
        <w:rPr>
          <w:rStyle w:val="NormalTok"/>
        </w:rPr>
        <w:t xml:space="preserve">  </w:t>
      </w:r>
      <w:r>
        <w:rPr>
          <w:rStyle w:val="AttributeTok"/>
        </w:rPr>
        <w:t xml:space="preserve">--make-bed</w:t>
      </w:r>
      <w:r>
        <w:rPr>
          <w:rStyle w:val="NormalTok"/>
        </w:rPr>
        <w:t xml:space="preserve"> </w:t>
      </w:r>
      <w:r>
        <w:rPr>
          <w:rStyle w:val="DataTypeTok"/>
        </w:rPr>
        <w:t xml:space="preserve">\</w:t>
      </w:r>
      <w:r>
        <w:br/>
      </w:r>
      <w:r>
        <w:rPr>
          <w:rStyle w:val="NormalTok"/>
        </w:rPr>
        <w:t xml:space="preserve">  </w:t>
      </w:r>
      <w:r>
        <w:rPr>
          <w:rStyle w:val="AttributeTok"/>
        </w:rPr>
        <w:t xml:space="preserve">--out</w:t>
      </w:r>
      <w:r>
        <w:rPr>
          <w:rStyle w:val="NormalTok"/>
        </w:rPr>
        <w:t xml:space="preserve"> /mnt/projects_tn01/Cartagene/analyses/QC/eur_only/merge_5_datasets.eur_only.geno095.hwe1e06.pruned_snps_bfile.rem_rel_ind_round_2_of_2 </w:t>
      </w:r>
      <w:r>
        <w:rPr>
          <w:rStyle w:val="DataTypeTok"/>
        </w:rPr>
        <w:t xml:space="preserve">\</w:t>
      </w:r>
      <w:r>
        <w:br/>
      </w:r>
      <w:r>
        <w:rPr>
          <w:rStyle w:val="NormalTok"/>
        </w:rPr>
        <w:t xml:space="preserve">  </w:t>
      </w:r>
      <w:r>
        <w:rPr>
          <w:rStyle w:val="AttributeTok"/>
        </w:rPr>
        <w:t xml:space="preserve">--remove</w:t>
      </w:r>
      <w:r>
        <w:rPr>
          <w:rStyle w:val="NormalTok"/>
        </w:rPr>
        <w:t xml:space="preserve"> /mnt/projects_tn01/Cartagene/analyses/QC/eur_only/related_ids/IBD.genome2.related_individuals_to_remove.txt </w:t>
      </w:r>
    </w:p>
    <w:bookmarkEnd w:id="61"/>
    <w:bookmarkEnd w:id="62"/>
    <w:bookmarkStart w:id="70" w:name="sec-PCA"/>
    <w:p>
      <w:pPr>
        <w:pStyle w:val="Heading4"/>
      </w:pPr>
      <w:r>
        <w:t xml:space="preserve">1.3.2.3 Step 3: PCA Computation and Population Genetic Evaluation</w:t>
      </w:r>
    </w:p>
    <w:p>
      <w:pPr>
        <w:numPr>
          <w:ilvl w:val="0"/>
          <w:numId w:val="1021"/>
        </w:numPr>
      </w:pPr>
      <w:r>
        <w:rPr>
          <w:b/>
          <w:bCs/>
        </w:rPr>
        <w:t xml:space="preserve">Inputs</w:t>
      </w:r>
      <w:r>
        <w:t xml:space="preserve">:</w:t>
      </w:r>
    </w:p>
    <w:p>
      <w:pPr>
        <w:pStyle w:val="Compact"/>
        <w:numPr>
          <w:ilvl w:val="1"/>
          <w:numId w:val="1022"/>
        </w:numPr>
      </w:pPr>
      <w:r>
        <w:rPr>
          <w:b/>
          <w:bCs/>
        </w:rPr>
        <w:t xml:space="preserve">BIM/BED/FAM/hh (Homozygous-Haplotype)</w:t>
      </w:r>
      <w:r>
        <w:t xml:space="preserve"> </w:t>
      </w:r>
      <w:r>
        <w:t xml:space="preserve">files</w:t>
      </w:r>
      <w:r>
        <w:t xml:space="preserve"> </w:t>
      </w:r>
      <w:r>
        <w:rPr>
          <w:rStyle w:val="VerbatimChar"/>
        </w:rPr>
        <w:t xml:space="preserve">merge_5_datasets.eur_only.geno095.hwe1e06.pruned_snps.high_LD_excluded</w:t>
      </w:r>
      <w:r>
        <w:t xml:space="preserve"> </w:t>
      </w:r>
      <w:r>
        <w:t xml:space="preserve">resulting from the pre-processing operations reported in</w:t>
      </w:r>
      <w:r>
        <w:t xml:space="preserve"> </w:t>
      </w:r>
      <w:hyperlink w:anchor="sec-preprocessing-redundancy">
        <w:r>
          <w:rPr>
            <w:rStyle w:val="Hyperlink"/>
          </w:rPr>
          <w:t xml:space="preserve">Section 1.3.2.2</w:t>
        </w:r>
      </w:hyperlink>
      <w:r>
        <w:t xml:space="preserve"> </w:t>
      </w:r>
      <w:r>
        <w:t xml:space="preserve">(LD, HWD and missing SNPs trimming)</w:t>
      </w:r>
    </w:p>
    <w:p>
      <w:pPr>
        <w:pStyle w:val="Compact"/>
        <w:numPr>
          <w:ilvl w:val="1"/>
          <w:numId w:val="1022"/>
        </w:numPr>
      </w:pPr>
      <w:r>
        <w:rPr>
          <w:b/>
          <w:bCs/>
        </w:rPr>
        <w:t xml:space="preserve">phenotype IDs</w:t>
      </w:r>
      <w:r>
        <w:t xml:space="preserve"> </w:t>
      </w:r>
      <w:r>
        <w:t xml:space="preserve">listed in</w:t>
      </w:r>
      <w:r>
        <w:t xml:space="preserve"> </w:t>
      </w:r>
      <w:r>
        <w:rPr>
          <w:rStyle w:val="VerbatimChar"/>
        </w:rPr>
        <w:t xml:space="preserve">merge_5_datasets.eur_only.geno095.hwe1e06.pruned_snps_bfile.rem_rel_ind_round_2_of_2</w:t>
      </w:r>
      <w:r>
        <w:t xml:space="preserve">, where all affiliated patients have been removed.</w:t>
      </w:r>
    </w:p>
    <w:p>
      <w:pPr>
        <w:numPr>
          <w:ilvl w:val="0"/>
          <w:numId w:val="1021"/>
        </w:numPr>
      </w:pPr>
      <w:r>
        <w:rPr>
          <w:b/>
          <w:bCs/>
        </w:rPr>
        <w:t xml:space="preserve">Objective</w:t>
      </w:r>
      <w:r>
        <w:t xml:space="preserve">: Compute PCA and keep the 10 first principal components.</w:t>
      </w:r>
    </w:p>
    <w:p>
      <w:pPr>
        <w:numPr>
          <w:ilvl w:val="0"/>
          <w:numId w:val="1021"/>
        </w:numPr>
      </w:pPr>
      <w:r>
        <w:rPr>
          <w:b/>
          <w:bCs/>
        </w:rPr>
        <w:t xml:space="preserve">Bash command</w:t>
      </w:r>
      <w:r>
        <w:t xml:space="preserve">:</w:t>
      </w:r>
    </w:p>
    <w:p>
      <w:pPr>
        <w:pStyle w:val="SourceCode"/>
      </w:pPr>
      <w:r>
        <w:br/>
      </w:r>
      <w:r>
        <w:rPr>
          <w:rStyle w:val="ExtensionTok"/>
        </w:rPr>
        <w:t xml:space="preserve">plink2</w:t>
      </w:r>
      <w:r>
        <w:rPr>
          <w:rStyle w:val="NormalTok"/>
        </w:rPr>
        <w:t xml:space="preserve"> </w:t>
      </w:r>
      <w:r>
        <w:rPr>
          <w:rStyle w:val="DataTypeTok"/>
        </w:rPr>
        <w:t xml:space="preserve">\</w:t>
      </w:r>
      <w:r>
        <w:br/>
      </w:r>
      <w:r>
        <w:rPr>
          <w:rStyle w:val="NormalTok"/>
        </w:rPr>
        <w:t xml:space="preserve">  </w:t>
      </w:r>
      <w:r>
        <w:rPr>
          <w:rStyle w:val="AttributeTok"/>
        </w:rPr>
        <w:t xml:space="preserve">--bfile</w:t>
      </w:r>
      <w:r>
        <w:rPr>
          <w:rStyle w:val="NormalTok"/>
        </w:rPr>
        <w:t xml:space="preserve"> /mnt/projects_tn01/Cartagene/analyses/QC/eur_only/merge_5_datasets.eur_only.geno095.hwe1e06.pruned_snps.high_LD_excluded </w:t>
      </w:r>
      <w:r>
        <w:rPr>
          <w:rStyle w:val="DataTypeTok"/>
        </w:rPr>
        <w:t xml:space="preserve">\ </w:t>
      </w:r>
      <w:r>
        <w:br/>
      </w:r>
      <w:r>
        <w:rPr>
          <w:rStyle w:val="NormalTok"/>
        </w:rPr>
        <w:t xml:space="preserve">  </w:t>
      </w:r>
      <w:r>
        <w:rPr>
          <w:rStyle w:val="ExtensionTok"/>
        </w:rPr>
        <w:t xml:space="preserve">--keep</w:t>
      </w:r>
      <w:r>
        <w:rPr>
          <w:rStyle w:val="NormalTok"/>
        </w:rPr>
        <w:t xml:space="preserve"> merge_5_datasets.eur_only.geno095.hwe1e06.pruned_snps_bfile.rem_rel_ind_round_2_of_2.fam </w:t>
      </w:r>
      <w:r>
        <w:rPr>
          <w:rStyle w:val="DataTypeTok"/>
        </w:rPr>
        <w:t xml:space="preserve">\</w:t>
      </w:r>
      <w:r>
        <w:br/>
      </w:r>
      <w:r>
        <w:rPr>
          <w:rStyle w:val="NormalTok"/>
        </w:rPr>
        <w:t xml:space="preserve">  </w:t>
      </w:r>
      <w:r>
        <w:rPr>
          <w:rStyle w:val="AttributeTok"/>
        </w:rPr>
        <w:t xml:space="preserve">--memory</w:t>
      </w:r>
      <w:r>
        <w:rPr>
          <w:rStyle w:val="NormalTok"/>
        </w:rPr>
        <w:t xml:space="preserve"> 12006 </w:t>
      </w:r>
      <w:r>
        <w:rPr>
          <w:rStyle w:val="DataTypeTok"/>
        </w:rPr>
        <w:t xml:space="preserve">\</w:t>
      </w:r>
      <w:r>
        <w:br/>
      </w:r>
      <w:r>
        <w:rPr>
          <w:rStyle w:val="NormalTok"/>
        </w:rPr>
        <w:t xml:space="preserve">  </w:t>
      </w:r>
      <w:r>
        <w:rPr>
          <w:rStyle w:val="AttributeTok"/>
        </w:rPr>
        <w:t xml:space="preserve">--out</w:t>
      </w:r>
      <w:r>
        <w:rPr>
          <w:rStyle w:val="NormalTok"/>
        </w:rPr>
        <w:t xml:space="preserve"> /mnt/projects_tn01/Cartagene/analyses/QC/eur_only/merge_5_datasets.eur_only.geno095.hwe1e06.pruned_snps.high_LD_excluded.unrelated_ind.PCA </w:t>
      </w:r>
      <w:r>
        <w:rPr>
          <w:rStyle w:val="DataTypeTok"/>
        </w:rPr>
        <w:t xml:space="preserve">\</w:t>
      </w:r>
      <w:r>
        <w:br/>
      </w:r>
      <w:r>
        <w:rPr>
          <w:rStyle w:val="NormalTok"/>
        </w:rPr>
        <w:t xml:space="preserve">  </w:t>
      </w:r>
      <w:r>
        <w:rPr>
          <w:rStyle w:val="AttributeTok"/>
        </w:rPr>
        <w:t xml:space="preserve">--pca</w:t>
      </w:r>
      <w:r>
        <w:rPr>
          <w:rStyle w:val="NormalTok"/>
        </w:rPr>
        <w:t xml:space="preserve"> 10</w:t>
      </w:r>
    </w:p>
    <w:p>
      <w:pPr>
        <w:numPr>
          <w:ilvl w:val="0"/>
          <w:numId w:val="1023"/>
        </w:numPr>
      </w:pPr>
      <w:r>
        <w:rPr>
          <w:b/>
          <w:bCs/>
        </w:rPr>
        <w:t xml:space="preserve">Remarks</w:t>
      </w:r>
      <w:r>
        <w:t xml:space="preserve">:</w:t>
      </w:r>
    </w:p>
    <w:p>
      <w:pPr>
        <w:numPr>
          <w:ilvl w:val="1"/>
          <w:numId w:val="1024"/>
        </w:numPr>
      </w:pPr>
      <w:r>
        <w:rPr>
          <w:color w:val="red"/>
        </w:rPr>
        <w:t>
          <w:r>
            <w:rPr>
              <w:b/>
              <w:bCs/>
            </w:rPr>
            <w:t xml:space="preserve">Remark 1</w:t>
          </w:r>
          <w:r>
            <w:t xml:space="preserve">: use visualizations, such as</w:t>
          </w:r>
          <w:r>
            <w:t xml:space="preserve"> </w:t>
          </w:r>
          <w:r>
            <w:rPr>
              <w:i/>
              <w:iCs/>
            </w:rPr>
            <w:t xml:space="preserve">scree plots</w:t>
          </w:r>
          <w:r>
            <w:t xml:space="preserve">, elbow point or/and</w:t>
          </w:r>
          <w:r>
            <w:t xml:space="preserve"> </w:t>
          </w:r>
          <w:r>
            <w:rPr>
              <w:i/>
              <w:iCs/>
            </w:rPr>
            <w:t xml:space="preserve">Tracy-Widom Test</w:t>
          </w:r>
          <w:r>
            <w:t xml:space="preserve"> </w:t>
          </w:r>
          <w:r>
            <w:t xml:space="preserve">to select the final number of PCs, instead of hard threshold, and on the other hand, scatter plots to identify latent structures. See details</w:t>
          </w:r>
          <w:r>
            <w:t xml:space="preserve"> </w:t>
          </w:r>
          <w:hyperlink r:id="rId63">
            <w:r>
              <w:rPr>
                <w:rStyle w:val="Hyperlink"/>
              </w:rPr>
              <w:t xml:space="preserve">here</w:t>
            </w:r>
          </w:hyperlink>
          <w:r>
            <w:t xml:space="preserve"> </w:t>
          </w:r>
          <w:r>
            <w:t xml:space="preserve">and</w:t>
          </w:r>
          <w:r>
            <w:t xml:space="preserve"> </w:t>
          </w:r>
          <w:hyperlink r:id="rId64">
            <w:r>
              <w:rPr>
                <w:rStyle w:val="Hyperlink"/>
              </w:rPr>
              <w:t xml:space="preserve">there</w:t>
            </w:r>
          </w:hyperlink>
        </w:t>
      </w:r>
      <w:r>
        <w:t xml:space="preserve">.</w:t>
      </w:r>
    </w:p>
    <w:p>
      <w:pPr>
        <w:numPr>
          <w:ilvl w:val="1"/>
          <w:numId w:val="1024"/>
        </w:numPr>
      </w:pPr>
      <w:r>
        <w:rPr>
          <w:b/>
          <w:bCs/>
        </w:rPr>
        <w:t xml:space="preserve">Remark 2</w:t>
      </w:r>
      <w:r>
        <w:t xml:space="preserve">: The</w:t>
      </w:r>
      <w:r>
        <w:t xml:space="preserve"> </w:t>
      </w:r>
      <w:hyperlink r:id="rId65">
        <w:r>
          <w:rPr>
            <w:rStyle w:val="VerbatimChar"/>
          </w:rPr>
          <w:t xml:space="preserve">popgen</w:t>
        </w:r>
        <w:r>
          <w:rPr>
            <w:rStyle w:val="Hyperlink"/>
          </w:rPr>
          <w:t xml:space="preserve"> </w:t>
        </w:r>
        <w:r>
          <w:rPr>
            <w:rStyle w:val="Hyperlink"/>
            <w:i/>
            <w:iCs/>
          </w:rPr>
          <w:t xml:space="preserve">‘Calculating Basic Population Genetic Statistics from SNP Data’</w:t>
        </w:r>
      </w:hyperlink>
      <w:r>
        <w:t xml:space="preserve"> </w:t>
      </w:r>
      <w:r>
        <w:t xml:space="preserve">vignette details how to generate statistics quantifying patterns of genetic diversity, such as LD and Hardy-Weinberg, in a given population.</w:t>
      </w:r>
      <w:r>
        <w:t xml:space="preserve"> </w:t>
      </w:r>
      <w:r>
        <w:t xml:space="preserve">The</w:t>
      </w:r>
      <w:r>
        <w:t xml:space="preserve"> </w:t>
      </w:r>
      <w:hyperlink r:id="rId66">
        <w:r>
          <w:rPr>
            <w:rStyle w:val="VerbatimChar"/>
          </w:rPr>
          <w:t xml:space="preserve">popgen</w:t>
        </w:r>
        <w:r>
          <w:rPr>
            <w:rStyle w:val="Hyperlink"/>
          </w:rPr>
          <w:t xml:space="preserve"> </w:t>
        </w:r>
        <w:r>
          <w:rPr>
            <w:rStyle w:val="Hyperlink"/>
            <w:i/>
            <w:iCs/>
          </w:rPr>
          <w:t xml:space="preserve">‘Calculating genetic differentiation and clustering methods from SNP data’</w:t>
        </w:r>
        <w:r>
          <w:rPr>
            <w:rStyle w:val="Hyperlink"/>
          </w:rPr>
          <w:t xml:space="preserve"> </w:t>
        </w:r>
        <w:r>
          <w:rPr>
            <w:rStyle w:val="Hyperlink"/>
          </w:rPr>
          <w:t xml:space="preserve">vignette</w:t>
        </w:r>
      </w:hyperlink>
      <w:r>
        <w:t xml:space="preserve"> </w:t>
      </w:r>
      <w:r>
        <w:t xml:space="preserve">vignette describes both unsupervised, PCA-like and discriminatory approaches to identify latent genetic sub-populations.</w:t>
      </w:r>
      <w:r>
        <w:br/>
      </w:r>
      <w:r>
        <w:t xml:space="preserve">Finally, the</w:t>
      </w:r>
      <w:r>
        <w:t xml:space="preserve"> </w:t>
      </w:r>
      <w:hyperlink r:id="rId67">
        <w:r>
          <w:rPr>
            <w:rStyle w:val="VerbatimChar"/>
          </w:rPr>
          <w:t xml:space="preserve">popgen</w:t>
        </w:r>
        <w:r>
          <w:rPr>
            <w:rStyle w:val="Hyperlink"/>
          </w:rPr>
          <w:t xml:space="preserve"> </w:t>
        </w:r>
        <w:r>
          <w:rPr>
            <w:rStyle w:val="Hyperlink"/>
            <w:i/>
            <w:iCs/>
          </w:rPr>
          <w:t xml:space="preserve">‘Individual Based Genetic Distance for SNP Data’</w:t>
        </w:r>
      </w:hyperlink>
      <w:r>
        <w:t xml:space="preserve"> </w:t>
      </w:r>
      <w:r>
        <w:t xml:space="preserve">vignette reports different individual genetic distances, enabling to spot and trim individual outliers with a significant distinct genetic distribution.</w:t>
      </w:r>
      <w:r>
        <w:t xml:space="preserve"> </w:t>
      </w:r>
      <w:r>
        <w:t xml:space="preserve">See also paper</w:t>
      </w:r>
      <w:r>
        <w:t xml:space="preserve"> </w:t>
      </w:r>
      <w:hyperlink r:id="rId68">
        <w:r>
          <w:rPr>
            <w:rStyle w:val="Hyperlink"/>
          </w:rPr>
          <w:t xml:space="preserve">‘A benchmark study on current GWAS models in admixed populations’</w:t>
        </w:r>
      </w:hyperlink>
      <w:r>
        <w:t xml:space="preserve">, from</w:t>
      </w:r>
      <w:r>
        <w:t xml:space="preserve"> </w:t>
      </w:r>
      <w:r>
        <w:t xml:space="preserve">Yang et al. (</w:t>
      </w:r>
      <w:hyperlink w:anchor="ref-yang2024bib">
        <w:r>
          <w:rPr>
            <w:rStyle w:val="Hyperlink"/>
          </w:rPr>
          <w:t xml:space="preserve">2024</w:t>
        </w:r>
      </w:hyperlink>
      <w:r>
        <w:t xml:space="preserve">)</w:t>
      </w:r>
      <w:r>
        <w:t xml:space="preserve"> </w:t>
      </w:r>
      <w:r>
        <w:t xml:space="preserve">for an unbiased and up-to-date comparison of statistical approaches to address within-patient heterogeneity.</w:t>
      </w:r>
    </w:p>
    <w:p>
      <w:pPr>
        <w:numPr>
          <w:ilvl w:val="1"/>
          <w:numId w:val="1024"/>
        </w:numPr>
      </w:pPr>
      <w:r>
        <w:rPr>
          <w:b/>
          <w:bCs/>
        </w:rPr>
        <w:t xml:space="preserve">Remark 3</w:t>
      </w:r>
      <w:r>
        <w:t xml:space="preserve">: To evaluate within-population diversity, geneticists typically report the level of</w:t>
      </w:r>
      <w:r>
        <w:t xml:space="preserve"> </w:t>
      </w:r>
      <w:r>
        <w:rPr>
          <w:i/>
          <w:iCs/>
        </w:rPr>
        <w:t xml:space="preserve">heterozygosity</w:t>
      </w:r>
      <w:r>
        <w:t xml:space="preserve"> </w:t>
      </w:r>
      <w:r>
        <w:t xml:space="preserve">as a general metric, see</w:t>
      </w:r>
      <w:r>
        <w:t xml:space="preserve"> </w:t>
      </w:r>
      <w:hyperlink r:id="rId69">
        <w:r>
          <w:rPr>
            <w:rStyle w:val="VerbatimChar"/>
          </w:rPr>
          <w:t xml:space="preserve">vcfR</w:t>
        </w:r>
        <w:r>
          <w:rPr>
            <w:rStyle w:val="Hyperlink"/>
          </w:rPr>
          <w:t xml:space="preserve">‘Genetic differentiation’</w:t>
        </w:r>
        <w:r>
          <w:rPr>
            <w:rStyle w:val="Hyperlink"/>
          </w:rPr>
          <w:t xml:space="preserve"> </w:t>
        </w:r>
        <w:r>
          <w:rPr>
            <w:rStyle w:val="Hyperlink"/>
          </w:rPr>
          <w:t xml:space="preserve">Vignette</w:t>
        </w:r>
      </w:hyperlink>
      <w:r>
        <w:t xml:space="preserve">.</w:t>
      </w:r>
    </w:p>
    <w:bookmarkEnd w:id="70"/>
    <w:bookmarkEnd w:id="71"/>
    <w:bookmarkStart w:id="101" w:name="run-gwas-analyses"/>
    <w:p>
      <w:pPr>
        <w:pStyle w:val="Heading3"/>
      </w:pPr>
      <w:r>
        <w:t xml:space="preserve">1.3.3 Run GWAS analyses</w:t>
      </w:r>
    </w:p>
    <w:bookmarkStart w:id="100" w:name="sec-phenotype-extraction"/>
    <w:p>
      <w:pPr>
        <w:pStyle w:val="Heading4"/>
      </w:pPr>
      <w:r>
        <w:t xml:space="preserve">1.3.3.1 Step 1: Phenotype feature extraction</w:t>
      </w:r>
    </w:p>
    <w:p>
      <w:pPr>
        <w:pStyle w:val="FirstParagraph"/>
      </w:pPr>
      <w:r>
        <w:t xml:space="preserve">Original phenotype annotations are available in folder</w:t>
      </w:r>
      <w:r>
        <w:t xml:space="preserve"> </w:t>
      </w:r>
      <w:r>
        <w:rPr>
          <w:rStyle w:val="VerbatimChar"/>
        </w:rPr>
        <w:t xml:space="preserve">/mnt/projects_tn01/Cartagene/analyses/phenotypes</w:t>
      </w:r>
      <w:r>
        <w:t xml:space="preserve">. Variables of interest are reported</w:t>
      </w:r>
      <w:r>
        <w:t xml:space="preserve"> </w:t>
      </w:r>
      <w:hyperlink r:id="rId72">
        <w:r>
          <w:rPr>
            <w:rStyle w:val="Hyperlink"/>
          </w:rPr>
          <w:t xml:space="preserve">here</w:t>
        </w:r>
      </w:hyperlink>
      <w:r>
        <w:t xml:space="preserve">:</w:t>
      </w:r>
    </w:p>
    <w:p>
      <w:pPr>
        <w:pStyle w:val="SourceCode"/>
      </w:pPr>
      <w:r>
        <w:rPr>
          <w:rStyle w:val="NormalTok"/>
        </w:rPr>
        <w:t xml:space="preserve">cartagene_response_variables </w:t>
      </w:r>
      <w:r>
        <w:rPr>
          <w:rStyle w:val="OtherTok"/>
        </w:rPr>
        <w:t xml:space="preserve">&lt;-</w:t>
      </w:r>
      <w:r>
        <w:rPr>
          <w:rStyle w:val="NormalTok"/>
        </w:rPr>
        <w:t xml:space="preserve"> readxl</w:t>
      </w:r>
      <w:r>
        <w:rPr>
          <w:rStyle w:val="SpecialCharTok"/>
        </w:rPr>
        <w:t xml:space="preserve">::</w:t>
      </w:r>
      <w:r>
        <w:rPr>
          <w:rStyle w:val="FunctionTok"/>
        </w:rPr>
        <w:t xml:space="preserve">read_excel</w:t>
      </w:r>
      <w:r>
        <w:rPr>
          <w:rStyle w:val="NormalTok"/>
        </w:rPr>
        <w:t xml:space="preserve">(</w:t>
      </w:r>
      <w:r>
        <w:rPr>
          <w:rStyle w:val="StringTok"/>
        </w:rPr>
        <w:t xml:space="preserve">"data/phenotypes/cartagene_response_variables.xlsx"</w:t>
      </w:r>
      <w:r>
        <w:rPr>
          <w:rStyle w:val="NormalTok"/>
        </w:rPr>
        <w:t xml:space="preserve">)</w:t>
      </w:r>
    </w:p>
    <w:bookmarkStart w:id="77" w:name="Xe5106de8bda69276f6785cbf7a16eef6a4cbe55"/>
    <w:p>
      <w:pPr>
        <w:pStyle w:val="Heading5"/>
      </w:pPr>
      <w:r>
        <w:t xml:space="preserve">1.3.3.1.1 i) Merge genotype IDs, phenotypes and PCAs values</w:t>
      </w:r>
    </w:p>
    <w:p>
      <w:pPr>
        <w:pStyle w:val="FirstParagraph"/>
      </w:pPr>
      <w:r>
        <w:t xml:space="preserve">General phenotype features are provided in</w:t>
      </w:r>
    </w:p>
    <w:p>
      <w:pPr>
        <w:pStyle w:val="SourceCode"/>
      </w:pPr>
      <w:r>
        <w:rPr>
          <w:rStyle w:val="NormalTok"/>
        </w:rPr>
        <w:t xml:space="preserve">cartagene_phenodata </w:t>
      </w:r>
      <w:r>
        <w:rPr>
          <w:rStyle w:val="OtherTok"/>
        </w:rPr>
        <w:t xml:space="preserve">&lt;-</w:t>
      </w:r>
      <w:r>
        <w:rPr>
          <w:rStyle w:val="NormalTok"/>
        </w:rPr>
        <w:t xml:space="preserve"> haven</w:t>
      </w:r>
      <w:r>
        <w:rPr>
          <w:rStyle w:val="SpecialCharTok"/>
        </w:rPr>
        <w:t xml:space="preserve">::</w:t>
      </w:r>
      <w:r>
        <w:rPr>
          <w:rStyle w:val="FunctionTok"/>
        </w:rPr>
        <w:t xml:space="preserve">read_sas</w:t>
      </w:r>
      <w:r>
        <w:rPr>
          <w:rStyle w:val="NormalTok"/>
        </w:rPr>
        <w:t xml:space="preserve">(</w:t>
      </w:r>
      <w:r>
        <w:rPr>
          <w:rStyle w:val="StringTok"/>
        </w:rPr>
        <w:t xml:space="preserve">"data/phenotypes/cart_mars2025.sas7bdat"</w:t>
      </w:r>
      <w:r>
        <w:rPr>
          <w:rStyle w:val="NormalTok"/>
        </w:rPr>
        <w:t xml:space="preserve">)</w:t>
      </w:r>
      <w:r>
        <w:br/>
      </w:r>
      <w:r>
        <w:rPr>
          <w:rStyle w:val="FunctionTok"/>
        </w:rPr>
        <w:t xml:space="preserve">flextable</w:t>
      </w:r>
      <w:r>
        <w:rPr>
          <w:rStyle w:val="NormalTok"/>
        </w:rPr>
        <w:t xml:space="preserve">(</w:t>
      </w:r>
      <w:r>
        <w:rPr>
          <w:rStyle w:val="FunctionTok"/>
        </w:rPr>
        <w:t xml:space="preserve">head</w:t>
      </w:r>
      <w:r>
        <w:rPr>
          <w:rStyle w:val="NormalTok"/>
        </w:rPr>
        <w:t xml:space="preserve">(cartagene_phenodata)) </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bold =</w:t>
      </w:r>
      <w:r>
        <w:rPr>
          <w:rStyle w:val="NormalTok"/>
        </w:rPr>
        <w:t xml:space="preserve"> </w:t>
      </w:r>
      <w:r>
        <w:rPr>
          <w:rStyle w:val="ConstantTok"/>
        </w:rPr>
        <w:t xml:space="preserve">TRUE</w:t>
      </w:r>
      <w:r>
        <w:rPr>
          <w:rStyle w:val="NormalTok"/>
        </w:rPr>
        <w:t xml:space="preserve">, </w:t>
      </w:r>
      <w:r>
        <w:rPr>
          <w:rStyle w:val="AttributeTok"/>
        </w:rPr>
        <w:t xml:space="preserve">part =</w:t>
      </w:r>
      <w:r>
        <w:rPr>
          <w:rStyle w:val="NormalTok"/>
        </w:rPr>
        <w:t xml:space="preserve"> </w:t>
      </w:r>
      <w:r>
        <w:rPr>
          <w:rStyle w:val="StringTok"/>
        </w:rPr>
        <w:t xml:space="preserve">"header"</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73" w:name="tbl-cartage-pheno"/>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PROJECT_CODE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ASA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STATINE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Age (decimal)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CKD_EPI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Body Mass Index (BMI)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T-Score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BPS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SRAAI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GENDER01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ETHNICITY6M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TABACCOURANT_M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ROHSEMAINE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DIABETEGLOBAL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DLPGLOBAL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HTAGLOBAL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ASTHME_MPOCAUTO_RX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CIRRHOSEAUTO_M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OSTEOAUTO_M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OSTEORX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NEOALL_AUTO_M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NEOCHIMIO_AUTO_M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NEORADIO_AUTO_M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OSTEOSECONDAIRE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CVMACE_POST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CVMACE_PROCEDURE_POST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CVALL_POST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CVALL_POSTDATE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CVMACE_POSTDATE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CVMACE_PROCEDURE_POSTDATE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DECES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DATEDECES1216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FXALL_POST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FXALL_PRE1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FXALL_PRE5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FXMOF_POST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FXALL_POSTDATE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FXMOF_POSTDATE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AVCGLOBAL_PRE_M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ATCDFAMCV</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IRC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PWV1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MCASGLOBAL_PRE_M</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78,295,800,001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62.08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56.60608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Blanc</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10.293434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78,295,800,002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43.84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77.58291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Latin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6.110750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78,295,800,003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59.27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86.25898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Blanc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8.271314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78,295,800,004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85.17528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Blanc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8.810156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78,295,800,005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54.92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105.51846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Blanc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8.310378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78,295,800,006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113.30294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Arabe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r>
          </w:tbl>
          <w:p>
            <w:pPr>
              <w:jc w:val="center"/>
            </w:pPr>
            <w:pPr>
              <w:jc w:val="start"/>
              <w:spacing w:before="200"/>
              <w:pStyle w:val="ImageCaption"/>
            </w:pPr>
            <w:r>
              <w:t xml:space="preserve">Table 1.1: Read SAS table describing CarTaGene phenotypes.</w:t>
            </w:r>
          </w:p>
          <w:bookmarkEnd w:id="73"/>
        </w:tc>
      </w:tr>
    </w:tbl>
    <w:p>
      <w:pPr>
        <w:pStyle w:val="BodyText"/>
      </w:pPr>
      <w:r>
        <w:t xml:space="preserve">Number of patients overall is 19990, and number of phenotype variables is 44.</w:t>
      </w:r>
    </w:p>
    <w:p>
      <w:pPr>
        <w:pStyle w:val="BodyText"/>
      </w:pPr>
      <w:r>
        <w:t xml:space="preserve">We then need to map each individual patient ID (</w:t>
      </w:r>
      <w:r>
        <w:rPr>
          <w:rStyle w:val="VerbatimChar"/>
        </w:rPr>
        <w:t xml:space="preserve">IID</w:t>
      </w:r>
      <w:r>
        <w:t xml:space="preserve">) with its corresponding genotype array</w:t>
      </w:r>
      <w:r>
        <w:t xml:space="preserve"> </w:t>
      </w:r>
      <w:hyperlink w:anchor="tbl-cartage-genotypes-IDs">
        <w:r>
          <w:rPr>
            <w:rStyle w:val="Hyperlink"/>
          </w:rPr>
          <w:t xml:space="preserve">Table 1.2</w:t>
        </w:r>
      </w:hyperlink>
      <w:r>
        <w:t xml:space="preserve">, as done in</w:t>
      </w:r>
      <w:r>
        <w:t xml:space="preserve"> </w:t>
      </w:r>
      <w:hyperlink w:anchor="lst-join-phenotype-genotype">
        <w:r>
          <w:rPr>
            <w:rStyle w:val="Hyperlink"/>
          </w:rPr>
          <w:t xml:space="preserve">Listing 1.1</w:t>
        </w:r>
      </w:hyperlink>
      <w:r>
        <w:t xml:space="preserve">.</w:t>
      </w:r>
    </w:p>
    <w:p>
      <w:pPr>
        <w:pStyle w:val="SourceCode"/>
      </w:pPr>
      <w:r>
        <w:rPr>
          <w:rStyle w:val="NormalTok"/>
        </w:rPr>
        <w:t xml:space="preserve">cartagene_genotypes_ID </w:t>
      </w:r>
      <w:r>
        <w:rPr>
          <w:rStyle w:val="OtherTok"/>
        </w:rPr>
        <w:t xml:space="preserve">&lt;-</w:t>
      </w:r>
      <w:r>
        <w:rPr>
          <w:rStyle w:val="NormalTok"/>
        </w:rPr>
        <w:t xml:space="preserve"> readr</w:t>
      </w:r>
      <w:r>
        <w:rPr>
          <w:rStyle w:val="SpecialCharTok"/>
        </w:rPr>
        <w:t xml:space="preserve">::</w:t>
      </w:r>
      <w:r>
        <w:rPr>
          <w:rStyle w:val="FunctionTok"/>
        </w:rPr>
        <w:t xml:space="preserve">read_csv2</w:t>
      </w:r>
      <w:r>
        <w:rPr>
          <w:rStyle w:val="NormalTok"/>
        </w:rPr>
        <w:t xml:space="preserve">(</w:t>
      </w:r>
      <w:r>
        <w:rPr>
          <w:rStyle w:val="StringTok"/>
        </w:rPr>
        <w:t xml:space="preserve">"./data/phenotypes/cartagene_genotype_IDs.csv"</w:t>
      </w:r>
      <w:r>
        <w:rPr>
          <w:rStyle w:val="NormalTok"/>
        </w:rPr>
        <w:t xml:space="preserve">,</w:t>
      </w:r>
      <w:r>
        <w:br/>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rPr>
          <w:rStyle w:val="StringTok"/>
        </w:rPr>
        <w:t xml:space="preserve">"d"</w:t>
      </w:r>
      <w:r>
        <w:rPr>
          <w:rStyle w:val="NormalTok"/>
        </w:rPr>
        <w:t xml:space="preserve">, </w:t>
      </w:r>
      <w:r>
        <w:rPr>
          <w:rStyle w:val="StringTok"/>
        </w:rPr>
        <w:t xml:space="preserve">"c"</w:t>
      </w:r>
      <w:r>
        <w:rPr>
          <w:rStyle w:val="NormalTok"/>
        </w:rPr>
        <w:t xml:space="preserve">,</w:t>
      </w:r>
      <w:r>
        <w:rPr>
          <w:rStyle w:val="StringTok"/>
        </w:rPr>
        <w:t xml:space="preserve">"c"</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PROJECT_CODE =</w:t>
      </w:r>
      <w:r>
        <w:rPr>
          <w:rStyle w:val="NormalTok"/>
        </w:rPr>
        <w:t xml:space="preserve"> </w:t>
      </w:r>
      <w:r>
        <w:rPr>
          <w:rStyle w:val="StringTok"/>
        </w:rPr>
        <w:t xml:space="preserve">"project_code"</w:t>
      </w:r>
      <w:r>
        <w:rPr>
          <w:rStyle w:val="NormalTok"/>
        </w:rPr>
        <w:t xml:space="preserve">, </w:t>
      </w:r>
      <w:r>
        <w:rPr>
          <w:rStyle w:val="AttributeTok"/>
        </w:rPr>
        <w:t xml:space="preserve">geno_id =</w:t>
      </w:r>
      <w:r>
        <w:rPr>
          <w:rStyle w:val="NormalTok"/>
        </w:rPr>
        <w:t xml:space="preserve"> </w:t>
      </w:r>
      <w:r>
        <w:rPr>
          <w:rStyle w:val="StringTok"/>
        </w:rPr>
        <w:t xml:space="preserve">"file_111"</w:t>
      </w:r>
      <w:r>
        <w:rPr>
          <w:rStyle w:val="NormalTok"/>
        </w:rPr>
        <w:t xml:space="preserve">, </w:t>
      </w:r>
      <w:r>
        <w:rPr>
          <w:rStyle w:val="AttributeTok"/>
        </w:rPr>
        <w:t xml:space="preserve">batch=</w:t>
      </w:r>
      <w:r>
        <w:rPr>
          <w:rStyle w:val="StringTok"/>
        </w:rPr>
        <w:t xml:space="preserve">"batch"</w:t>
      </w:r>
      <w:r>
        <w:rPr>
          <w:rStyle w:val="NormalTok"/>
        </w:rPr>
        <w:t xml:space="preserve">)</w:t>
      </w:r>
      <w:r>
        <w:br/>
      </w:r>
      <w:r>
        <w:rPr>
          <w:rStyle w:val="NormalTok"/>
        </w:rPr>
        <w:t xml:space="preserve">  </w:t>
      </w:r>
      <w:r>
        <w:br/>
      </w:r>
      <w:r>
        <w:br/>
      </w:r>
      <w:r>
        <w:rPr>
          <w:rStyle w:val="FunctionTok"/>
        </w:rPr>
        <w:t xml:space="preserve">flextable</w:t>
      </w:r>
      <w:r>
        <w:rPr>
          <w:rStyle w:val="NormalTok"/>
        </w:rPr>
        <w:t xml:space="preserve">(</w:t>
      </w:r>
      <w:r>
        <w:rPr>
          <w:rStyle w:val="FunctionTok"/>
        </w:rPr>
        <w:t xml:space="preserve">head</w:t>
      </w:r>
      <w:r>
        <w:rPr>
          <w:rStyle w:val="NormalTok"/>
        </w:rPr>
        <w:t xml:space="preserve">(cartagene_genotypes_ID)) </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bold =</w:t>
      </w:r>
      <w:r>
        <w:rPr>
          <w:rStyle w:val="NormalTok"/>
        </w:rPr>
        <w:t xml:space="preserve"> </w:t>
      </w:r>
      <w:r>
        <w:rPr>
          <w:rStyle w:val="ConstantTok"/>
        </w:rPr>
        <w:t xml:space="preserve">TRUE</w:t>
      </w:r>
      <w:r>
        <w:rPr>
          <w:rStyle w:val="NormalTok"/>
        </w:rPr>
        <w:t xml:space="preserve">, </w:t>
      </w:r>
      <w:r>
        <w:rPr>
          <w:rStyle w:val="AttributeTok"/>
        </w:rPr>
        <w:t xml:space="preserve">part =</w:t>
      </w:r>
      <w:r>
        <w:rPr>
          <w:rStyle w:val="NormalTok"/>
        </w:rPr>
        <w:t xml:space="preserve"> </w:t>
      </w:r>
      <w:r>
        <w:rPr>
          <w:rStyle w:val="StringTok"/>
        </w:rPr>
        <w:t xml:space="preserve">"header"</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74" w:name="tbl-cartage-genotypes-IDs"/>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PROJECT_CODE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geno_id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batch</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78,295,800,001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11,118,538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gsa.17k</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78,295,800,002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11,135,721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gsa.17k</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78,295,800,003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11,129,497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gsa.archi.withIBS</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78,295,800,004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11,107,817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gsa.17k</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78,295,800,005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11,131,634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gsa.archi.withIBS</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78,295,800,006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11,126,455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gsa.17k</w:t>
                  </w:r>
                </w:p>
              </w:tc>
            </w:tr>
          </w:tbl>
          <w:p>
            <w:pPr>
              <w:jc w:val="center"/>
            </w:pPr>
            <w:pPr>
              <w:jc w:val="start"/>
              <w:spacing w:before="200"/>
              <w:pStyle w:val="ImageCaption"/>
            </w:pPr>
            <w:r>
              <w:t xml:space="preserve">Table 1.2: Read SAS table describing CarTaGene phenotypes.</w:t>
            </w:r>
          </w:p>
          <w:bookmarkEnd w:id="74"/>
        </w:tc>
      </w:tr>
    </w:tbl>
    <w:tbl>
      <w:tblPr>
        <w:tblStyle w:val="Table"/>
        <w:tblW w:type="pct" w:w="5000"/>
        <w:tblLayout w:type="fixed"/>
        <w:tblLook w:firstRow="0" w:lastRow="0" w:firstColumn="0" w:lastColumn="0" w:noHBand="0" w:noVBand="0" w:val="0000"/>
      </w:tblPr>
      <w:tblGrid>
        <w:gridCol w:w="7920"/>
      </w:tblGrid>
      <w:tr>
        <w:tc>
          <w:tcPr/>
          <w:bookmarkStart w:id="75" w:name="lst-join-phenotype-genotype"/>
          <w:p>
            <w:pPr>
              <w:jc w:val="center"/>
            </w:pPr>
            <w:pPr>
              <w:jc w:val="start"/>
              <w:spacing w:before="200"/>
              <w:pStyle w:val="ImageCaption"/>
            </w:pPr>
            <w:r>
              <w:t xml:space="preserve">Listing 1.1: Inner join between phenotypes IDs and genotypes, while constraing the remaining individuals to belong to white ethnicity.</w:t>
            </w:r>
          </w:p>
          <w:p>
            <w:pPr>
              <w:pStyle w:val="SourceCode"/>
              <w:jc w:val="center"/>
            </w:pPr>
            <w:r>
              <w:rPr>
                <w:rStyle w:val="VerbatimChar"/>
              </w:rPr>
              <w:t xml:space="preserve">cartagene_phenodata &lt;- cartagene_phenodata |&gt; </w:t>
            </w:r>
            <w:r>
              <w:br/>
            </w:r>
            <w:r>
              <w:rPr>
                <w:rStyle w:val="VerbatimChar"/>
              </w:rPr>
              <w:t xml:space="preserve">  dplyr::inner_join(cartagene_genotypes_ID, by="PROJECT_CODE") |&gt; </w:t>
            </w:r>
            <w:r>
              <w:br/>
            </w:r>
            <w:r>
              <w:rPr>
                <w:rStyle w:val="VerbatimChar"/>
              </w:rPr>
              <w:t xml:space="preserve">  dplyr::filter(ETHNICITY6M=="Blanc")</w:t>
            </w:r>
          </w:p>
          <w:bookmarkEnd w:id="75"/>
        </w:tc>
      </w:tr>
    </w:tbl>
    <w:p>
      <w:pPr>
        <w:pStyle w:val="FirstParagraph"/>
      </w:pPr>
      <w:r>
        <w:t xml:space="preserve">The resulting phenotype table, after joining with genotypes IDs and restraining to Eurasian phenotypes, stores 17147 individuals.</w:t>
      </w:r>
    </w:p>
    <w:p>
      <w:pPr>
        <w:pStyle w:val="BodyText"/>
      </w:pPr>
      <w:r>
        <w:t xml:space="preserve">PCA vectors computed in</w:t>
      </w:r>
      <w:r>
        <w:t xml:space="preserve"> </w:t>
      </w:r>
      <w:hyperlink w:anchor="sec-PCA">
        <w:r>
          <w:rPr>
            <w:rStyle w:val="Hyperlink"/>
          </w:rPr>
          <w:t xml:space="preserve">Section 1.3.2.3</w:t>
        </w:r>
      </w:hyperlink>
      <w:r>
        <w:t xml:space="preserve"> </w:t>
      </w:r>
      <w:r>
        <w:t xml:space="preserve">are subsequently merged with phenotype data in</w:t>
      </w:r>
      <w:r>
        <w:t xml:space="preserve"> </w:t>
      </w:r>
      <w:hyperlink w:anchor="lst-join-phenotype-PCA">
        <w:r>
          <w:rPr>
            <w:rStyle w:val="Hyperlink"/>
          </w:rPr>
          <w:t xml:space="preserve">Listing 1.2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76" w:name="lst-join-phenotype-PCA"/>
          <w:p>
            <w:pPr>
              <w:jc w:val="center"/>
            </w:pPr>
            <w:pPr>
              <w:jc w:val="start"/>
              <w:spacing w:before="200"/>
              <w:pStyle w:val="ImageCaption"/>
            </w:pPr>
            <w:r>
              <w:t xml:space="preserve">Listing 1.2: Inner join between phenotypes IDs and first 10 PCA eigen vectors.</w:t>
            </w:r>
          </w:p>
          <w:p>
            <w:pPr>
              <w:pStyle w:val="SourceCode"/>
              <w:jc w:val="center"/>
            </w:pPr>
            <w:r>
              <w:rPr>
                <w:rStyle w:val="VerbatimChar"/>
              </w:rPr>
              <w:t xml:space="preserve">PCs &lt;- readr::read_delim("data/PCAs/PCA_eigenvec",</w:t>
            </w:r>
            <w:r>
              <w:br/>
            </w:r>
            <w:r>
              <w:rPr>
                <w:rStyle w:val="VerbatimChar"/>
              </w:rPr>
              <w:t xml:space="preserve">                        col_names = c("FID", "geno_id", "PC1", "PC2", "PC3", "PC4", "PC5", "PC6", "PC7", "PC8", "PC9", "PC10"), </w:t>
            </w:r>
            <w:r>
              <w:br/>
            </w:r>
            <w:r>
              <w:rPr>
                <w:rStyle w:val="VerbatimChar"/>
              </w:rPr>
              <w:t xml:space="preserve">                        delim = " ",</w:t>
            </w:r>
            <w:r>
              <w:br/>
            </w:r>
            <w:r>
              <w:rPr>
                <w:rStyle w:val="VerbatimChar"/>
              </w:rPr>
              <w:t xml:space="preserve">                        show_col_types = FALSE)</w:t>
            </w:r>
            <w:r>
              <w:br/>
            </w:r>
            <w:r>
              <w:rPr>
                <w:rStyle w:val="VerbatimChar"/>
              </w:rPr>
              <w:t xml:space="preserve">cartagene_phenodata &lt;- PCs |&gt; </w:t>
            </w:r>
            <w:r>
              <w:br/>
            </w:r>
            <w:r>
              <w:rPr>
                <w:rStyle w:val="VerbatimChar"/>
              </w:rPr>
              <w:t xml:space="preserve">  dplyr::inner_join(cartagene_phenodata, by="geno_id") |&gt; </w:t>
            </w:r>
            <w:r>
              <w:br/>
            </w:r>
            <w:r>
              <w:rPr>
                <w:rStyle w:val="VerbatimChar"/>
              </w:rPr>
              <w:t xml:space="preserve">  dplyr::rename(IID = geno_id)</w:t>
            </w:r>
          </w:p>
          <w:bookmarkEnd w:id="76"/>
        </w:tc>
      </w:tr>
    </w:tbl>
    <w:p>
      <w:pPr>
        <w:pStyle w:val="Compact"/>
        <w:numPr>
          <w:ilvl w:val="0"/>
          <w:numId w:val="1025"/>
        </w:numPr>
      </w:pPr>
      <w:r>
        <w:rPr>
          <w:color w:val="red"/>
        </w:rPr>
        <w:t>
          <w:r>
            <w:rPr>
              <w:b/>
              <w:bCs/>
            </w:rPr>
            <w:t xml:space="preserve">Remark</w:t>
          </w:r>
          <w:r>
            <w:t xml:space="preserve">: Avoid using French CSV settings, switch to universal convention, where delimiter is a comma:</w:t>
          </w:r>
          <w:r>
            <w:t xml:space="preserve"> </w:t>
          </w:r>
          <w:r>
            <w:rPr>
              <w:rStyle w:val="VerbatimChar"/>
            </w:rPr>
            <w:t xml:space="preserve">,</w:t>
          </w:r>
        </w:t>
      </w:r>
    </w:p>
    <w:bookmarkEnd w:id="77"/>
    <w:bookmarkStart w:id="94" w:name="X5438143f41ca4ce8c23d5db9074d722483c25c0"/>
    <w:p>
      <w:pPr>
        <w:pStyle w:val="Heading5"/>
      </w:pPr>
      <w:r>
        <w:t xml:space="preserve">1.3.3.1.2 ii) Bone damage: osteoporosis and fractures</w:t>
      </w:r>
    </w:p>
    <w:p>
      <w:pPr>
        <w:numPr>
          <w:ilvl w:val="0"/>
          <w:numId w:val="1026"/>
        </w:numPr>
      </w:pPr>
      <w:r>
        <w:t xml:space="preserve">The response variables</w:t>
      </w:r>
      <w:r>
        <w:t xml:space="preserve"> </w:t>
      </w:r>
      <w:r>
        <w:rPr>
          <w:rStyle w:val="VerbatimChar"/>
        </w:rPr>
        <w:t xml:space="preserve">OSTEOPONIA</w:t>
      </w:r>
      <w:r>
        <w:t xml:space="preserve"> </w:t>
      </w:r>
      <w:r>
        <w:t xml:space="preserve">and</w:t>
      </w:r>
      <w:r>
        <w:t xml:space="preserve"> </w:t>
      </w:r>
      <w:r>
        <w:rPr>
          <w:rStyle w:val="VerbatimChar"/>
        </w:rPr>
        <w:t xml:space="preserve">OSTEOPOROSIS</w:t>
      </w:r>
      <w:r>
        <w:t xml:space="preserve"> </w:t>
      </w:r>
      <w:r>
        <w:t xml:space="preserve">have been computed following these rules</w:t>
      </w:r>
      <w:r>
        <w:t xml:space="preserve"> </w:t>
      </w:r>
      <w:hyperlink w:anchor="lst-OSTEOPONIA-computation">
        <w:r>
          <w:rPr>
            <w:rStyle w:val="Hyperlink"/>
          </w:rPr>
          <w:t xml:space="preserve">Listing 1.3</w:t>
        </w:r>
      </w:hyperlink>
      <w:r>
        <w:t xml:space="preserve">, with the resulting contingency tables reported in</w:t>
      </w:r>
      <w:r>
        <w:t xml:space="preserve"> </w:t>
      </w:r>
      <w:hyperlink w:anchor="tbl-OSTEOPONIA-computation">
        <w:r>
          <w:rPr>
            <w:rStyle w:val="Hyperlink"/>
          </w:rPr>
          <w:t xml:space="preserve">Table 1.3</w:t>
        </w:r>
      </w:hyperlink>
      <w:r>
        <w:t xml:space="preserve">.</w:t>
      </w:r>
    </w:p>
    <w:p>
      <w:pPr>
        <w:pStyle w:val="Compact"/>
        <w:numPr>
          <w:ilvl w:val="1"/>
          <w:numId w:val="1027"/>
        </w:numPr>
      </w:pPr>
      <w:r>
        <w:t xml:space="preserve">Exclude patients with</w:t>
      </w:r>
      <w:r>
        <w:t xml:space="preserve"> </w:t>
      </w:r>
      <w:r>
        <w:rPr>
          <w:rStyle w:val="VerbatimChar"/>
        </w:rPr>
        <w:t xml:space="preserve">osteosecondaire==1</w:t>
      </w:r>
      <w:r>
        <w:t xml:space="preserve">.</w:t>
      </w:r>
    </w:p>
    <w:p>
      <w:pPr>
        <w:pStyle w:val="Compact"/>
        <w:numPr>
          <w:ilvl w:val="1"/>
          <w:numId w:val="1027"/>
        </w:numPr>
      </w:pPr>
      <w:r>
        <w:rPr>
          <w:rStyle w:val="VerbatimChar"/>
        </w:rPr>
        <w:t xml:space="preserve">OSTEOPONIA</w:t>
      </w:r>
      <w:r>
        <w:t xml:space="preserve"> </w:t>
      </w:r>
      <w:r>
        <w:t xml:space="preserve">is</w:t>
      </w:r>
      <w:r>
        <w:t xml:space="preserve"> </w:t>
      </w:r>
      <w:r>
        <w:rPr>
          <w:rStyle w:val="VerbatimChar"/>
        </w:rPr>
        <w:t xml:space="preserve">case: 1</w:t>
      </w:r>
      <w:r>
        <w:t xml:space="preserve"> </w:t>
      </w:r>
      <w:r>
        <w:t xml:space="preserve">if</w:t>
      </w:r>
      <w:r>
        <w:t xml:space="preserve"> </w:t>
      </w:r>
      <w:r>
        <w:rPr>
          <w:rStyle w:val="VerbatimChar"/>
        </w:rPr>
        <w:t xml:space="preserve">DMOTSCORE_mod &lt;= -1.5</w:t>
      </w:r>
      <w:r>
        <w:t xml:space="preserve"> </w:t>
      </w:r>
      <w:r>
        <w:t xml:space="preserve">and</w:t>
      </w:r>
      <w:r>
        <w:t xml:space="preserve"> </w:t>
      </w:r>
      <w:r>
        <w:rPr>
          <w:rStyle w:val="VerbatimChar"/>
        </w:rPr>
        <w:t xml:space="preserve">control</w:t>
      </w:r>
      <w:r>
        <w:t xml:space="preserve"> </w:t>
      </w:r>
      <w:r>
        <w:t xml:space="preserve">elsewhere</w:t>
      </w:r>
      <w:r>
        <w:rPr>
          <w:rStyle w:val="FootnoteReference"/>
        </w:rPr>
        <w:footnoteReference w:id="78"/>
      </w:r>
      <w:r>
        <w:t xml:space="preserve">.</w:t>
      </w:r>
    </w:p>
    <w:p>
      <w:pPr>
        <w:pStyle w:val="Compact"/>
        <w:numPr>
          <w:ilvl w:val="1"/>
          <w:numId w:val="1027"/>
        </w:numPr>
      </w:pPr>
      <w:r>
        <w:rPr>
          <w:rStyle w:val="VerbatimChar"/>
        </w:rPr>
        <w:t xml:space="preserve">OSTEOPOROSIS</w:t>
      </w:r>
      <w:r>
        <w:t xml:space="preserve"> </w:t>
      </w:r>
      <w:r>
        <w:t xml:space="preserve">is</w:t>
      </w:r>
      <w:r>
        <w:t xml:space="preserve"> </w:t>
      </w:r>
      <w:r>
        <w:rPr>
          <w:rStyle w:val="VerbatimChar"/>
        </w:rPr>
        <w:t xml:space="preserve">case: 1</w:t>
      </w:r>
      <w:r>
        <w:t xml:space="preserve"> </w:t>
      </w:r>
      <w:r>
        <w:t xml:space="preserve">if</w:t>
      </w:r>
      <w:r>
        <w:t xml:space="preserve"> </w:t>
      </w:r>
      <w:r>
        <w:rPr>
          <w:rStyle w:val="VerbatimChar"/>
        </w:rPr>
        <w:t xml:space="preserve">DMOTSCORE_mod &lt; -2.5</w:t>
      </w:r>
      <w:r>
        <w:t xml:space="preserve"> </w:t>
      </w:r>
      <w:r>
        <w:t xml:space="preserve">and</w:t>
      </w:r>
      <w:r>
        <w:t xml:space="preserve"> </w:t>
      </w:r>
      <w:r>
        <w:rPr>
          <w:rStyle w:val="VerbatimChar"/>
        </w:rPr>
        <w:t xml:space="preserve">control</w:t>
      </w:r>
      <w:r>
        <w:t xml:space="preserve"> </w:t>
      </w:r>
      <w:r>
        <w:t xml:space="preserve">elsewhere.</w:t>
      </w:r>
      <w:r>
        <w:t xml:space="preserve"> </w:t>
      </w:r>
      <w:r>
        <w:rPr>
          <w:color w:val="red"/>
        </w:rPr>
        <w:t>
          <w:r>
            <w:rPr>
              <w:rStyle w:val="VerbatimChar"/>
            </w:rPr>
            <w:t xml:space="preserve">DMOTSCORE_mod</w:t>
          </w:r>
          <w:r>
            <w:t xml:space="preserve"> </w:t>
          </w:r>
          <w:r>
            <w:t xml:space="preserve">has been likely Gaussian standardised + lacks of evidence supporting clear multi-modal distributions. Is there a reporting of the pre-processing operations?</w:t>
          </w:r>
        </w:t>
      </w:r>
      <w:r>
        <w:t xml:space="preserve">.</w:t>
      </w:r>
    </w:p>
    <w:tbl>
      <w:tblPr>
        <w:tblStyle w:val="Table"/>
        <w:tblW w:type="pct" w:w="5000"/>
        <w:tblLayout w:type="fixed"/>
        <w:tblLook w:firstRow="0" w:lastRow="0" w:firstColumn="0" w:lastColumn="0" w:noHBand="0" w:noVBand="0" w:val="0000"/>
      </w:tblPr>
      <w:tblGrid>
        <w:gridCol w:w="7920"/>
      </w:tblGrid>
      <w:tr>
        <w:tc>
          <w:tcPr/>
          <w:bookmarkStart w:id="79" w:name="lst-OSTEOPONIA-computation"/>
          <w:p>
            <w:pPr>
              <w:jc w:val="center"/>
            </w:pPr>
            <w:pPr>
              <w:jc w:val="start"/>
              <w:spacing w:before="200"/>
              <w:pStyle w:val="ImageCaption"/>
            </w:pPr>
            <w:r>
              <w:t xml:space="preserve">Listing 1.3: Generate scores of interest.</w:t>
            </w:r>
          </w:p>
          <w:p>
            <w:pPr>
              <w:pStyle w:val="SourceCode"/>
              <w:jc w:val="center"/>
            </w:pPr>
            <w:r>
              <w:rPr>
                <w:rStyle w:val="VerbatimChar"/>
              </w:rPr>
              <w:t xml:space="preserve">cartagene_phenodata &lt;- cartagene_phenodata |&gt; </w:t>
            </w:r>
            <w:r>
              <w:br/>
            </w:r>
            <w:r>
              <w:rPr>
                <w:rStyle w:val="VerbatimChar"/>
              </w:rPr>
              <w:t xml:space="preserve">  dplyr::mutate(DMOTSCORE_mod = dplyr::if_else(OSTEOSECONDAIRE ==1, NA, DMOTSCORE), </w:t>
            </w:r>
            <w:r>
              <w:br/>
            </w:r>
            <w:r>
              <w:rPr>
                <w:rStyle w:val="VerbatimChar"/>
              </w:rPr>
              <w:t xml:space="preserve">                OSTEOPONIA = dplyr::case_when(DMOTSCORE_mod &lt;= -1.5 ~ 1, </w:t>
            </w:r>
            <w:r>
              <w:br/>
            </w:r>
            <w:r>
              <w:rPr>
                <w:rStyle w:val="VerbatimChar"/>
              </w:rPr>
              <w:t xml:space="preserve">                                              DMOTSCORE_mod &gt; -1.5 ~ 0, </w:t>
            </w:r>
            <w:r>
              <w:br/>
            </w:r>
            <w:r>
              <w:rPr>
                <w:rStyle w:val="VerbatimChar"/>
              </w:rPr>
              <w:t xml:space="preserve">                                              .default = NA),</w:t>
            </w:r>
            <w:r>
              <w:br/>
            </w:r>
            <w:r>
              <w:rPr>
                <w:rStyle w:val="VerbatimChar"/>
              </w:rPr>
              <w:t xml:space="preserve">                OSTEOPOROSIS = dplyr::case_when(DMOTSCORE_mod &lt; -2.5 ~ 1, </w:t>
            </w:r>
            <w:r>
              <w:br/>
            </w:r>
            <w:r>
              <w:rPr>
                <w:rStyle w:val="VerbatimChar"/>
              </w:rPr>
              <w:t xml:space="preserve">                                              DMOTSCORE_mod &gt;= -2.5 ~ 0, </w:t>
            </w:r>
            <w:r>
              <w:br/>
            </w:r>
            <w:r>
              <w:rPr>
                <w:rStyle w:val="VerbatimChar"/>
              </w:rPr>
              <w:t xml:space="preserve">                                              .default = NA)) </w:t>
            </w:r>
            <w:r>
              <w:br/>
            </w:r>
            <w:r>
              <w:rPr>
                <w:rStyle w:val="VerbatimChar"/>
              </w:rPr>
              <w:t xml:space="preserve">  </w:t>
            </w:r>
            <w:r>
              <w:br/>
            </w:r>
            <w:r>
              <w:br/>
            </w:r>
            <w:r>
              <w:rPr>
                <w:rStyle w:val="VerbatimChar"/>
              </w:rPr>
              <w:t xml:space="preserve">flextable::proc_freq(cartagene_phenodata, </w:t>
            </w:r>
            <w:r>
              <w:br/>
            </w:r>
            <w:r>
              <w:rPr>
                <w:rStyle w:val="VerbatimChar"/>
              </w:rPr>
              <w:t xml:space="preserve">                     "OSTEOPONIA", "OSTEOPOROSIS")</w:t>
            </w:r>
          </w:p>
          <w:bookmarkEnd w:id="79"/>
        </w:tc>
      </w:tr>
    </w:tbl>
    <w:p>
      <w:pPr>
        <w:pStyle w:val="FirstParagraph"/>
      </w:pPr>
      <w:r>
        <w:t xml:space="preserve"> </w:t>
      </w:r>
    </w:p>
    <w:tbl>
      <w:tblPr>
        <w:tblStyle w:val="Table"/>
        <w:tblW w:type="pct" w:w="5000"/>
        <w:tblLayout w:type="fixed"/>
        <w:tblLook w:firstRow="0" w:lastRow="0" w:firstColumn="0" w:lastColumn="0" w:noHBand="0" w:noVBand="0" w:val="0000"/>
      </w:tblPr>
      <w:tblGrid>
        <w:gridCol w:w="7920"/>
      </w:tblGrid>
      <w:tr>
        <w:tc>
          <w:tcPr/>
          <w:bookmarkStart w:id="80" w:name="tbl-OSTEOPONIA-computation"/>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56"/>
              <w:gridCol w:w="1503"/>
              <w:gridCol w:w="2162"/>
              <w:gridCol w:w="2022"/>
              <w:gridCol w:w="2302"/>
              <w:gridCol w:w="2261"/>
            </w:tblGrid>
            <w:tr>
              <w:trPr>
                <w:trHeight w:val="577"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OSTEOPONIA</w:t>
                  </w:r>
                </w:p>
              </w:tc>
              <w:tc>
                <w:tcPr>
                  <w:vMerge w:val="restart"/>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gridSpan w:val="4"/>
                  <w:tcBorders>
                    <w:bottom w:val="single" w:sz="6"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OSTEOPOROSIS</w:t>
                  </w:r>
                </w:p>
              </w:tc>
            </w:tr>
            <w:tr>
              <w:trPr>
                <w:trHeight w:val="624"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vMerge/>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single" w:sz="12" w:space="0" w:color="666666"/>
                    <w:top w:val="single" w:sz="6"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single" w:sz="12" w:space="0" w:color="666666"/>
                    <w:top w:val="single" w:sz="6"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Missing</w:t>
                  </w:r>
                </w:p>
              </w:tc>
              <w:tc>
                <w:tcPr>
                  <w:tcBorders>
                    <w:bottom w:val="single" w:sz="12" w:space="0" w:color="666666"/>
                    <w:top w:val="single" w:sz="6"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w:t>
                  </w:r>
                </w:p>
              </w:tc>
            </w:tr>
            <w:tr>
              <w:trPr>
                <w:trHeight w:val="607"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12,463 (74.8%)</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12,463 (74.8%)</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17"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Mar. pct</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 (1)</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94.3% ;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body3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753 (4.5%)</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 (0.3%)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801 (4.8%)</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17" w:hRule="auto"/>
              </w:trPr>
              body4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Mar. pct</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 ; 94.0%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 ; 6.0%</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24" w:hRule="auto"/>
              </w:trPr>
              body5
              <w:tc>
                <w:tcPr>
                  <w:vMerge w:val="restart"/>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3,393 (20.4%)</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3,393 (20.4%)</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24" w:hRule="auto"/>
              </w:trPr>
              body6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Mar. pct</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 ; 100.0%</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body7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w:t>
                  </w:r>
                </w:p>
              </w:tc>
              <w:tc>
                <w:tcPr>
                  <w:tcBorders>
                    <w:bottom w:val="single" w:sz="12"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single" w:sz="12"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13,216 (79.3%)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 (0.3%)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3,393 (20.4%)</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16,657 (100.0%)</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360" w:hRule="auto"/>
              </w:trPr>
              footer1
              <w:tc>
                <w:tcPr>
                  <w:gridSpan w:val="6"/>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 (1)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Columns and rows percentages</w:t>
                  </w:r>
                </w:p>
              </w:tc>
            </w:tr>
          </w:tbl>
          <w:p>
            <w:pPr>
              <w:jc w:val="center"/>
            </w:pPr>
            <w:pPr>
              <w:jc w:val="start"/>
              <w:spacing w:before="200"/>
              <w:pStyle w:val="ImageCaption"/>
            </w:pPr>
            <w:r>
              <w:t xml:space="preserve">Table 1.3: OSTEOPOROSIS is considered as more severe than</w:t>
            </w:r>
            <w:r>
              <w:t xml:space="preserve"> </w:t>
            </w:r>
            <w:r>
              <w:rPr>
                <w:rStyle w:val="VerbatimChar"/>
              </w:rPr>
              <w:t xml:space="preserve">OSTEOPONIA</w:t>
            </w:r>
            <w:r>
              <w:t xml:space="preserve">, hence the striclty lower number of individuals affected by the disease.</w:t>
            </w:r>
          </w:p>
          <w:bookmarkEnd w:id="80"/>
        </w:tc>
      </w:tr>
    </w:tbl>
    <w:p>
      <w:pPr>
        <w:numPr>
          <w:ilvl w:val="0"/>
          <w:numId w:val="1028"/>
        </w:numPr>
      </w:pPr>
      <w:r>
        <w:rPr>
          <w:b/>
          <w:bCs/>
        </w:rPr>
        <w:t xml:space="preserve">Fracture events</w:t>
      </w:r>
      <w:r>
        <w:t xml:space="preserve">:</w:t>
      </w:r>
    </w:p>
    <w:p>
      <w:pPr>
        <w:pStyle w:val="Compact"/>
        <w:numPr>
          <w:ilvl w:val="1"/>
          <w:numId w:val="1029"/>
        </w:numPr>
      </w:pPr>
      <w:r>
        <w:t xml:space="preserve">We merge</w:t>
      </w:r>
      <w:r>
        <w:t xml:space="preserve"> </w:t>
      </w:r>
      <w:r>
        <w:rPr>
          <w:rStyle w:val="VerbatimChar"/>
        </w:rPr>
        <w:t xml:space="preserve">FXALL_PRE5</w:t>
      </w:r>
      <w:r>
        <w:t xml:space="preserve"> </w:t>
      </w:r>
      <w:r>
        <w:t xml:space="preserve">(any fracture occurring within the five years prior to recruitment) with</w:t>
      </w:r>
      <w:r>
        <w:t xml:space="preserve"> </w:t>
      </w:r>
      <w:r>
        <w:rPr>
          <w:rStyle w:val="VerbatimChar"/>
        </w:rPr>
        <w:t xml:space="preserve">FXALL_POST</w:t>
      </w:r>
      <w:r>
        <w:t xml:space="preserve"> </w:t>
      </w:r>
      <w:r>
        <w:t xml:space="preserve">(all fractures occurring during follow-up) into variable</w:t>
      </w:r>
      <w:r>
        <w:t xml:space="preserve"> </w:t>
      </w:r>
      <w:r>
        <w:rPr>
          <w:rStyle w:val="VerbatimChar"/>
        </w:rPr>
        <w:t xml:space="preserve">FXALL</w:t>
      </w:r>
      <w:r>
        <w:t xml:space="preserve">, being positive if an event fracture occured prior or posterior.</w:t>
      </w:r>
      <w:r>
        <w:t xml:space="preserve"> </w:t>
      </w:r>
      <w:r>
        <w:rPr>
          <w:color w:val="red"/>
        </w:rPr>
        <w:t>
          <w:r>
            <w:t xml:space="preserve">Which variable between</w:t>
          </w:r>
          <w:r>
            <w:t xml:space="preserve"> </w:t>
          </w:r>
          <w:r>
            <w:rPr>
              <w:rStyle w:val="VerbatimChar"/>
            </w:rPr>
            <w:t xml:space="preserve">FXALL_PRE5</w:t>
          </w:r>
          <w:r>
            <w:t xml:space="preserve"> </w:t>
          </w:r>
          <w:r>
            <w:t xml:space="preserve">and</w:t>
          </w:r>
          <w:r>
            <w:t xml:space="preserve"> </w:t>
          </w:r>
          <w:r>
            <w:rPr>
              <w:rStyle w:val="VerbatimChar"/>
            </w:rPr>
            <w:t xml:space="preserve">FXALL_PRE1</w:t>
          </w:r>
          <w:r>
            <w:t xml:space="preserve"> </w:t>
          </w:r>
          <w:r>
            <w:t xml:space="preserve">should be considered? Variables differ by 471</w:t>
          </w:r>
          <w:r>
            <w:t xml:space="preserve"> </w:t>
          </w:r>
          <m:oMath>
            <m:r>
              <m:rPr>
                <m:sty m:val="p"/>
              </m:rPr>
              <m:t>%</m:t>
            </m:r>
          </m:oMath>
          <w:r>
            <w:t xml:space="preserve"> </w:t>
          </w:r>
          <w:r>
            <w:t xml:space="preserve">overall!!</w:t>
          </w:r>
        </w:t>
      </w:r>
    </w:p>
    <w:p>
      <w:pPr>
        <w:pStyle w:val="Compact"/>
        <w:numPr>
          <w:ilvl w:val="1"/>
          <w:numId w:val="1029"/>
        </w:numPr>
      </w:pPr>
      <w:r>
        <w:rPr>
          <w:rStyle w:val="VerbatimChar"/>
        </w:rPr>
        <w:t xml:space="preserve">FXMOF_POST</w:t>
      </w:r>
      <w:r>
        <w:t xml:space="preserve"> </w:t>
      </w:r>
      <w:r>
        <w:t xml:space="preserve">(only osteoporotic fractures during follow-up)</w:t>
      </w:r>
      <w:r>
        <w:rPr>
          <w:rStyle w:val="FootnoteReference"/>
        </w:rPr>
        <w:footnoteReference w:id="81"/>
      </w:r>
      <w:r>
        <w:t xml:space="preserve"> </w:t>
      </w:r>
      <w:r>
        <w:rPr>
          <w:color w:val="red"/>
        </w:rPr>
        <w:t>
          <w:r>
            <w:t xml:space="preserve">In contrast with labelling, osteoporotic events, as stored in</w:t>
          </w:r>
          <w:r>
            <w:t xml:space="preserve"> </w:t>
          </w:r>
          <w:r>
            <w:rPr>
              <w:rStyle w:val="VerbatimChar"/>
            </w:rPr>
            <w:t xml:space="preserve">FXMOF_POST</w:t>
          </w:r>
          <w:r>
            <w:t xml:space="preserve">, contain both pre-, and post- fracture events, as shown by</w:t>
          </w:r>
          <w:r>
            <w:t xml:space="preserve"> </w:t>
          </w:r>
          <w:hyperlink w:anchor="fig-venn-osteo">
            <w:r>
              <w:rPr>
                <w:rStyle w:val="Hyperlink"/>
              </w:rPr>
              <w:t xml:space="preserve">Figure 1.2</w:t>
            </w:r>
          </w:hyperlink>
          <w:r>
            <w:t xml:space="preserve">.</w:t>
          </w:r>
        </w:t>
      </w:r>
    </w:p>
    <w:p>
      <w:pPr>
        <w:pStyle w:val="SourceCode"/>
      </w:pPr>
      <w:r>
        <w:rPr>
          <w:rStyle w:val="NormalTok"/>
        </w:rPr>
        <w:t xml:space="preserve">cartagene_phenodata </w:t>
      </w:r>
      <w:r>
        <w:rPr>
          <w:rStyle w:val="OtherTok"/>
        </w:rPr>
        <w:t xml:space="preserve">&lt;-</w:t>
      </w:r>
      <w:r>
        <w:rPr>
          <w:rStyle w:val="NormalTok"/>
        </w:rPr>
        <w:t xml:space="preserve"> cartagene_phenodata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FXALL =</w:t>
      </w:r>
      <w:r>
        <w:rPr>
          <w:rStyle w:val="NormalTok"/>
        </w:rPr>
        <w:t xml:space="preserve"> dplyr</w:t>
      </w:r>
      <w:r>
        <w:rPr>
          <w:rStyle w:val="SpecialCharTok"/>
        </w:rPr>
        <w:t xml:space="preserve">::</w:t>
      </w:r>
      <w:r>
        <w:rPr>
          <w:rStyle w:val="FunctionTok"/>
        </w:rPr>
        <w:t xml:space="preserve">if_else</w:t>
      </w:r>
      <w:r>
        <w:rPr>
          <w:rStyle w:val="NormalTok"/>
        </w:rPr>
        <w:t xml:space="preserve">(FXALL_POST </w:t>
      </w:r>
      <w:r>
        <w:rPr>
          <w:rStyle w:val="SpecialCharTok"/>
        </w:rPr>
        <w:t xml:space="preserve">==</w:t>
      </w:r>
      <w:r>
        <w:rPr>
          <w:rStyle w:val="NormalTok"/>
        </w:rPr>
        <w:t xml:space="preserve"> </w:t>
      </w:r>
      <w:r>
        <w:rPr>
          <w:rStyle w:val="DecValTok"/>
        </w:rPr>
        <w:t xml:space="preserve">1</w:t>
      </w:r>
      <w:r>
        <w:rPr>
          <w:rStyle w:val="NormalTok"/>
        </w:rPr>
        <w:t xml:space="preserve">L </w:t>
      </w:r>
      <w:r>
        <w:rPr>
          <w:rStyle w:val="SpecialCharTok"/>
        </w:rPr>
        <w:t xml:space="preserve">|</w:t>
      </w:r>
      <w:r>
        <w:rPr>
          <w:rStyle w:val="NormalTok"/>
        </w:rPr>
        <w:t xml:space="preserve"> FXALL_PRE1 </w:t>
      </w:r>
      <w:r>
        <w:rPr>
          <w:rStyle w:val="SpecialCharTok"/>
        </w:rPr>
        <w:t xml:space="preserve">==</w:t>
      </w:r>
      <w:r>
        <w:rPr>
          <w:rStyle w:val="DecValTok"/>
        </w:rPr>
        <w:t xml:space="preserve">1</w:t>
      </w:r>
      <w:r>
        <w:rPr>
          <w:rStyle w:val="NormalTok"/>
        </w:rPr>
        <w:t xml:space="preserve">L, </w:t>
      </w:r>
      <w:r>
        <w:rPr>
          <w:rStyle w:val="DecValTok"/>
        </w:rPr>
        <w:t xml:space="preserve">1</w:t>
      </w:r>
      <w:r>
        <w:rPr>
          <w:rStyle w:val="NormalTok"/>
        </w:rPr>
        <w:t xml:space="preserve">L, </w:t>
      </w:r>
      <w:r>
        <w:rPr>
          <w:rStyle w:val="DecValTok"/>
        </w:rPr>
        <w:t xml:space="preserve">0</w:t>
      </w:r>
      <w:r>
        <w:rPr>
          <w:rStyle w:val="NormalTok"/>
        </w:rPr>
        <w:t xml:space="preserve">L))</w:t>
      </w:r>
      <w:r>
        <w:br/>
      </w:r>
      <w:r>
        <w:br/>
      </w:r>
      <w:r>
        <w:rPr>
          <w:rStyle w:val="NormalTok"/>
        </w:rPr>
        <w:t xml:space="preserve">flextable</w:t>
      </w:r>
      <w:r>
        <w:rPr>
          <w:rStyle w:val="SpecialCharTok"/>
        </w:rPr>
        <w:t xml:space="preserve">::</w:t>
      </w:r>
      <w:r>
        <w:rPr>
          <w:rStyle w:val="FunctionTok"/>
        </w:rPr>
        <w:t xml:space="preserve">proc_freq</w:t>
      </w:r>
      <w:r>
        <w:rPr>
          <w:rStyle w:val="NormalTok"/>
        </w:rPr>
        <w:t xml:space="preserve">(cartagene_phenodata, </w:t>
      </w:r>
      <w:r>
        <w:br/>
      </w:r>
      <w:r>
        <w:rPr>
          <w:rStyle w:val="NormalTok"/>
        </w:rPr>
        <w:t xml:space="preserve">                     </w:t>
      </w:r>
      <w:r>
        <w:rPr>
          <w:rStyle w:val="StringTok"/>
        </w:rPr>
        <w:t xml:space="preserve">"FXALL"</w:t>
      </w:r>
      <w:r>
        <w:rPr>
          <w:rStyle w:val="NormalTok"/>
        </w:rPr>
        <w:t xml:space="preserve">, </w:t>
      </w:r>
      <w:r>
        <w:rPr>
          <w:rStyle w:val="StringTok"/>
        </w:rPr>
        <w:t xml:space="preserve">"FXMOF_POST"</w:t>
      </w:r>
      <w:r>
        <w:rPr>
          <w:rStyle w:val="NormalTok"/>
        </w:rPr>
        <w:t xml:space="preserve">)</w:t>
      </w:r>
      <w:r>
        <w:br/>
      </w:r>
      <w:r>
        <w:rPr>
          <w:rStyle w:val="NormalTok"/>
        </w:rPr>
        <w:t xml:space="preserve">flextable</w:t>
      </w:r>
      <w:r>
        <w:rPr>
          <w:rStyle w:val="SpecialCharTok"/>
        </w:rPr>
        <w:t xml:space="preserve">::</w:t>
      </w:r>
      <w:r>
        <w:rPr>
          <w:rStyle w:val="FunctionTok"/>
        </w:rPr>
        <w:t xml:space="preserve">proc_freq</w:t>
      </w:r>
      <w:r>
        <w:rPr>
          <w:rStyle w:val="NormalTok"/>
        </w:rPr>
        <w:t xml:space="preserve">(cartagene_phenodata, </w:t>
      </w:r>
      <w:r>
        <w:br/>
      </w:r>
      <w:r>
        <w:rPr>
          <w:rStyle w:val="NormalTok"/>
        </w:rPr>
        <w:t xml:space="preserve">                     </w:t>
      </w:r>
      <w:r>
        <w:rPr>
          <w:rStyle w:val="StringTok"/>
        </w:rPr>
        <w:t xml:space="preserve">"FXALL_POST"</w:t>
      </w:r>
      <w:r>
        <w:rPr>
          <w:rStyle w:val="NormalTok"/>
        </w:rPr>
        <w:t xml:space="preserve">, </w:t>
      </w:r>
      <w:r>
        <w:rPr>
          <w:rStyle w:val="StringTok"/>
        </w:rPr>
        <w:t xml:space="preserve">"FXALL_PRE1"</w:t>
      </w:r>
      <w:r>
        <w:rPr>
          <w:rStyle w:val="NormalTok"/>
        </w:rPr>
        <w:t xml:space="preserve">)</w:t>
      </w:r>
    </w:p>
    <w:bookmarkStart w:id="84" w:name="tbl-fracture-computation"/>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82" w:name="tbl-fracture-computation-1"/>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4"/>
                    <w:gridCol w:w="1503"/>
                    <w:gridCol w:w="2162"/>
                    <w:gridCol w:w="2162"/>
                    <w:gridCol w:w="2261"/>
                  </w:tblGrid>
                  <w:tr>
                    <w:trPr>
                      <w:trHeight w:val="626"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FXALL</w:t>
                        </w:r>
                      </w:p>
                    </w:tc>
                    <w:tc>
                      <w:tcPr>
                        <w:vMerge w:val="restart"/>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gridSpan w:val="3"/>
                        <w:tcBorders>
                          <w:bottom w:val="single" w:sz="6"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FXMOF_POST</w:t>
                        </w:r>
                      </w:p>
                    </w:tc>
                  </w:tr>
                  <w:tr>
                    <w:trPr>
                      <w:trHeight w:val="581"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vMerge/>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single" w:sz="12" w:space="0" w:color="666666"/>
                          <w:top w:val="single" w:sz="6"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single" w:sz="6"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single" w:sz="12" w:space="0" w:color="666666"/>
                          <w:top w:val="single" w:sz="6"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w:t>
                        </w:r>
                      </w:p>
                    </w:tc>
                  </w:tr>
                  <w:tr>
                    <w:trPr>
                      <w:trHeight w:val="607"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15,824 (95.0%)</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15,824 (95.0%)</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17"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Mar. pct</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 (1)</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96.8% ; 100.0%</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body3
                    <w:tc>
                      <w:tcPr>
                        <w:vMerge w:val="restart"/>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529 (3.2%)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304 (1.8%)</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833 (5.0%)</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17" w:hRule="auto"/>
                    </w:trPr>
                    body4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Mar. pct</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 ; 63.5%</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 ; 36.5%</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body5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w:t>
                        </w:r>
                      </w:p>
                    </w:tc>
                    <w:tc>
                      <w:tcPr>
                        <w:tcBorders>
                          <w:bottom w:val="single" w:sz="12"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single" w:sz="12"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16,353 (98.2%)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304 (1.8%)</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16,657 (100.0%)</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360" w:hRule="auto"/>
                    </w:trPr>
                    footer1
                    <w:tc>
                      <w:tcPr>
                        <w:gridSpan w:val="5"/>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 (1)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Columns and rows percentages</w:t>
                        </w:r>
                      </w:p>
                    </w:tc>
                  </w:tr>
                </w:tbl>
                <w:p>
                  <w:pPr>
                    <w:jc w:val="center"/>
                  </w:pPr>
                  <w:pPr>
                    <w:jc w:val="start"/>
                    <w:spacing w:before="200"/>
                    <w:pStyle w:val="ImageCaption"/>
                  </w:pPr>
                  <w:r>
                    <w:t xml:space="preserve">(a) All fractures vs osteporotic fractures</w:t>
                  </w:r>
                </w:p>
                <w:bookmarkEnd w:id="82"/>
              </w:tc>
            </w:tr>
          </w:tbl>
          <w:p/>
        </w:tc>
        <w:tc>
          <w:tcPr/>
          <w:p>
            <w:pPr>
              <w:jc w:val="center"/>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83" w:name="tbl-fracture-computation-2"/>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73"/>
                    <w:gridCol w:w="1503"/>
                    <w:gridCol w:w="2121"/>
                    <w:gridCol w:w="1882"/>
                    <w:gridCol w:w="2261"/>
                  </w:tblGrid>
                  <w:tr>
                    <w:trPr>
                      <w:trHeight w:val="626"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FXALL_POST</w:t>
                        </w:r>
                      </w:p>
                    </w:tc>
                    <w:tc>
                      <w:tcPr>
                        <w:vMerge w:val="restart"/>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gridSpan w:val="3"/>
                        <w:tcBorders>
                          <w:bottom w:val="single" w:sz="6"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FXALL_PRE1</w:t>
                        </w:r>
                      </w:p>
                    </w:tc>
                  </w:tr>
                  <w:tr>
                    <w:trPr>
                      <w:trHeight w:val="626"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vMerge/>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single" w:sz="12" w:space="0" w:color="666666"/>
                          <w:top w:val="single" w:sz="6"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single" w:sz="6"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single" w:sz="12" w:space="0" w:color="666666"/>
                          <w:top w:val="single" w:sz="6"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w:t>
                        </w:r>
                      </w:p>
                    </w:tc>
                  </w:tr>
                  <w:tr>
                    <w:trPr>
                      <w:trHeight w:val="607"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15,824 (95.0%)</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92 (0.6%)</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15,916 (95.6%)</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17"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Mar. pct</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 (1)</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95.6% ; 99.4%</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82.9% ; 0.6%</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body3
                    <w:tc>
                      <w:tcPr>
                        <w:vMerge w:val="restart"/>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722 (4.3%)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 (0.1%)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741 (4.4%)</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17" w:hRule="auto"/>
                    </w:trPr>
                    body4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Mar. pct</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 ; 97.4%</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17.1% ; 2.6%</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body5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w:t>
                        </w:r>
                      </w:p>
                    </w:tc>
                    <w:tc>
                      <w:tcPr>
                        <w:tcBorders>
                          <w:bottom w:val="single" w:sz="12"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single" w:sz="12"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16,546 (99.3%)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111 (0.7%)</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16,657 (100.0%)</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360" w:hRule="auto"/>
                    </w:trPr>
                    footer1
                    <w:tc>
                      <w:tcPr>
                        <w:gridSpan w:val="5"/>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 (1)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Columns and rows percentages</w:t>
                        </w:r>
                      </w:p>
                    </w:tc>
                  </w:tr>
                </w:tbl>
                <w:p>
                  <w:pPr>
                    <w:jc w:val="center"/>
                  </w:pPr>
                  <w:pPr>
                    <w:jc w:val="start"/>
                    <w:spacing w:before="200"/>
                    <w:pStyle w:val="ImageCaption"/>
                  </w:pPr>
                  <w:r>
                    <w:t xml:space="preserve">(b) Pre vs post-fractures.</w:t>
                  </w:r>
                </w:p>
                <w:bookmarkEnd w:id="83"/>
              </w:tc>
            </w:tr>
          </w:tbl>
          <w:p/>
        </w:tc>
      </w:tr>
    </w:tbl>
    <w:p>
      <w:pPr>
        <w:pStyle w:val="BodyText"/>
      </w:pPr>
      <w:pPr>
        <w:spacing w:before="200"/>
        <w:pStyle w:val="ImageCaption"/>
      </w:pPr>
      <w:r>
        <w:t xml:space="preserve">Table 1.4: Description of fracture events.</w:t>
      </w:r>
    </w:p>
    <w:bookmarkEnd w:id="84"/>
    <w:p>
      <w:pPr>
        <w:pStyle w:val="BodyText"/>
      </w:pPr>
      <w:r>
        <w:t xml:space="preserve"> </w:t>
      </w:r>
    </w:p>
    <w:bookmarkStart w:id="93" w:name="fig-venn-osteo"/>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88" w:name="fig-venn-osteo-1"/>
                <w:p>
                  <w:pPr>
                    <w:pStyle w:val="Compact"/>
                    <w:jc w:val="center"/>
                  </w:pPr>
                  <w:r>
                    <w:drawing>
                      <wp:inline>
                        <wp:extent cx="2971800" cy="2377440"/>
                        <wp:effectExtent b="0" l="0" r="0" t="0"/>
                        <wp:docPr descr="" title="" id="86" name="Picture"/>
                        <a:graphic>
                          <a:graphicData uri="http://schemas.openxmlformats.org/drawingml/2006/picture">
                            <pic:pic>
                              <pic:nvPicPr>
                                <pic:cNvPr descr="CARTaGENE-GWAS-Report_files/figure-docx/fig-venn-osteo-1.png" id="87" name="Picture"/>
                                <pic:cNvPicPr>
                                  <a:picLocks noChangeArrowheads="1" noChangeAspect="1"/>
                                </pic:cNvPicPr>
                              </pic:nvPicPr>
                              <pic:blipFill>
                                <a:blip r:embed="rId85"/>
                                <a:stretch>
                                  <a:fillRect/>
                                </a:stretch>
                              </pic:blipFill>
                              <pic:spPr bwMode="auto">
                                <a:xfrm>
                                  <a:off x="0" y="0"/>
                                  <a:ext cx="2971800" cy="2377440"/>
                                </a:xfrm>
                                <a:prstGeom prst="rect">
                                  <a:avLst/>
                                </a:prstGeom>
                                <a:noFill/>
                                <a:ln w="9525">
                                  <a:noFill/>
                                  <a:headEnd/>
                                  <a:tailEnd/>
                                </a:ln>
                              </pic:spPr>
                            </pic:pic>
                          </a:graphicData>
                        </a:graphic>
                      </wp:inline>
                    </w:drawing>
                  </w:r>
                </w:p>
                <w:p>
                  <w:pPr>
                    <w:jc w:val="center"/>
                  </w:pPr>
                  <w:pPr>
                    <w:jc w:val="start"/>
                    <w:spacing w:before="200"/>
                    <w:pStyle w:val="ImageCaption"/>
                  </w:pPr>
                  <w:r>
                    <w:t xml:space="preserve">(a) Generated by</w:t>
                  </w:r>
                  <w:r>
                    <w:t xml:space="preserve"> </w:t>
                  </w:r>
                  <w:r>
                    <w:rPr>
                      <w:rStyle w:val="VerbatimChar"/>
                    </w:rPr>
                    <w:t xml:space="preserve">VennDiagram</w:t>
                  </w:r>
                </w:p>
                <w:bookmarkEnd w:id="88"/>
              </w:tc>
            </w:tr>
          </w:tbl>
          <w:p/>
        </w:tc>
        <w:tc>
          <w:tcPr/>
          <w:p>
            <w:pPr>
              <w:pStyle w:val="BodyTex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92" w:name="fig-venn-osteo-2"/>
                <w:p>
                  <w:pPr>
                    <w:pStyle w:val="Compact"/>
                    <w:jc w:val="center"/>
                  </w:pPr>
                  <w:r>
                    <w:drawing>
                      <wp:inline>
                        <wp:extent cx="2971800" cy="2971800"/>
                        <wp:effectExtent b="0" l="0" r="0" t="0"/>
                        <wp:docPr descr="" title="" id="90" name="Picture"/>
                        <a:graphic>
                          <a:graphicData uri="http://schemas.openxmlformats.org/drawingml/2006/picture">
                            <pic:pic>
                              <pic:nvPicPr>
                                <pic:cNvPr descr="figures/venn_diagram_fractures.png" id="91" name="Picture"/>
                                <pic:cNvPicPr>
                                  <a:picLocks noChangeArrowheads="1" noChangeAspect="1"/>
                                </pic:cNvPicPr>
                              </pic:nvPicPr>
                              <pic:blipFill>
                                <a:blip r:embed="rId89"/>
                                <a:stretch>
                                  <a:fillRect/>
                                </a:stretch>
                              </pic:blipFill>
                              <pic:spPr bwMode="auto">
                                <a:xfrm>
                                  <a:off x="0" y="0"/>
                                  <a:ext cx="2971800" cy="2971800"/>
                                </a:xfrm>
                                <a:prstGeom prst="rect">
                                  <a:avLst/>
                                </a:prstGeom>
                                <a:noFill/>
                                <a:ln w="9525">
                                  <a:noFill/>
                                  <a:headEnd/>
                                  <a:tailEnd/>
                                </a:ln>
                              </pic:spPr>
                            </pic:pic>
                          </a:graphicData>
                        </a:graphic>
                      </wp:inline>
                    </w:drawing>
                  </w:r>
                </w:p>
                <w:p>
                  <w:pPr>
                    <w:jc w:val="center"/>
                  </w:pPr>
                  <w:pPr>
                    <w:jc w:val="start"/>
                    <w:spacing w:before="200"/>
                    <w:pStyle w:val="ImageCaption"/>
                  </w:pPr>
                  <w:r>
                    <w:t xml:space="preserve">(b) Generated by</w:t>
                  </w:r>
                  <w:r>
                    <w:t xml:space="preserve"> </w:t>
                  </w:r>
                  <w:r>
                    <w:rPr>
                      <w:rStyle w:val="VerbatimChar"/>
                    </w:rPr>
                    <w:t xml:space="preserve">ggVennDiagram</w:t>
                  </w:r>
                </w:p>
                <w:bookmarkEnd w:id="92"/>
              </w:tc>
            </w:tr>
          </w:tbl>
          <w:p/>
        </w:tc>
      </w:tr>
    </w:tbl>
    <w:p>
      <w:pPr>
        <w:pStyle w:val="BodyText"/>
      </w:pPr>
      <w:pPr>
        <w:spacing w:before="200"/>
        <w:pStyle w:val="ImageCaption"/>
      </w:pPr>
      <w:r>
        <w:t xml:space="preserve">Figure 1.2: Venn Diagrams of fracture events, before and after diagnosis control.</w:t>
      </w:r>
    </w:p>
    <w:bookmarkEnd w:id="93"/>
    <w:bookmarkEnd w:id="94"/>
    <w:bookmarkStart w:id="99" w:name="iii-cardiovascular-diseases"/>
    <w:p>
      <w:pPr>
        <w:pStyle w:val="Heading5"/>
      </w:pPr>
      <w:r>
        <w:t xml:space="preserve">1.3.3.1.3 iii) Cardiovascular diseases</w:t>
      </w:r>
    </w:p>
    <w:p>
      <w:pPr>
        <w:numPr>
          <w:ilvl w:val="0"/>
          <w:numId w:val="1030"/>
        </w:numPr>
      </w:pPr>
      <w:r>
        <w:t xml:space="preserve">The variables</w:t>
      </w:r>
      <w:r>
        <w:t xml:space="preserve"> </w:t>
      </w:r>
      <w:r>
        <w:rPr>
          <w:rStyle w:val="VerbatimChar"/>
        </w:rPr>
        <w:t xml:space="preserve">CVALL_POST</w:t>
      </w:r>
      <w:r>
        <w:t xml:space="preserve"> </w:t>
      </w:r>
      <w:r>
        <w:t xml:space="preserve">and</w:t>
      </w:r>
      <w:r>
        <w:t xml:space="preserve"> </w:t>
      </w:r>
      <w:r>
        <w:rPr>
          <w:rStyle w:val="VerbatimChar"/>
        </w:rPr>
        <w:t xml:space="preserve">CVMACE_POST</w:t>
      </w:r>
      <w:r>
        <w:t xml:space="preserve"> </w:t>
      </w:r>
      <w:r>
        <w:t xml:space="preserve">correspond to the occurrence of any cardiovascular event and</w:t>
      </w:r>
      <w:r>
        <w:t xml:space="preserve"> </w:t>
      </w:r>
      <w:r>
        <w:rPr>
          <w:b/>
          <w:bCs/>
        </w:rPr>
        <w:t xml:space="preserve">major adverse cardiovascular events</w:t>
      </w:r>
      <w:r>
        <w:t xml:space="preserve"> </w:t>
      </w:r>
      <w:r>
        <w:t xml:space="preserve">(MACE), including myocardial infarction, stroke, or cardiovascular death events, is the cognate subset of the most life-threatening heart conditions.</w:t>
      </w:r>
      <w:r>
        <w:t xml:space="preserve"> </w:t>
      </w:r>
      <w:r>
        <w:rPr>
          <w:color w:val="red"/>
        </w:rPr>
        <w:t>
          <w:r>
            <w:t xml:space="preserve">An extended follow-up dataset is available for</w:t>
          </w:r>
          <w:r>
            <w:t xml:space="preserve"> </w:t>
          </w:r>
          <w:r>
            <w:rPr>
              <w:rStyle w:val="VerbatimChar"/>
            </w:rPr>
            <w:t xml:space="preserve">CVALL_POST</w:t>
          </w:r>
          <w:r>
            <w:t xml:space="preserve">; however, it is not currently accessible.</w:t>
          </w:r>
        </w:t>
      </w:r>
    </w:p>
    <w:p>
      <w:pPr>
        <w:numPr>
          <w:ilvl w:val="0"/>
          <w:numId w:val="1030"/>
        </w:numPr>
      </w:pPr>
      <w:r>
        <w:t xml:space="preserve">The variable</w:t>
      </w:r>
      <w:r>
        <w:t xml:space="preserve"> </w:t>
      </w:r>
      <w:r>
        <w:rPr>
          <w:rStyle w:val="VerbatimChar"/>
        </w:rPr>
        <w:t xml:space="preserve">MCASGLOBAL_PRE_M</w:t>
      </w:r>
      <w:r>
        <w:t xml:space="preserve"> </w:t>
      </w:r>
      <w:r>
        <w:t xml:space="preserve">captures ischemic heart disease events, at baseline.</w:t>
      </w:r>
    </w:p>
    <w:p>
      <w:pPr>
        <w:numPr>
          <w:ilvl w:val="0"/>
          <w:numId w:val="1030"/>
        </w:numPr>
      </w:pPr>
      <w:r>
        <w:t xml:space="preserve">The variable</w:t>
      </w:r>
      <w:r>
        <w:t xml:space="preserve"> </w:t>
      </w:r>
      <w:r>
        <w:rPr>
          <w:rStyle w:val="VerbatimChar"/>
        </w:rPr>
        <w:t xml:space="preserve">AVCGLOBAL_PRE_M</w:t>
      </w:r>
      <w:r>
        <w:t xml:space="preserve"> </w:t>
      </w:r>
      <w:r>
        <w:t xml:space="preserve">represents the history of stroke events.</w:t>
      </w:r>
    </w:p>
    <w:p>
      <w:pPr>
        <w:pStyle w:val="FirstParagraph"/>
      </w:pPr>
      <w:r>
        <w:t xml:space="preserve">Contingency tables of both pre-, and post-, cardiovascular events are reported in</w:t>
      </w:r>
      <w:r>
        <w:t xml:space="preserve"> </w:t>
      </w:r>
      <w:hyperlink w:anchor="tbl-cardiovascular-diseases">
        <w:r>
          <w:rPr>
            <w:rStyle w:val="Hyperlink"/>
          </w:rPr>
          <w:t xml:space="preserve">Table 1.5</w:t>
        </w:r>
      </w:hyperlink>
      <w:r>
        <w:t xml:space="preserve">.</w:t>
      </w:r>
    </w:p>
    <w:p>
      <w:pPr>
        <w:pStyle w:val="SourceCode"/>
      </w:pPr>
      <w:r>
        <w:rPr>
          <w:rStyle w:val="NormalTok"/>
        </w:rPr>
        <w:t xml:space="preserve">flextable</w:t>
      </w:r>
      <w:r>
        <w:rPr>
          <w:rStyle w:val="SpecialCharTok"/>
        </w:rPr>
        <w:t xml:space="preserve">::</w:t>
      </w:r>
      <w:r>
        <w:rPr>
          <w:rStyle w:val="FunctionTok"/>
        </w:rPr>
        <w:t xml:space="preserve">proc_freq</w:t>
      </w:r>
      <w:r>
        <w:rPr>
          <w:rStyle w:val="NormalTok"/>
        </w:rPr>
        <w:t xml:space="preserve">(cartagene_phenodata, </w:t>
      </w:r>
      <w:r>
        <w:br/>
      </w:r>
      <w:r>
        <w:rPr>
          <w:rStyle w:val="NormalTok"/>
        </w:rPr>
        <w:t xml:space="preserve">                     </w:t>
      </w:r>
      <w:r>
        <w:rPr>
          <w:rStyle w:val="StringTok"/>
        </w:rPr>
        <w:t xml:space="preserve">"CVALL_POST"</w:t>
      </w:r>
      <w:r>
        <w:rPr>
          <w:rStyle w:val="NormalTok"/>
        </w:rPr>
        <w:t xml:space="preserve">, </w:t>
      </w:r>
      <w:r>
        <w:rPr>
          <w:rStyle w:val="StringTok"/>
        </w:rPr>
        <w:t xml:space="preserve">"CVMACE_POST"</w:t>
      </w:r>
      <w:r>
        <w:rPr>
          <w:rStyle w:val="NormalTok"/>
        </w:rPr>
        <w:t xml:space="preserve">)</w:t>
      </w:r>
      <w:r>
        <w:br/>
      </w:r>
      <w:r>
        <w:rPr>
          <w:rStyle w:val="NormalTok"/>
        </w:rPr>
        <w:t xml:space="preserve">flextable</w:t>
      </w:r>
      <w:r>
        <w:rPr>
          <w:rStyle w:val="SpecialCharTok"/>
        </w:rPr>
        <w:t xml:space="preserve">::</w:t>
      </w:r>
      <w:r>
        <w:rPr>
          <w:rStyle w:val="FunctionTok"/>
        </w:rPr>
        <w:t xml:space="preserve">proc_freq</w:t>
      </w:r>
      <w:r>
        <w:rPr>
          <w:rStyle w:val="NormalTok"/>
        </w:rPr>
        <w:t xml:space="preserve">(cartagene_phenodata, </w:t>
      </w:r>
      <w:r>
        <w:br/>
      </w:r>
      <w:r>
        <w:rPr>
          <w:rStyle w:val="NormalTok"/>
        </w:rPr>
        <w:t xml:space="preserve">                     </w:t>
      </w:r>
      <w:r>
        <w:rPr>
          <w:rStyle w:val="StringTok"/>
        </w:rPr>
        <w:t xml:space="preserve">"MCASGLOBAL_PRE_M"</w:t>
      </w:r>
      <w:r>
        <w:rPr>
          <w:rStyle w:val="NormalTok"/>
        </w:rPr>
        <w:t xml:space="preserve">, </w:t>
      </w:r>
      <w:r>
        <w:rPr>
          <w:rStyle w:val="StringTok"/>
        </w:rPr>
        <w:t xml:space="preserve">"AVCGLOBAL_PRE_M"</w:t>
      </w:r>
      <w:r>
        <w:rPr>
          <w:rStyle w:val="NormalTok"/>
        </w:rPr>
        <w:t xml:space="preserve">)</w:t>
      </w:r>
    </w:p>
    <w:bookmarkStart w:id="97" w:name="tbl-cardiovascular-diseases"/>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95" w:name="tbl-cardiovascular-diseases-1"/>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00"/>
                    <w:gridCol w:w="1503"/>
                    <w:gridCol w:w="2162"/>
                    <w:gridCol w:w="2162"/>
                    <w:gridCol w:w="2261"/>
                  </w:tblGrid>
                  <w:tr>
                    <w:trPr>
                      <w:trHeight w:val="626"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CVALL_POST</w:t>
                        </w:r>
                      </w:p>
                    </w:tc>
                    <w:tc>
                      <w:tcPr>
                        <w:vMerge w:val="restart"/>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gridSpan w:val="3"/>
                        <w:tcBorders>
                          <w:bottom w:val="single" w:sz="6"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CVMACE_POST</w:t>
                        </w:r>
                      </w:p>
                    </w:tc>
                  </w:tr>
                  <w:tr>
                    <w:trPr>
                      <w:trHeight w:val="626"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vMerge/>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single" w:sz="12" w:space="0" w:color="666666"/>
                          <w:top w:val="single" w:sz="6"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single" w:sz="6"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single" w:sz="12" w:space="0" w:color="666666"/>
                          <w:top w:val="single" w:sz="6"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w:t>
                        </w:r>
                      </w:p>
                    </w:tc>
                  </w:tr>
                  <w:tr>
                    <w:trPr>
                      <w:trHeight w:val="607"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16,215 (97.3%)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16,215 (97.3%)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17"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Mar. pct</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 (1)</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98.7% ; 100.0%</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body3
                    <w:tc>
                      <w:tcPr>
                        <w:vMerge w:val="restart"/>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221 (1.3%)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221 (1.3%)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442 (2.7%)</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17" w:hRule="auto"/>
                    </w:trPr>
                    body4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Mar. pct</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 ; 50.0%</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 ; 50.0%</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body5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w:t>
                        </w:r>
                      </w:p>
                    </w:tc>
                    <w:tc>
                      <w:tcPr>
                        <w:tcBorders>
                          <w:bottom w:val="single" w:sz="12"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single" w:sz="12"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16,436 (98.7%)</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221 (1.3%)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16,657 (100.0%)</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360" w:hRule="auto"/>
                    </w:trPr>
                    footer1
                    <w:tc>
                      <w:tcPr>
                        <w:gridSpan w:val="5"/>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 (1)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Columns and rows percentages</w:t>
                        </w:r>
                      </w:p>
                    </w:tc>
                  </w:tr>
                </w:tbl>
                <w:p>
                  <w:pPr>
                    <w:jc w:val="center"/>
                  </w:pPr>
                  <w:pPr>
                    <w:jc w:val="start"/>
                    <w:spacing w:before="200"/>
                    <w:pStyle w:val="ImageCaption"/>
                  </w:pPr>
                  <w:r>
                    <w:t xml:space="preserve">(a) CVALL_POST vs CVMACE_POST</w:t>
                  </w:r>
                </w:p>
                <w:bookmarkEnd w:id="95"/>
              </w:tc>
            </w:tr>
          </w:tbl>
          <w:p/>
        </w:tc>
        <w:tc>
          <w:tcPr/>
          <w:p>
            <w:pPr>
              <w:jc w:val="center"/>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96" w:name="tbl-cardiovascular-diseases-2"/>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769"/>
                    <w:gridCol w:w="1503"/>
                    <w:gridCol w:w="2121"/>
                    <w:gridCol w:w="1882"/>
                    <w:gridCol w:w="2261"/>
                  </w:tblGrid>
                  <w:tr>
                    <w:trPr>
                      <w:trHeight w:val="626"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MCASGLOBAL_PRE_M</w:t>
                        </w:r>
                      </w:p>
                    </w:tc>
                    <w:tc>
                      <w:tcPr>
                        <w:vMerge w:val="restart"/>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gridSpan w:val="3"/>
                        <w:tcBorders>
                          <w:bottom w:val="single" w:sz="6"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AVCGLOBAL_PRE_M</w:t>
                        </w:r>
                      </w:p>
                    </w:tc>
                  </w:tr>
                  <w:tr>
                    <w:trPr>
                      <w:trHeight w:val="626"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vMerge/>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single" w:sz="12" w:space="0" w:color="666666"/>
                          <w:top w:val="single" w:sz="6"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single" w:sz="6"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single" w:sz="12" w:space="0" w:color="666666"/>
                          <w:top w:val="single" w:sz="6"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w:t>
                        </w:r>
                      </w:p>
                    </w:tc>
                  </w:tr>
                  <w:tr>
                    <w:trPr>
                      <w:trHeight w:val="607"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15,520 (93.2%)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203 (1.2%)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15,723 (94.4%)</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17"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Mar. pct</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 (1)</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94.8% ; 98.7%</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72.0% ; 1.3%</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body3
                    <w:tc>
                      <w:tcPr>
                        <w:vMerge w:val="restart"/>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855 (5.1%)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79 (0.5%)</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934 (5.6%)</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17" w:hRule="auto"/>
                    </w:trPr>
                    body4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Mar. pct</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 ; 91.5%</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28.0% ; 8.5%</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body5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w:t>
                        </w:r>
                      </w:p>
                    </w:tc>
                    <w:tc>
                      <w:tcPr>
                        <w:tcBorders>
                          <w:bottom w:val="single" w:sz="12"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single" w:sz="12"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16,375 (98.3%)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282 (1.7%)</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16,657 (100.0%)</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360" w:hRule="auto"/>
                    </w:trPr>
                    footer1
                    <w:tc>
                      <w:tcPr>
                        <w:gridSpan w:val="5"/>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 (1)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Columns and rows percentages</w:t>
                        </w:r>
                      </w:p>
                    </w:tc>
                  </w:tr>
                </w:tbl>
                <w:p>
                  <w:pPr>
                    <w:jc w:val="center"/>
                  </w:pPr>
                  <w:pPr>
                    <w:jc w:val="start"/>
                    <w:spacing w:before="200"/>
                    <w:pStyle w:val="ImageCaption"/>
                  </w:pPr>
                  <w:r>
                    <w:t xml:space="preserve">(b) MCASGLOBAL_PRE_M vs AVCGLOBAL_PRE_M</w:t>
                  </w:r>
                </w:p>
                <w:bookmarkEnd w:id="96"/>
              </w:tc>
            </w:tr>
          </w:tbl>
          <w:p/>
        </w:tc>
      </w:tr>
    </w:tbl>
    <w:p>
      <w:pPr>
        <w:pStyle w:val="BodyText"/>
      </w:pPr>
      <w:pPr>
        <w:spacing w:before="200"/>
        <w:pStyle w:val="ImageCaption"/>
      </w:pPr>
      <w:r>
        <w:t xml:space="preserve">Table 1.5: Cardiovascular disease events</w:t>
      </w:r>
    </w:p>
    <w:bookmarkEnd w:id="97"/>
    <w:p>
      <w:pPr>
        <w:pStyle w:val="BodyText"/>
      </w:pPr>
      <w:r>
        <w:t xml:space="preserve">Finally, we save the updated phenotype dataset as a Tab-separated file, using</w:t>
      </w:r>
      <w:r>
        <w:t xml:space="preserve"> </w:t>
      </w:r>
      <w:r>
        <w:rPr>
          <w:rStyle w:val="VerbatimChar"/>
        </w:rPr>
        <w:t xml:space="preserve">readr::write_tsv</w:t>
      </w:r>
      <w:r>
        <w:t xml:space="preserve">, see</w:t>
      </w:r>
      <w:r>
        <w:t xml:space="preserve"> </w:t>
      </w:r>
      <w:hyperlink w:anchor="tbl-cartage-pheno-features-and-save">
        <w:r>
          <w:rPr>
            <w:rStyle w:val="Hyperlink"/>
          </w:rPr>
          <w:t xml:space="preserve">Table 1.6</w:t>
        </w:r>
      </w:hyperlink>
      <w:r>
        <w:t xml:space="preserve"> </w:t>
      </w:r>
      <w:r>
        <w:t xml:space="preserve">for details:</w:t>
      </w:r>
    </w:p>
    <w:p>
      <w:pPr>
        <w:pStyle w:val="SourceCode"/>
      </w:pPr>
      <w:r>
        <w:rPr>
          <w:rStyle w:val="DocumentationTok"/>
        </w:rPr>
        <w:t xml:space="preserve">## define Boolean categorical variables</w:t>
      </w:r>
      <w:r>
        <w:br/>
      </w:r>
      <w:r>
        <w:rPr>
          <w:rStyle w:val="NormalTok"/>
        </w:rPr>
        <w:t xml:space="preserve">categorical_variables </w:t>
      </w:r>
      <w:r>
        <w:rPr>
          <w:rStyle w:val="OtherTok"/>
        </w:rPr>
        <w:t xml:space="preserve">&lt;-</w:t>
      </w:r>
      <w:r>
        <w:rPr>
          <w:rStyle w:val="NormalTok"/>
        </w:rPr>
        <w:t xml:space="preserve"> cartagene_response_variables</w:t>
      </w:r>
      <w:r>
        <w:rPr>
          <w:rStyle w:val="SpecialCharTok"/>
        </w:rPr>
        <w:t xml:space="preserve">$</w:t>
      </w:r>
      <w:r>
        <w:rPr>
          <w:rStyle w:val="NormalTok"/>
        </w:rPr>
        <w:t xml:space="preserve">Features[</w:t>
      </w:r>
      <w:r>
        <w:br/>
      </w:r>
      <w:r>
        <w:rPr>
          <w:rStyle w:val="NormalTok"/>
        </w:rPr>
        <w:t xml:space="preserve">  cartagene_response_variables</w:t>
      </w:r>
      <w:r>
        <w:rPr>
          <w:rStyle w:val="SpecialCharTok"/>
        </w:rPr>
        <w:t xml:space="preserve">$</w:t>
      </w:r>
      <w:r>
        <w:rPr>
          <w:rStyle w:val="NormalTok"/>
        </w:rPr>
        <w:t xml:space="preserve">Type </w:t>
      </w:r>
      <w:r>
        <w:rPr>
          <w:rStyle w:val="SpecialCharTok"/>
        </w:rPr>
        <w:t xml:space="preserve">==</w:t>
      </w:r>
      <w:r>
        <w:rPr>
          <w:rStyle w:val="NormalTok"/>
        </w:rPr>
        <w:t xml:space="preserve"> </w:t>
      </w:r>
      <w:r>
        <w:rPr>
          <w:rStyle w:val="StringTok"/>
        </w:rPr>
        <w:t xml:space="preserve">"Boolean"</w:t>
      </w:r>
      <w:r>
        <w:rPr>
          <w:rStyle w:val="NormalTok"/>
        </w:rPr>
        <w:t xml:space="preserve">]</w:t>
      </w:r>
      <w:r>
        <w:br/>
      </w:r>
      <w:r>
        <w:br/>
      </w:r>
      <w:r>
        <w:rPr>
          <w:rStyle w:val="NormalTok"/>
        </w:rPr>
        <w:t xml:space="preserve">cartagene_phenodata </w:t>
      </w:r>
      <w:r>
        <w:rPr>
          <w:rStyle w:val="OtherTok"/>
        </w:rPr>
        <w:t xml:space="preserve">&lt;-</w:t>
      </w:r>
      <w:r>
        <w:rPr>
          <w:rStyle w:val="NormalTok"/>
        </w:rPr>
        <w:t xml:space="preserve"> cartagene_phenodata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(dplyr</w:t>
      </w:r>
      <w:r>
        <w:rPr>
          <w:rStyle w:val="SpecialCharTok"/>
        </w:rPr>
        <w:t xml:space="preserve">::</w:t>
      </w:r>
      <w:r>
        <w:rPr>
          <w:rStyle w:val="FunctionTok"/>
        </w:rPr>
        <w:t xml:space="preserve">across</w:t>
      </w:r>
      <w:r>
        <w:rPr>
          <w:rStyle w:val="NormalTok"/>
        </w:rPr>
        <w:t xml:space="preserve">(dplyr</w:t>
      </w:r>
      <w:r>
        <w:rPr>
          <w:rStyle w:val="SpecialCharTok"/>
        </w:rPr>
        <w:t xml:space="preserve">::</w:t>
      </w:r>
      <w:r>
        <w:rPr>
          <w:rStyle w:val="FunctionTok"/>
        </w:rPr>
        <w:t xml:space="preserve">all_of</w:t>
      </w:r>
      <w:r>
        <w:rPr>
          <w:rStyle w:val="NormalTok"/>
        </w:rPr>
        <w:t xml:space="preserve">(categorical_variables),</w:t>
      </w:r>
      <w:r>
        <w:br/>
      </w:r>
      <w:r>
        <w:rPr>
          <w:rStyle w:val="NormalTok"/>
        </w:rPr>
        <w:t xml:space="preserve">                              \(x) dplyr</w:t>
      </w:r>
      <w:r>
        <w:rPr>
          <w:rStyle w:val="SpecialCharTok"/>
        </w:rPr>
        <w:t xml:space="preserve">::</w:t>
      </w:r>
      <w:r>
        <w:rPr>
          <w:rStyle w:val="FunctionTok"/>
        </w:rPr>
        <w:t xml:space="preserve">if_else</w:t>
      </w:r>
      <w:r>
        <w:rPr>
          <w:rStyle w:val="NormalTok"/>
        </w:rPr>
        <w:t xml:space="preserve">(x </w:t>
      </w:r>
      <w:r>
        <w:rPr>
          <w:rStyle w:val="SpecialCharTok"/>
        </w:rPr>
        <w:t xml:space="preserve">==</w:t>
      </w:r>
      <w:r>
        <w:rPr>
          <w:rStyle w:val="NormalTok"/>
        </w:rPr>
        <w:t xml:space="preserve"> </w:t>
      </w:r>
      <w:r>
        <w:rPr>
          <w:rStyle w:val="DecValTok"/>
        </w:rPr>
        <w:t xml:space="preserve">0</w:t>
      </w:r>
      <w:r>
        <w:rPr>
          <w:rStyle w:val="NormalTok"/>
        </w:rPr>
        <w:t xml:space="preserve">L, </w:t>
      </w:r>
      <w:r>
        <w:rPr>
          <w:rStyle w:val="DecValTok"/>
        </w:rPr>
        <w:t xml:space="preserve">1</w:t>
      </w:r>
      <w:r>
        <w:rPr>
          <w:rStyle w:val="NormalTok"/>
        </w:rPr>
        <w:t xml:space="preserve">L, </w:t>
      </w:r>
      <w:r>
        <w:rPr>
          <w:rStyle w:val="DecValTok"/>
        </w:rPr>
        <w:t xml:space="preserve">2</w:t>
      </w:r>
      <w:r>
        <w:rPr>
          <w:rStyle w:val="NormalTok"/>
        </w:rPr>
        <w:t xml:space="preserve">L, </w:t>
      </w:r>
      <w:r>
        <w:rPr>
          <w:rStyle w:val="AttributeTok"/>
        </w:rPr>
        <w:t xml:space="preserve">missing =</w:t>
      </w:r>
      <w:r>
        <w:rPr>
          <w:rStyle w:val="NormalTok"/>
        </w:rPr>
        <w:t xml:space="preserve"> </w:t>
      </w:r>
      <w:r>
        <w:rPr>
          <w:rStyle w:val="ConstantTok"/>
        </w:rPr>
        <w:t xml:space="preserve">NA</w:t>
      </w:r>
      <w:r>
        <w:rPr>
          <w:rStyle w:val="NormalTok"/>
        </w:rPr>
        <w:t xml:space="preserve">)))</w:t>
      </w:r>
      <w:r>
        <w:br/>
      </w:r>
      <w:r>
        <w:rPr>
          <w:rStyle w:val="NormalTok"/>
        </w:rPr>
        <w:t xml:space="preserve">readr</w:t>
      </w:r>
      <w:r>
        <w:rPr>
          <w:rStyle w:val="SpecialCharTok"/>
        </w:rPr>
        <w:t xml:space="preserve">::</w:t>
      </w:r>
      <w:r>
        <w:rPr>
          <w:rStyle w:val="FunctionTok"/>
        </w:rPr>
        <w:t xml:space="preserve">write_tsv</w:t>
      </w:r>
      <w:r>
        <w:rPr>
          <w:rStyle w:val="NormalTok"/>
        </w:rPr>
        <w:t xml:space="preserve">(cartagene_phenodata, </w:t>
      </w:r>
      <w:r>
        <w:br/>
      </w:r>
      <w:r>
        <w:rPr>
          <w:rStyle w:val="NormalTok"/>
        </w:rPr>
        <w:t xml:space="preserve">                 </w:t>
      </w:r>
      <w:r>
        <w:rPr>
          <w:rStyle w:val="AttributeTok"/>
        </w:rPr>
        <w:t xml:space="preserve">file=</w:t>
      </w:r>
      <w:r>
        <w:rPr>
          <w:rStyle w:val="StringTok"/>
        </w:rPr>
        <w:t xml:space="preserve">"data/phenotypes/merge_phenos_PCs.txt"</w:t>
      </w:r>
      <w:r>
        <w:rPr>
          <w:rStyle w:val="NormalTok"/>
        </w:rPr>
        <w:t xml:space="preserve">)</w:t>
      </w:r>
      <w:r>
        <w:br/>
      </w:r>
      <w:r>
        <w:br/>
      </w:r>
      <w:r>
        <w:br/>
      </w:r>
      <w:r>
        <w:rPr>
          <w:rStyle w:val="CommentTok"/>
        </w:rPr>
        <w:t xml:space="preserve"># Report overall summaries</w:t>
      </w:r>
      <w:r>
        <w:br/>
      </w:r>
      <w:r>
        <w:rPr>
          <w:rStyle w:val="NormalTok"/>
        </w:rPr>
        <w:t xml:space="preserve">cartagene_phenodata_summary </w:t>
      </w:r>
      <w:r>
        <w:rPr>
          <w:rStyle w:val="OtherTok"/>
        </w:rPr>
        <w:t xml:space="preserve">&lt;-</w:t>
      </w:r>
      <w:r>
        <w:rPr>
          <w:rStyle w:val="NormalTok"/>
        </w:rPr>
        <w:t xml:space="preserve"> cartagene_phenodata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(dplyr</w:t>
      </w:r>
      <w:r>
        <w:rPr>
          <w:rStyle w:val="SpecialCharTok"/>
        </w:rPr>
        <w:t xml:space="preserve">::</w:t>
      </w:r>
      <w:r>
        <w:rPr>
          <w:rStyle w:val="FunctionTok"/>
        </w:rPr>
        <w:t xml:space="preserve">all_of</w:t>
      </w:r>
      <w:r>
        <w:rPr>
          <w:rStyle w:val="NormalTok"/>
        </w:rPr>
        <w:t xml:space="preserve">(</w:t>
      </w:r>
      <w:r>
        <w:rPr>
          <w:rStyle w:val="FunctionTok"/>
        </w:rPr>
        <w:t xml:space="preserve">c</w:t>
      </w:r>
      <w:r>
        <w:rPr>
          <w:rStyle w:val="NormalTok"/>
        </w:rPr>
        <w:t xml:space="preserve">(</w:t>
      </w:r>
      <w:r>
        <w:rPr>
          <w:rStyle w:val="StringTok"/>
        </w:rPr>
        <w:t xml:space="preserve">"IID"</w:t>
      </w:r>
      <w:r>
        <w:rPr>
          <w:rStyle w:val="NormalTok"/>
        </w:rPr>
        <w:t xml:space="preserve">, </w:t>
      </w:r>
      <w:r>
        <w:rPr>
          <w:rStyle w:val="StringTok"/>
        </w:rPr>
        <w:t xml:space="preserve">"GENDER01"</w:t>
      </w:r>
      <w:r>
        <w:rPr>
          <w:rStyle w:val="NormalTok"/>
        </w:rPr>
        <w:t xml:space="preserve">, categorical_variables))) </w:t>
      </w:r>
      <w:r>
        <w:rPr>
          <w:rStyle w:val="SpecialCharTok"/>
        </w:rPr>
        <w:t xml:space="preserve">|&gt;</w:t>
      </w:r>
      <w:r>
        <w:rPr>
          <w:rStyle w:val="NormalTok"/>
        </w:rPr>
        <w:t xml:space="preserve"> </w:t>
      </w:r>
      <w:r>
        <w:br/>
      </w:r>
      <w:r>
        <w:rPr>
          <w:rStyle w:val="NormalTok"/>
        </w:rPr>
        <w:t xml:space="preserve">  tidyr</w:t>
      </w:r>
      <w:r>
        <w:rPr>
          <w:rStyle w:val="SpecialCharTok"/>
        </w:rPr>
        <w:t xml:space="preserve">::</w:t>
      </w:r>
      <w:r>
        <w:rPr>
          <w:rStyle w:val="FunctionTok"/>
        </w:rPr>
        <w:t xml:space="preserve">pivot_longer</w:t>
      </w:r>
      <w:r>
        <w:rPr>
          <w:rStyle w:val="NormalTok"/>
        </w:rPr>
        <w:t xml:space="preserve">(</w:t>
      </w:r>
      <w:r>
        <w:rPr>
          <w:rStyle w:val="SpecialCharTok"/>
        </w:rPr>
        <w:t xml:space="preserve">-</w:t>
      </w:r>
      <w:r>
        <w:rPr>
          <w:rStyle w:val="NormalTok"/>
        </w:rPr>
        <w:t xml:space="preserve">dplyr</w:t>
      </w:r>
      <w:r>
        <w:rPr>
          <w:rStyle w:val="SpecialCharTok"/>
        </w:rPr>
        <w:t xml:space="preserve">::</w:t>
      </w:r>
      <w:r>
        <w:rPr>
          <w:rStyle w:val="FunctionTok"/>
        </w:rPr>
        <w:t xml:space="preserve">all_of</w:t>
      </w:r>
      <w:r>
        <w:rPr>
          <w:rStyle w:val="NormalTok"/>
        </w:rPr>
        <w:t xml:space="preserve">(</w:t>
      </w:r>
      <w:r>
        <w:rPr>
          <w:rStyle w:val="FunctionTok"/>
        </w:rPr>
        <w:t xml:space="preserve">c</w:t>
      </w:r>
      <w:r>
        <w:rPr>
          <w:rStyle w:val="NormalTok"/>
        </w:rPr>
        <w:t xml:space="preserve">(</w:t>
      </w:r>
      <w:r>
        <w:rPr>
          <w:rStyle w:val="StringTok"/>
        </w:rPr>
        <w:t xml:space="preserve">"IID"</w:t>
      </w:r>
      <w:r>
        <w:rPr>
          <w:rStyle w:val="NormalTok"/>
        </w:rPr>
        <w:t xml:space="preserve">, </w:t>
      </w:r>
      <w:r>
        <w:rPr>
          <w:rStyle w:val="StringTok"/>
        </w:rPr>
        <w:t xml:space="preserve">"GENDER01"</w:t>
      </w:r>
      <w:r>
        <w:rPr>
          <w:rStyle w:val="NormalTok"/>
        </w:rPr>
        <w:t xml:space="preserve">)), </w:t>
      </w:r>
      <w:r>
        <w:br/>
      </w:r>
      <w:r>
        <w:rPr>
          <w:rStyle w:val="NormalTok"/>
        </w:rPr>
        <w:t xml:space="preserve">                      </w:t>
      </w:r>
      <w:r>
        <w:rPr>
          <w:rStyle w:val="AttributeTok"/>
        </w:rPr>
        <w:t xml:space="preserve">names_to =</w:t>
      </w:r>
      <w:r>
        <w:rPr>
          <w:rStyle w:val="NormalTok"/>
        </w:rPr>
        <w:t xml:space="preserve"> </w:t>
      </w:r>
      <w:r>
        <w:rPr>
          <w:rStyle w:val="StringTok"/>
        </w:rPr>
        <w:t xml:space="preserve">"Features"</w:t>
      </w:r>
      <w:r>
        <w:rPr>
          <w:rStyle w:val="NormalTok"/>
        </w:rPr>
        <w:t xml:space="preserve">, </w:t>
      </w:r>
      <w:r>
        <w:rPr>
          <w:rStyle w:val="AttributeTok"/>
        </w:rPr>
        <w:t xml:space="preserve">values_to =</w:t>
      </w:r>
      <w:r>
        <w:rPr>
          <w:rStyle w:val="NormalTok"/>
        </w:rPr>
        <w:t xml:space="preserve"> </w:t>
      </w:r>
      <w:r>
        <w:rPr>
          <w:rStyle w:val="StringTok"/>
        </w:rPr>
        <w:t xml:space="preserve">"Value"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Value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as.character</w:t>
      </w:r>
      <w:r>
        <w:rPr>
          <w:rStyle w:val="NormalTok"/>
        </w:rPr>
        <w:t xml:space="preserve">(Value), </w:t>
      </w:r>
      <w:r>
        <w:rPr>
          <w:rStyle w:val="StringTok"/>
        </w:rPr>
        <w:t xml:space="preserve">"osteosecondaire"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count</w:t>
      </w:r>
      <w:r>
        <w:rPr>
          <w:rStyle w:val="NormalTok"/>
        </w:rPr>
        <w:t xml:space="preserve">(Features, GENDER01, Value)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Counts=</w:t>
      </w:r>
      <w:r>
        <w:rPr>
          <w:rStyle w:val="NormalTok"/>
        </w:rPr>
        <w:t xml:space="preserve">n)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inner_join</w:t>
      </w:r>
      <w:r>
        <w:rPr>
          <w:rStyle w:val="NormalTok"/>
        </w:rPr>
        <w:t xml:space="preserve">(cartagene_response_variables, </w:t>
      </w:r>
      <w:r>
        <w:rPr>
          <w:rStyle w:val="AttributeTok"/>
        </w:rPr>
        <w:t xml:space="preserve">by =</w:t>
      </w:r>
      <w:r>
        <w:rPr>
          <w:rStyle w:val="NormalTok"/>
        </w:rPr>
        <w:t xml:space="preserve"> </w:t>
      </w:r>
      <w:r>
        <w:rPr>
          <w:rStyle w:val="StringTok"/>
        </w:rPr>
        <w:t xml:space="preserve">"Features"</w:t>
      </w:r>
      <w:r>
        <w:rPr>
          <w:rStyle w:val="NormalTok"/>
        </w:rPr>
        <w:t xml:space="preserve">)</w:t>
      </w:r>
      <w:r>
        <w:br/>
      </w:r>
      <w:r>
        <w:br/>
      </w:r>
      <w:r>
        <w:br/>
      </w:r>
      <w:r>
        <w:rPr>
          <w:rStyle w:val="NormalTok"/>
        </w:rPr>
        <w:t xml:space="preserve">cartagene_phenodata_summary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(Disease </w:t>
      </w:r>
      <w:r>
        <w:rPr>
          <w:rStyle w:val="SpecialCharTok"/>
        </w:rPr>
        <w:t xml:space="preserve">==</w:t>
      </w:r>
      <w:r>
        <w:rPr>
          <w:rStyle w:val="NormalTok"/>
        </w:rPr>
        <w:t xml:space="preserve"> </w:t>
      </w:r>
      <w:r>
        <w:rPr>
          <w:rStyle w:val="StringTok"/>
        </w:rPr>
        <w:t xml:space="preserve">"Bone Damage"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(Features, Description, GENDER01, Value, Counts)</w:t>
      </w:r>
      <w:r>
        <w:br/>
      </w:r>
      <w:r>
        <w:rPr>
          <w:rStyle w:val="NormalTok"/>
        </w:rPr>
        <w:t xml:space="preserve">cartagene_phenodata_summary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(Disease </w:t>
      </w:r>
      <w:r>
        <w:rPr>
          <w:rStyle w:val="SpecialCharTok"/>
        </w:rPr>
        <w:t xml:space="preserve">==</w:t>
      </w:r>
      <w:r>
        <w:rPr>
          <w:rStyle w:val="NormalTok"/>
        </w:rPr>
        <w:t xml:space="preserve"> </w:t>
      </w:r>
      <w:r>
        <w:rPr>
          <w:rStyle w:val="StringTok"/>
        </w:rPr>
        <w:t xml:space="preserve">"Cardiovascular events"</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(Features, Description, GENDER01, Value, Counts)</w:t>
      </w:r>
    </w:p>
    <w:bookmarkStart w:id="98" w:name="tbl-cartage-pheno-features-and-save"/>
    <w:tbl>
      <w:tblPr>
        <w:tblStyle w:val="Table"/>
        <w:tblW w:type="pct" w:w="4900"/>
        <w:tblLayout w:type="fixed"/>
        <w:tblLook w:firstRow="0" w:lastRow="0" w:firstColumn="0" w:lastColumn="0" w:noHBand="0" w:noVBand="0" w:val="0000"/>
      </w:tblPr>
      <w:tblGrid>
        <w:gridCol w:w="3880"/>
        <w:gridCol w:w="3880"/>
      </w:tblGrid>
      <w:tr>
        <w:tc>
          <w:tcPr/>
          <w:p>
            <w:pPr>
              <w:pStyle w:val="SourceCode"/>
              <w:jc w:val="center"/>
            </w:pPr>
            <w:r>
              <w:rPr>
                <w:rStyle w:val="VerbatimChar"/>
              </w:rPr>
              <w:t xml:space="preserve">##  # A tibble: 20 × 5</w:t>
            </w:r>
            <w:r>
              <w:br/>
            </w:r>
            <w:r>
              <w:rPr>
                <w:rStyle w:val="VerbatimChar"/>
              </w:rPr>
              <w:t xml:space="preserve">##    Features   Description                        GENDER01 Value Counts</w:t>
            </w:r>
            <w:r>
              <w:br/>
            </w:r>
            <w:r>
              <w:rPr>
                <w:rStyle w:val="VerbatimChar"/>
              </w:rPr>
              <w:t xml:space="preserve">##    &lt;chr&gt;      &lt;chr&gt;                                 &lt;dbl&gt; &lt;chr&gt;  &lt;int&gt;</w:t>
            </w:r>
            <w:r>
              <w:br/>
            </w:r>
            <w:r>
              <w:rPr>
                <w:rStyle w:val="VerbatimChar"/>
              </w:rPr>
              <w:t xml:space="preserve">##  1 FXALL      All fracture events                       0 1       7640</w:t>
            </w:r>
            <w:r>
              <w:br/>
            </w:r>
            <w:r>
              <w:rPr>
                <w:rStyle w:val="VerbatimChar"/>
              </w:rPr>
              <w:t xml:space="preserve">##  2 FXALL      All fracture events                       0 2        324</w:t>
            </w:r>
            <w:r>
              <w:br/>
            </w:r>
            <w:r>
              <w:rPr>
                <w:rStyle w:val="VerbatimChar"/>
              </w:rPr>
              <w:t xml:space="preserve">##  3 FXALL      All fracture events                       1 1       8184</w:t>
            </w:r>
            <w:r>
              <w:br/>
            </w:r>
            <w:r>
              <w:rPr>
                <w:rStyle w:val="VerbatimChar"/>
              </w:rPr>
              <w:t xml:space="preserve">##  4 FXALL      All fracture events                       1 2        509</w:t>
            </w:r>
            <w:r>
              <w:br/>
            </w:r>
            <w:r>
              <w:rPr>
                <w:rStyle w:val="VerbatimChar"/>
              </w:rPr>
              <w:t xml:space="preserve">##  5 FXMOF_POST Restriction to osteoporisis events        0 1       7857</w:t>
            </w:r>
            <w:r>
              <w:br/>
            </w:r>
            <w:r>
              <w:rPr>
                <w:rStyle w:val="VerbatimChar"/>
              </w:rPr>
              <w:t xml:space="preserve">##  6 FXMOF_POST Restriction to osteoporisis events        0 2        107</w:t>
            </w:r>
            <w:r>
              <w:br/>
            </w:r>
            <w:r>
              <w:rPr>
                <w:rStyle w:val="VerbatimChar"/>
              </w:rPr>
              <w:t xml:space="preserve">##  # ℹ 14 more rows</w:t>
            </w:r>
          </w:p>
        </w:tc>
        <w:tc>
          <w:tcPr/>
          <w:p>
            <w:pPr>
              <w:pStyle w:val="SourceCode"/>
              <w:jc w:val="center"/>
            </w:pPr>
            <w:r>
              <w:rPr>
                <w:rStyle w:val="VerbatimChar"/>
              </w:rPr>
              <w:t xml:space="preserve">##  # A tibble: 16 × 5</w:t>
            </w:r>
            <w:r>
              <w:br/>
            </w:r>
            <w:r>
              <w:rPr>
                <w:rStyle w:val="VerbatimChar"/>
              </w:rPr>
              <w:t xml:space="preserve">##    Features        Description                       GENDER01 Value Counts</w:t>
            </w:r>
            <w:r>
              <w:br/>
            </w:r>
            <w:r>
              <w:rPr>
                <w:rStyle w:val="VerbatimChar"/>
              </w:rPr>
              <w:t xml:space="preserve">##    &lt;chr&gt;           &lt;chr&gt;                                &lt;dbl&gt; &lt;chr&gt;  &lt;int&gt;</w:t>
            </w:r>
            <w:r>
              <w:br/>
            </w:r>
            <w:r>
              <w:rPr>
                <w:rStyle w:val="VerbatimChar"/>
              </w:rPr>
              <w:t xml:space="preserve">##  1 AVCGLOBAL_PRE_M Pre General Critical Cardio event        0 1       7805</w:t>
            </w:r>
            <w:r>
              <w:br/>
            </w:r>
            <w:r>
              <w:rPr>
                <w:rStyle w:val="VerbatimChar"/>
              </w:rPr>
              <w:t xml:space="preserve">##  2 AVCGLOBAL_PRE_M Pre General Critical Cardio event        0 2        159</w:t>
            </w:r>
            <w:r>
              <w:br/>
            </w:r>
            <w:r>
              <w:rPr>
                <w:rStyle w:val="VerbatimChar"/>
              </w:rPr>
              <w:t xml:space="preserve">##  3 AVCGLOBAL_PRE_M Pre General Critical Cardio event        1 1       8570</w:t>
            </w:r>
            <w:r>
              <w:br/>
            </w:r>
            <w:r>
              <w:rPr>
                <w:rStyle w:val="VerbatimChar"/>
              </w:rPr>
              <w:t xml:space="preserve">##  4 AVCGLOBAL_PRE_M Pre General Critical Cardio event        1 2        123</w:t>
            </w:r>
            <w:r>
              <w:br/>
            </w:r>
            <w:r>
              <w:rPr>
                <w:rStyle w:val="VerbatimChar"/>
              </w:rPr>
              <w:t xml:space="preserve">##  5 CVALL_POST      Post General Cardio event                0 1       7636</w:t>
            </w:r>
            <w:r>
              <w:br/>
            </w:r>
            <w:r>
              <w:rPr>
                <w:rStyle w:val="VerbatimChar"/>
              </w:rPr>
              <w:t xml:space="preserve">##  6 CVALL_POST      Post General Cardio event                0 2        328</w:t>
            </w:r>
            <w:r>
              <w:br/>
            </w:r>
            <w:r>
              <w:rPr>
                <w:rStyle w:val="VerbatimChar"/>
              </w:rPr>
              <w:t xml:space="preserve">##  # ℹ 10 more rows</w:t>
            </w:r>
          </w:p>
        </w:tc>
      </w:tr>
    </w:tbl>
    <w:p>
      <w:pPr>
        <w:pStyle w:val="FirstParagraph"/>
      </w:pPr>
      <w:pPr>
        <w:spacing w:before="200"/>
        <w:pStyle w:val="ImageCaption"/>
      </w:pPr>
      <w:r>
        <w:t xml:space="preserve">Table 1.6: Features of interest to regress on SNPs in</w:t>
      </w:r>
      <w:r>
        <w:t xml:space="preserve"> </w:t>
      </w:r>
      <w:r>
        <w:rPr>
          <w:rStyle w:val="VerbatimChar"/>
        </w:rPr>
        <w:t xml:space="preserve">CarTaGene</w:t>
      </w:r>
      <w:r>
        <w:t xml:space="preserve">. Besides, recent versions of</w:t>
      </w:r>
      <w:r>
        <w:t xml:space="preserve"> </w:t>
      </w:r>
      <w:r>
        <w:rPr>
          <w:rStyle w:val="VerbatimChar"/>
        </w:rPr>
        <w:t xml:space="preserve">plink2</w:t>
      </w:r>
      <w:r>
        <w:t xml:space="preserve"> </w:t>
      </w:r>
      <w:r>
        <w:t xml:space="preserve">impose explicit encoding of categorical variables, encoding 1 as</w:t>
      </w:r>
      <w:r>
        <w:t xml:space="preserve"> </w:t>
      </w:r>
      <w:r>
        <w:t xml:space="preserve">‘controls’</w:t>
      </w:r>
      <w:r>
        <w:t xml:space="preserve">, and 2 as</w:t>
      </w:r>
      <w:r>
        <w:t xml:space="preserve"> </w:t>
      </w:r>
      <w:r>
        <w:t xml:space="preserve">‘cases’</w:t>
      </w:r>
      <w:r>
        <w:t xml:space="preserve">.</w:t>
      </w:r>
    </w:p>
    <w:bookmarkEnd w:id="98"/>
    <w:bookmarkEnd w:id="99"/>
    <w:bookmarkEnd w:id="100"/>
    <w:bookmarkEnd w:id="101"/>
    <w:bookmarkStart w:id="115" w:name="sec-variant-extraction"/>
    <w:p>
      <w:pPr>
        <w:pStyle w:val="Heading3"/>
      </w:pPr>
      <w:r>
        <w:t xml:space="preserve">1.3.4 Step 2: Variants extraction</w:t>
      </w:r>
    </w:p>
    <w:p>
      <w:pPr>
        <w:pStyle w:val="FirstParagraph"/>
      </w:pPr>
      <w:r>
        <w:t xml:space="preserve">All the curated</w:t>
      </w:r>
      <w:r>
        <w:t xml:space="preserve"> </w:t>
      </w:r>
      <w:r>
        <w:rPr>
          <w:rStyle w:val="VerbatimChar"/>
        </w:rPr>
        <w:t xml:space="preserve">VCF</w:t>
      </w:r>
      <w:r>
        <w:t xml:space="preserve"> </w:t>
      </w:r>
      <w:r>
        <w:t xml:space="preserve">files have been downloaded and processed by</w:t>
      </w:r>
      <w:r>
        <w:t xml:space="preserve"> </w:t>
      </w:r>
      <w:hyperlink r:id="rId102">
        <w:r>
          <w:rPr>
            <w:rStyle w:val="Hyperlink"/>
          </w:rPr>
          <w:t xml:space="preserve">Email Cartagene</w:t>
        </w:r>
      </w:hyperlink>
      <w:r>
        <w:t xml:space="preserve">. Preprocessing details are reported</w:t>
      </w:r>
      <w:r>
        <w:t xml:space="preserve"> </w:t>
      </w:r>
      <w:hyperlink r:id="rId103">
        <w:r>
          <w:rPr>
            <w:rStyle w:val="Hyperlink"/>
          </w:rPr>
          <w:t xml:space="preserve">here</w:t>
        </w:r>
      </w:hyperlink>
      <w:r>
        <w:rPr>
          <w:rStyle w:val="FootnoteReference"/>
        </w:rPr>
        <w:footnoteReference w:id="104"/>
      </w:r>
    </w:p>
    <w:bookmarkStart w:id="114" w:name="sec-HDAC9"/>
    <w:p>
      <w:pPr>
        <w:pStyle w:val="Heading4"/>
      </w:pPr>
      <w:r>
        <w:t xml:space="preserve">1.3.4.1 a) HDAC-family</w:t>
      </w:r>
    </w:p>
    <w:bookmarkStart w:id="109" w:name="i-retrieve-hdac-positions"/>
    <w:p>
      <w:pPr>
        <w:pStyle w:val="Heading5"/>
      </w:pPr>
      <w:r>
        <w:t xml:space="preserve">1.3.4.1.1 i) Retrieve HDAC positions</w:t>
      </w:r>
    </w:p>
    <w:p>
      <w:pPr>
        <w:numPr>
          <w:ilvl w:val="0"/>
          <w:numId w:val="1031"/>
        </w:numPr>
      </w:pPr>
      <w:r>
        <w:rPr>
          <w:b/>
          <w:bCs/>
        </w:rPr>
        <w:t xml:space="preserve">Objective</w:t>
      </w:r>
      <w:r>
        <w:t xml:space="preserve">: extract the annotated VCF, for the 6 HDAC genes identified of interest, on chromosome 7 (see</w:t>
      </w:r>
      <w:r>
        <w:t xml:space="preserve"> </w:t>
      </w:r>
      <w:hyperlink w:anchor="sec-HDAC9">
        <w:r>
          <w:rPr>
            <w:rStyle w:val="Hyperlink"/>
          </w:rPr>
          <w:t xml:space="preserve">Section 1.3.4.1</w:t>
        </w:r>
      </w:hyperlink>
      <w:r>
        <w:t xml:space="preserve"> </w:t>
      </w:r>
      <w:r>
        <w:t xml:space="preserve">for Bash commands).</w:t>
      </w:r>
    </w:p>
    <w:p>
      <w:pPr>
        <w:numPr>
          <w:ilvl w:val="0"/>
          <w:numId w:val="1031"/>
        </w:numPr>
      </w:pPr>
      <w:r>
        <w:rPr>
          <w:b/>
          <w:bCs/>
        </w:rPr>
        <w:t xml:space="preserve">Methods</w:t>
      </w:r>
      <w:r>
        <w:t xml:space="preserve">:</w:t>
      </w:r>
    </w:p>
    <w:p>
      <w:pPr>
        <w:pStyle w:val="Compact"/>
        <w:numPr>
          <w:ilvl w:val="0"/>
          <w:numId w:val="1032"/>
        </w:numPr>
      </w:pPr>
      <w:r>
        <w:t xml:space="preserve">We retrieve positions of the</w:t>
      </w:r>
      <w:r>
        <w:t xml:space="preserve"> </w:t>
      </w:r>
      <w:r>
        <w:rPr>
          <w:rStyle w:val="VerbatimChar"/>
        </w:rPr>
        <w:t xml:space="preserve">HDAC</w:t>
      </w:r>
      <w:r>
        <w:t xml:space="preserve"> </w:t>
      </w:r>
      <w:r>
        <w:t xml:space="preserve">genes (HDAC 4, 5, 6, 7, 9 and 10) on the latest</w:t>
      </w:r>
      <w:r>
        <w:t xml:space="preserve"> </w:t>
      </w:r>
      <w:r>
        <w:rPr>
          <w:rStyle w:val="VerbatimChar"/>
        </w:rPr>
        <w:t xml:space="preserve">Hg38</w:t>
      </w:r>
      <w:r>
        <w:t xml:space="preserve"> </w:t>
      </w:r>
      <w:r>
        <w:t xml:space="preserve">Genome Build with script</w:t>
      </w:r>
      <w:r>
        <w:t xml:space="preserve"> </w:t>
      </w:r>
      <w:hyperlink w:anchor="lst-hdac-positions">
        <w:r>
          <w:rPr>
            <w:rStyle w:val="Hyperlink"/>
          </w:rPr>
          <w:t xml:space="preserve">Listing 1.4</w:t>
        </w:r>
      </w:hyperlink>
      <w:r>
        <w:t xml:space="preserve">. HDAC positions are reported in</w:t>
      </w:r>
      <w:r>
        <w:t xml:space="preserve"> </w:t>
      </w:r>
      <w:hyperlink w:anchor="tbl-hdac-positions">
        <w:r>
          <w:rPr>
            <w:rStyle w:val="Hyperlink"/>
          </w:rPr>
          <w:t xml:space="preserve">Table 1.7</w:t>
        </w:r>
      </w:hyperlink>
      <w:r>
        <w:rPr>
          <w:rStyle w:val="FootnoteReference"/>
        </w:rPr>
        <w:footnoteReference w:id="105"/>
      </w:r>
    </w:p>
    <w:p>
      <w:pPr>
        <w:pStyle w:val="Compact"/>
        <w:numPr>
          <w:ilvl w:val="0"/>
          <w:numId w:val="1032"/>
        </w:numPr>
      </w:pPr>
      <w:r>
        <w:t xml:space="preserve">When several start and end positions were reported for the same gene, we consider the overall</w:t>
      </w:r>
      <w:r>
        <w:t xml:space="preserve"> </w:t>
      </w:r>
      <w:r>
        <w:rPr>
          <w:rStyle w:val="VerbatimChar"/>
        </w:rPr>
        <w:t xml:space="preserve">min</w:t>
      </w:r>
      <w:r>
        <w:t xml:space="preserve"> </w:t>
      </w:r>
      <w:r>
        <w:t xml:space="preserve">starting position, and the</w:t>
      </w:r>
      <w:r>
        <w:t xml:space="preserve"> </w:t>
      </w:r>
      <w:r>
        <w:rPr>
          <w:rStyle w:val="VerbatimChar"/>
        </w:rPr>
        <w:t xml:space="preserve">max</w:t>
      </w:r>
      <w:r>
        <w:t xml:space="preserve"> </w:t>
      </w:r>
      <w:r>
        <w:t xml:space="preserve">end position, respectively.</w:t>
      </w:r>
    </w:p>
    <w:p>
      <w:pPr>
        <w:pStyle w:val="SourceCode"/>
      </w:pPr>
      <w:r>
        <w:rPr>
          <w:rStyle w:val="NormalTok"/>
        </w:rPr>
        <w:t xml:space="preserve">txdb </w:t>
      </w:r>
      <w:r>
        <w:rPr>
          <w:rStyle w:val="OtherTok"/>
        </w:rPr>
        <w:t xml:space="preserve">&lt;-</w:t>
      </w:r>
      <w:r>
        <w:rPr>
          <w:rStyle w:val="NormalTok"/>
        </w:rPr>
        <w:t xml:space="preserve"> GenomicFeatures</w:t>
      </w:r>
      <w:r>
        <w:rPr>
          <w:rStyle w:val="SpecialCharTok"/>
        </w:rPr>
        <w:t xml:space="preserve">::</w:t>
      </w:r>
      <w:r>
        <w:rPr>
          <w:rStyle w:val="FunctionTok"/>
        </w:rPr>
        <w:t xml:space="preserve">makeTxDbFromUCSC</w:t>
      </w:r>
      <w:r>
        <w:rPr>
          <w:rStyle w:val="NormalTok"/>
        </w:rPr>
        <w:t xml:space="preserve">(</w:t>
      </w:r>
      <w:r>
        <w:rPr>
          <w:rStyle w:val="AttributeTok"/>
        </w:rPr>
        <w:t xml:space="preserve">genome =</w:t>
      </w:r>
      <w:r>
        <w:rPr>
          <w:rStyle w:val="NormalTok"/>
        </w:rPr>
        <w:t xml:space="preserve"> </w:t>
      </w:r>
      <w:r>
        <w:rPr>
          <w:rStyle w:val="StringTok"/>
        </w:rPr>
        <w:t xml:space="preserve">"hg38"</w:t>
      </w:r>
      <w:r>
        <w:rPr>
          <w:rStyle w:val="NormalTok"/>
        </w:rPr>
        <w:t xml:space="preserve">, </w:t>
      </w:r>
      <w:r>
        <w:rPr>
          <w:rStyle w:val="AttributeTok"/>
        </w:rPr>
        <w:t xml:space="preserve">tablename =</w:t>
      </w:r>
      <w:r>
        <w:rPr>
          <w:rStyle w:val="NormalTok"/>
        </w:rPr>
        <w:t xml:space="preserve"> </w:t>
      </w:r>
      <w:r>
        <w:rPr>
          <w:rStyle w:val="StringTok"/>
        </w:rPr>
        <w:t xml:space="preserve">"refGene"</w:t>
      </w:r>
      <w:r>
        <w:rPr>
          <w:rStyle w:val="NormalTok"/>
        </w:rPr>
        <w:t xml:space="preserve">)</w:t>
      </w:r>
      <w:r>
        <w:br/>
      </w:r>
      <w:r>
        <w:rPr>
          <w:rStyle w:val="NormalTok"/>
        </w:rPr>
        <w:t xml:space="preserve">AnnotationDbi</w:t>
      </w:r>
      <w:r>
        <w:rPr>
          <w:rStyle w:val="SpecialCharTok"/>
        </w:rPr>
        <w:t xml:space="preserve">::</w:t>
      </w:r>
      <w:r>
        <w:rPr>
          <w:rStyle w:val="FunctionTok"/>
        </w:rPr>
        <w:t xml:space="preserve">saveDb</w:t>
      </w:r>
      <w:r>
        <w:rPr>
          <w:rStyle w:val="NormalTok"/>
        </w:rPr>
        <w:t xml:space="preserve">(txdb, </w:t>
      </w:r>
      <w:r>
        <w:rPr>
          <w:rStyle w:val="StringTok"/>
        </w:rPr>
        <w:t xml:space="preserve">"./data/genome_builds/human_gencode_v42.sqlite"</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107" w:name="lst-hdac-positions"/>
          <w:p>
            <w:pPr>
              <w:jc w:val="center"/>
            </w:pPr>
            <w:pPr>
              <w:jc w:val="start"/>
              <w:spacing w:before="200"/>
              <w:pStyle w:val="ImageCaption"/>
            </w:pPr>
            <w:r>
              <w:t xml:space="preserve">Listing 1.4: Use</w:t>
            </w:r>
            <w:r>
              <w:t xml:space="preserve"> </w:t>
            </w:r>
            <w:r>
              <w:rPr>
                <w:rStyle w:val="VerbatimChar"/>
              </w:rPr>
              <w:t xml:space="preserve">AnnotationDBI</w:t>
            </w:r>
            <w:r>
              <w:t xml:space="preserve"> </w:t>
            </w:r>
            <w:r>
              <w:t xml:space="preserve">to fetch and retrieve automatically start and end positions of the HDAC family.</w:t>
            </w:r>
          </w:p>
          <w:p>
            <w:pPr>
              <w:pStyle w:val="SourceCode"/>
              <w:jc w:val="center"/>
            </w:pPr>
            <w:r>
              <w:rPr>
                <w:rStyle w:val="VerbatimChar"/>
              </w:rPr>
              <w:t xml:space="preserve">hdac_genes &lt;- c("HDAC4", "HDAC5", "HDAC6", "HDAC7", "HDAC9", "HDAC10")</w:t>
            </w:r>
            <w:r>
              <w:br/>
            </w:r>
            <w:r>
              <w:br/>
            </w:r>
            <w:r>
              <w:rPr>
                <w:rStyle w:val="VerbatimChar"/>
              </w:rPr>
              <w:t xml:space="preserve">## Convert HGNC symbols to Entrez IDs with org.Hs.eg.db</w:t>
            </w:r>
            <w:r>
              <w:br/>
            </w:r>
            <w:r>
              <w:rPr>
                <w:rStyle w:val="VerbatimChar"/>
              </w:rPr>
              <w:t xml:space="preserve">## 1-1 mapping, great!!</w:t>
            </w:r>
            <w:r>
              <w:br/>
            </w:r>
            <w:r>
              <w:rPr>
                <w:rStyle w:val="VerbatimChar"/>
              </w:rPr>
              <w:t xml:space="preserve">hdac_entrez_ids &lt;- AnnotationDbi::mapIds(org.Hs.eg.db, keys = hdac_genes,</w:t>
            </w:r>
            <w:r>
              <w:br/>
            </w:r>
            <w:r>
              <w:rPr>
                <w:rStyle w:val="VerbatimChar"/>
              </w:rPr>
              <w:t xml:space="preserve">                     column = "ENTREZID", keytype = "SYMBOL", multiVals = "first")</w:t>
            </w:r>
            <w:r>
              <w:br/>
            </w:r>
            <w:r>
              <w:rPr>
                <w:rStyle w:val="VerbatimChar"/>
              </w:rPr>
              <w:t xml:space="preserve">hdac_entrez_ids &lt;- tibble::tibble(</w:t>
            </w:r>
            <w:r>
              <w:br/>
            </w:r>
            <w:r>
              <w:rPr>
                <w:rStyle w:val="VerbatimChar"/>
              </w:rPr>
              <w:t xml:space="preserve">  HGNC_SYMBOL = names(hdac_entrez_ids),</w:t>
            </w:r>
            <w:r>
              <w:br/>
            </w:r>
            <w:r>
              <w:rPr>
                <w:rStyle w:val="VerbatimChar"/>
              </w:rPr>
              <w:t xml:space="preserve">  GENEID = hdac_entrez_ids)</w:t>
            </w:r>
            <w:r>
              <w:br/>
            </w:r>
            <w:r>
              <w:br/>
            </w:r>
            <w:r>
              <w:rPr>
                <w:rStyle w:val="VerbatimChar"/>
              </w:rPr>
              <w:t xml:space="preserve">## retrieve start and end positions of hdac chromosoms</w:t>
            </w:r>
            <w:r>
              <w:br/>
            </w:r>
            <w:r>
              <w:rPr>
                <w:rStyle w:val="VerbatimChar"/>
              </w:rPr>
              <w:t xml:space="preserve">txdb &lt;- AnnotationDbi::loadDb("data/genome_builds/human_gencode_v42.sqlite")</w:t>
            </w:r>
            <w:r>
              <w:br/>
            </w:r>
            <w:r>
              <w:rPr>
                <w:rStyle w:val="VerbatimChar"/>
              </w:rPr>
              <w:t xml:space="preserve">hdac_coords &lt;- AnnotationDbi::select(txdb,</w:t>
            </w:r>
            <w:r>
              <w:br/>
            </w:r>
            <w:r>
              <w:rPr>
                <w:rStyle w:val="VerbatimChar"/>
              </w:rPr>
              <w:t xml:space="preserve">                     keys = hdac_entrez_ids$GENEID,</w:t>
            </w:r>
            <w:r>
              <w:br/>
            </w:r>
            <w:r>
              <w:rPr>
                <w:rStyle w:val="VerbatimChar"/>
              </w:rPr>
              <w:t xml:space="preserve">                     columns = c("TXCHROM", "TXSTART", "TXEND"),</w:t>
            </w:r>
            <w:r>
              <w:br/>
            </w:r>
            <w:r>
              <w:rPr>
                <w:rStyle w:val="VerbatimChar"/>
              </w:rPr>
              <w:t xml:space="preserve">                     keytype = "GENEID")</w:t>
            </w:r>
            <w:r>
              <w:br/>
            </w:r>
            <w:r>
              <w:br/>
            </w:r>
            <w:r>
              <w:rPr>
                <w:rStyle w:val="VerbatimChar"/>
              </w:rPr>
              <w:t xml:space="preserve">## take the min and max positions for all chromosomes</w:t>
            </w:r>
            <w:r>
              <w:br/>
            </w:r>
            <w:r>
              <w:rPr>
                <w:rStyle w:val="VerbatimChar"/>
              </w:rPr>
              <w:t xml:space="preserve">hdac_coords &lt;- hdac_coords |&gt;</w:t>
            </w:r>
            <w:r>
              <w:br/>
            </w:r>
            <w:r>
              <w:rPr>
                <w:rStyle w:val="VerbatimChar"/>
              </w:rPr>
              <w:t xml:space="preserve">  dplyr::group_by(GENEID, TXCHROM) |&gt;</w:t>
            </w:r>
            <w:r>
              <w:br/>
            </w:r>
            <w:r>
              <w:rPr>
                <w:rStyle w:val="VerbatimChar"/>
              </w:rPr>
              <w:t xml:space="preserve">  dplyr::summarise(TXSTART=min(TXSTART), TXEND=max(TXEND)) |&gt;</w:t>
            </w:r>
            <w:r>
              <w:br/>
            </w:r>
            <w:r>
              <w:rPr>
                <w:rStyle w:val="VerbatimChar"/>
              </w:rPr>
              <w:t xml:space="preserve">  dplyr::ungroup() |&gt;</w:t>
            </w:r>
            <w:r>
              <w:br/>
            </w:r>
            <w:r>
              <w:rPr>
                <w:rStyle w:val="VerbatimChar"/>
              </w:rPr>
              <w:t xml:space="preserve">  dplyr::inner_join(hdac_entrez_ids, by = "GENEID") |&gt;</w:t>
            </w:r>
            <w:r>
              <w:br/>
            </w:r>
            <w:r>
              <w:rPr>
                <w:rStyle w:val="VerbatimChar"/>
              </w:rPr>
              <w:t xml:space="preserve">  dplyr::arrange(GENEID) |&gt;</w:t>
            </w:r>
            <w:r>
              <w:br/>
            </w:r>
            <w:r>
              <w:rPr>
                <w:rStyle w:val="VerbatimChar"/>
              </w:rPr>
              <w:t xml:space="preserve">  relocate(HGNC_SYMBOL)</w:t>
            </w:r>
            <w:r>
              <w:br/>
            </w:r>
            <w:r>
              <w:rPr>
                <w:rStyle w:val="VerbatimChar"/>
              </w:rPr>
              <w:t xml:space="preserve">readr::write_csv(hdac_coords,</w:t>
            </w:r>
            <w:r>
              <w:br/>
            </w:r>
            <w:r>
              <w:rPr>
                <w:rStyle w:val="VerbatimChar"/>
              </w:rPr>
              <w:t xml:space="preserve">                 "data/gene_positions/hdac_coords.csv")</w:t>
            </w:r>
            <w:r>
              <w:br/>
            </w:r>
            <w:r>
              <w:br/>
            </w:r>
            <w:r>
              <w:rPr>
                <w:rStyle w:val="VerbatimChar"/>
              </w:rPr>
              <w:t xml:space="preserve">## hdac_coords &lt;- readr::read_csv("data/gene_positions/hdac_coords.csv", </w:t>
            </w:r>
            <w:r>
              <w:br/>
            </w:r>
            <w:r>
              <w:rPr>
                <w:rStyle w:val="VerbatimChar"/>
              </w:rPr>
              <w:t xml:space="preserve">##                               show_col_types = FALSE)</w:t>
            </w:r>
            <w:r>
              <w:br/>
            </w:r>
            <w:r>
              <w:rPr>
                <w:rStyle w:val="VerbatimChar"/>
              </w:rPr>
              <w:t xml:space="preserve">flextable(hdac_coords) |&gt; </w:t>
            </w:r>
            <w:r>
              <w:br/>
            </w:r>
            <w:r>
              <w:rPr>
                <w:rStyle w:val="VerbatimChar"/>
              </w:rPr>
              <w:t xml:space="preserve">  bold(bold = TRUE, part = "header")</w:t>
            </w:r>
          </w:p>
          <w:bookmarkEnd w:id="107"/>
        </w:tc>
      </w:tr>
    </w:tbl>
    <w:p>
      <w:pPr>
        <w:pStyle w:val="FirstParagraph"/>
      </w:pPr>
      <w:r>
        <w:t xml:space="preserve"> </w:t>
      </w:r>
    </w:p>
    <w:tbl>
      <w:tblPr>
        <w:tblStyle w:val="Table"/>
        <w:tblW w:type="pct" w:w="5000"/>
        <w:tblLayout w:type="fixed"/>
        <w:tblLook w:firstRow="0" w:lastRow="0" w:firstColumn="0" w:lastColumn="0" w:noHBand="0" w:noVBand="0" w:val="0000"/>
      </w:tblPr>
      <w:tblGrid>
        <w:gridCol w:w="7920"/>
      </w:tblGrid>
      <w:tr>
        <w:tc>
          <w:tcPr/>
          <w:bookmarkStart w:id="108" w:name="tbl-hdac-positions"/>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HGNC_SYMBOL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GENEID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TXCHROM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TXSTART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TXEND</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HDAC6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chrX</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48,801,398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48,824,982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HDAC5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chr17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44,076,753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44,123,641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HDAC7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51564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chr12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47,782,724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47,819,903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HDAC10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83933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chr22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50,245,184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50,251,265</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HDAC9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9734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chr7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18,086,825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19,002,414</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HDAC4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9759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chr2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239,048,168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239,401,649</w:t>
                  </w:r>
                </w:p>
              </w:tc>
            </w:tr>
          </w:tbl>
          <w:p>
            <w:pPr>
              <w:jc w:val="center"/>
            </w:pPr>
            <w:pPr>
              <w:jc w:val="start"/>
              <w:spacing w:before="200"/>
              <w:pStyle w:val="ImageCaption"/>
            </w:pPr>
            <w:r>
              <w:t xml:space="preserve">Table 1.7: HDAC Gene Positions</w:t>
            </w:r>
          </w:p>
          <w:bookmarkEnd w:id="108"/>
        </w:tc>
      </w:tr>
    </w:tbl>
    <w:p>
      <w:pPr>
        <w:pStyle w:val="Compact"/>
        <w:numPr>
          <w:ilvl w:val="0"/>
          <w:numId w:val="1033"/>
        </w:numPr>
      </w:pPr>
      <w:r>
        <w:rPr>
          <w:color w:val="red"/>
        </w:rPr>
        <w:t>
          <w:r>
            <w:rPr>
              <w:b/>
              <w:bCs/>
            </w:rPr>
            <w:t xml:space="preserve">Remark</w:t>
          </w:r>
          <w:r>
            <w:t xml:space="preserve">: Instead of fetching start and end locations automatically, add an</w:t>
          </w:r>
          <w:r>
            <w:t xml:space="preserve"> </w:t>
          </w:r>
          <w:r>
            <w:rPr>
              <w:rStyle w:val="VerbatimChar"/>
            </w:rPr>
            <w:t xml:space="preserve">INFO/GENE</w:t>
          </w:r>
          <w:r>
            <w:t xml:space="preserve"> </w:t>
          </w:r>
          <w:r>
            <w:t xml:space="preserve">field directly within the</w:t>
          </w:r>
          <w:r>
            <w:t xml:space="preserve"> </w:t>
          </w:r>
          <w:r>
            <w:rPr>
              <w:rStyle w:val="VerbatimChar"/>
            </w:rPr>
            <w:t xml:space="preserve">VCF</w:t>
          </w:r>
          <w:r>
            <w:t xml:space="preserve"> </w:t>
          </w:r>
          <w:r>
            <w:t xml:space="preserve">files.</w:t>
          </w:r>
        </w:t>
      </w:r>
    </w:p>
    <w:bookmarkEnd w:id="109"/>
    <w:bookmarkStart w:id="113" w:name="Xe01f850393e7576928357ba56382bca6320073e"/>
    <w:p>
      <w:pPr>
        <w:pStyle w:val="Heading5"/>
      </w:pPr>
      <w:r>
        <w:t xml:space="preserve">1.3.4.1.2 ii) Extract SNPs corresponding to provided HDAC gene</w:t>
      </w:r>
    </w:p>
    <w:p>
      <w:pPr>
        <w:pStyle w:val="Compact"/>
        <w:numPr>
          <w:ilvl w:val="0"/>
          <w:numId w:val="1034"/>
        </w:numPr>
      </w:pPr>
      <w:r>
        <w:rPr>
          <w:b/>
          <w:bCs/>
        </w:rPr>
        <w:t xml:space="preserve">Inputs</w:t>
      </w:r>
      <w:r>
        <w:t xml:space="preserve">:</w:t>
      </w:r>
    </w:p>
    <w:p>
      <w:pPr>
        <w:pStyle w:val="Compact"/>
        <w:numPr>
          <w:ilvl w:val="1"/>
          <w:numId w:val="1035"/>
        </w:numPr>
      </w:pPr>
      <w:r>
        <w:t xml:space="preserve">Cleaned</w:t>
      </w:r>
      <w:r>
        <w:t xml:space="preserve"> </w:t>
      </w:r>
      <w:r>
        <w:rPr>
          <w:b/>
          <w:bCs/>
        </w:rPr>
        <w:t xml:space="preserve">VCF</w:t>
      </w:r>
      <w:r>
        <w:t xml:space="preserve"> </w:t>
      </w:r>
      <w:r>
        <w:t xml:space="preserve">file of the chromosome 7 (where</w:t>
      </w:r>
      <w:r>
        <w:t xml:space="preserve"> </w:t>
      </w:r>
      <w:r>
        <w:rPr>
          <w:rStyle w:val="VerbatimChar"/>
        </w:rPr>
        <w:t xml:space="preserve">HDAC-9</w:t>
      </w:r>
      <w:r>
        <w:t xml:space="preserve"> </w:t>
      </w:r>
      <w:r>
        <w:t xml:space="preserve">is present)</w:t>
      </w:r>
      <w:r>
        <w:rPr>
          <w:rStyle w:val="FootnoteReference"/>
        </w:rPr>
        <w:footnoteReference w:id="110"/>
      </w:r>
      <w:r>
        <w:t xml:space="preserve">.</w:t>
      </w:r>
    </w:p>
    <w:p>
      <w:pPr>
        <w:pStyle w:val="Compact"/>
        <w:numPr>
          <w:ilvl w:val="0"/>
          <w:numId w:val="1034"/>
        </w:numPr>
      </w:pPr>
      <w:r>
        <w:rPr>
          <w:b/>
          <w:bCs/>
        </w:rPr>
        <w:t xml:space="preserve">Outputs</w:t>
      </w:r>
      <w:r>
        <w:t xml:space="preserve">:</w:t>
      </w:r>
    </w:p>
    <w:p>
      <w:pPr>
        <w:pStyle w:val="Compact"/>
        <w:numPr>
          <w:ilvl w:val="1"/>
          <w:numId w:val="1036"/>
        </w:numPr>
      </w:pPr>
      <w:r>
        <w:rPr>
          <w:rStyle w:val="VerbatimChar"/>
        </w:rPr>
        <w:t xml:space="preserve">chr7.HDAC9.vcf</w:t>
      </w:r>
      <w:r>
        <w:t xml:space="preserve">: VCF file, restrained to HDAC9 region with affiliated SNPs.</w:t>
      </w:r>
    </w:p>
    <w:p>
      <w:pPr>
        <w:pStyle w:val="Compact"/>
        <w:numPr>
          <w:ilvl w:val="0"/>
          <w:numId w:val="1034"/>
        </w:numPr>
      </w:pPr>
      <w:r>
        <w:rPr>
          <w:b/>
          <w:bCs/>
        </w:rPr>
        <w:t xml:space="preserve">Objective</w:t>
      </w:r>
      <w:r>
        <w:t xml:space="preserve">: Extract annotated SNPs within</w:t>
      </w:r>
      <w:r>
        <w:t xml:space="preserve"> </w:t>
      </w:r>
      <w:r>
        <w:rPr>
          <w:rStyle w:val="VerbatimChar"/>
        </w:rPr>
        <w:t xml:space="preserve">HDAC9</w:t>
      </w:r>
      <w:r>
        <w:t xml:space="preserve"> </w:t>
      </w:r>
      <w:r>
        <w:t xml:space="preserve">boundaries, as defined by the</w:t>
      </w:r>
      <w:r>
        <w:t xml:space="preserve"> </w:t>
      </w:r>
      <w:r>
        <w:rPr>
          <w:rStyle w:val="VerbatimChar"/>
        </w:rPr>
        <w:t xml:space="preserve">hg38</w:t>
      </w:r>
      <w:r>
        <w:t xml:space="preserve"> </w:t>
      </w:r>
      <w:r>
        <w:t xml:space="preserve">reference genome.</w:t>
      </w:r>
      <w:r>
        <w:t xml:space="preserve"> </w:t>
      </w:r>
      <w:r>
        <w:rPr>
          <w:b/>
          <w:bCs/>
        </w:rPr>
        <w:t xml:space="preserve">Details</w:t>
      </w:r>
      <w:r>
        <w:t xml:space="preserve">:</w:t>
      </w:r>
    </w:p>
    <w:p>
      <w:pPr>
        <w:pStyle w:val="Compact"/>
        <w:numPr>
          <w:ilvl w:val="1"/>
          <w:numId w:val="1037"/>
        </w:numPr>
      </w:pPr>
      <w:r>
        <w:t xml:space="preserve">Discard variants with</w:t>
      </w:r>
      <w:r>
        <w:t xml:space="preserve"> </w:t>
      </w:r>
      <w:r>
        <w:rPr>
          <w:b/>
          <w:bCs/>
        </w:rPr>
        <w:t xml:space="preserve">Minor Allele Frequency (MAF)</w:t>
      </w:r>
      <w:r>
        <w:t xml:space="preserve"> </w:t>
      </w:r>
      <m:oMath>
        <m:r>
          <m:rPr>
            <m:sty m:val="p"/>
          </m:rPr>
          <m:t>&lt;</m:t>
        </m:r>
        <m:r>
          <m:t>0.01</m:t>
        </m:r>
      </m:oMath>
      <w:r>
        <w:t xml:space="preserve"> </w:t>
      </w:r>
      <w:r>
        <w:t xml:space="preserve">(in other words, the SNP must be present in at least</w:t>
      </w:r>
      <w:r>
        <w:t xml:space="preserve"> </w:t>
      </w:r>
      <m:oMath>
        <m:r>
          <m:t>1</m:t>
        </m:r>
        <m:r>
          <m:rPr>
            <m:sty m:val="p"/>
          </m:rPr>
          <m:t>%</m:t>
        </m:r>
      </m:oMath>
      <w:r>
        <w:t xml:space="preserve"> </w:t>
      </w:r>
      <w:r>
        <w:t xml:space="preserve">of the samples).</w:t>
      </w:r>
    </w:p>
    <w:p>
      <w:pPr>
        <w:pStyle w:val="Compact"/>
        <w:numPr>
          <w:ilvl w:val="1"/>
          <w:numId w:val="1037"/>
        </w:numPr>
      </w:pPr>
      <w:r>
        <w:t xml:space="preserve">SNPs were extracted using</w:t>
      </w:r>
      <w:r>
        <w:t xml:space="preserve"> </w:t>
      </w:r>
      <w:r>
        <w:rPr>
          <w:rStyle w:val="VerbatimChar"/>
        </w:rPr>
        <w:t xml:space="preserve">bcftools view</w:t>
      </w:r>
      <w:r>
        <w:t xml:space="preserve">, with shell script</w:t>
      </w:r>
      <w:r>
        <w:t xml:space="preserve"> </w:t>
      </w:r>
      <w:hyperlink r:id="rId111">
        <w:r>
          <w:rPr>
            <w:rStyle w:val="Hyperlink"/>
          </w:rPr>
          <w:t xml:space="preserve">extract_variants.sh</w:t>
        </w:r>
      </w:hyperlink>
      <w:r>
        <w:rPr>
          <w:rStyle w:val="FootnoteReference"/>
        </w:rPr>
        <w:footnoteReference w:id="112"/>
      </w:r>
      <w:r>
        <w:t xml:space="preserve">:</w:t>
      </w:r>
    </w:p>
    <w:p>
      <w:pPr>
        <w:pStyle w:val="SourceCode"/>
      </w:pPr>
      <w:r>
        <w:rPr>
          <w:rStyle w:val="FunctionTok"/>
        </w:rPr>
        <w:t xml:space="preserve">nohup</w:t>
      </w:r>
      <w:r>
        <w:rPr>
          <w:rStyle w:val="NormalTok"/>
        </w:rPr>
        <w:t xml:space="preserve"> ./shell/extract_variants.sh </w:t>
      </w:r>
      <w:r>
        <w:rPr>
          <w:rStyle w:val="OperatorTok"/>
        </w:rPr>
        <w:t xml:space="preserve">&gt;</w:t>
      </w:r>
      <w:r>
        <w:rPr>
          <w:rStyle w:val="NormalTok"/>
        </w:rPr>
        <w:t xml:space="preserve"> shell/extract_variants.log </w:t>
      </w:r>
      <w:r>
        <w:rPr>
          <w:rStyle w:val="DecValTok"/>
        </w:rPr>
        <w:t xml:space="preserve">2</w:t>
      </w:r>
      <w:r>
        <w:rPr>
          <w:rStyle w:val="OperatorTok"/>
        </w:rPr>
        <w:t xml:space="preserve">&gt;&amp;</w:t>
      </w:r>
      <w:r>
        <w:rPr>
          <w:rStyle w:val="DecValTok"/>
        </w:rPr>
        <w:t xml:space="preserve">1</w:t>
      </w:r>
      <w:r>
        <w:rPr>
          <w:rStyle w:val="NormalTok"/>
        </w:rPr>
        <w:t xml:space="preserve"> </w:t>
      </w:r>
      <w:r>
        <w:rPr>
          <w:rStyle w:val="KeywordTok"/>
        </w:rPr>
        <w:t xml:space="preserve">&amp;</w:t>
      </w:r>
    </w:p>
    <w:p>
      <w:pPr>
        <w:pStyle w:val="Compact"/>
        <w:numPr>
          <w:ilvl w:val="0"/>
          <w:numId w:val="1038"/>
        </w:numPr>
      </w:pPr>
      <w:r>
        <w:rPr>
          <w:b/>
          <w:bCs/>
        </w:rPr>
        <w:t xml:space="preserve">Remark:</w:t>
      </w:r>
      <w:r>
        <w:t xml:space="preserve"> </w:t>
      </w:r>
      <w:r>
        <w:rPr>
          <w:rStyle w:val="VerbatimChar"/>
        </w:rPr>
        <w:t xml:space="preserve">--maf</w:t>
      </w:r>
      <w:r>
        <w:t xml:space="preserve"> </w:t>
      </w:r>
      <w:r>
        <w:t xml:space="preserve">guarantees removal of highly recessive SNPs, present in less than</w:t>
      </w:r>
      <w:r>
        <w:t xml:space="preserve"> </w:t>
      </w:r>
      <m:oMath>
        <m:r>
          <m:t>1</m:t>
        </m:r>
        <m:r>
          <m:rPr>
            <m:sty m:val="p"/>
          </m:rPr>
          <m:t>%</m:t>
        </m:r>
      </m:oMath>
      <w:r>
        <w:t xml:space="preserve"> </w:t>
      </w:r>
      <w:r>
        <w:t xml:space="preserve">of cases with respect to the dominant form: infrequent SNPs are indeed associated with lower statistical power.</w:t>
      </w:r>
    </w:p>
    <w:bookmarkEnd w:id="113"/>
    <w:bookmarkEnd w:id="114"/>
    <w:bookmarkEnd w:id="115"/>
    <w:bookmarkStart w:id="143" w:name="step-3-gwas-analyses"/>
    <w:p>
      <w:pPr>
        <w:pStyle w:val="Heading3"/>
      </w:pPr>
      <w:r>
        <w:t xml:space="preserve">1.3.5 Step 3: GWAS Analyses</w:t>
      </w:r>
    </w:p>
    <w:bookmarkStart w:id="124" w:name="sec-GWAS"/>
    <w:p>
      <w:pPr>
        <w:pStyle w:val="Heading4"/>
      </w:pPr>
      <w:r>
        <w:t xml:space="preserve">1.3.5.1 i) GLM and GWAS</w:t>
      </w:r>
    </w:p>
    <w:p>
      <w:pPr>
        <w:numPr>
          <w:ilvl w:val="0"/>
          <w:numId w:val="1039"/>
        </w:numPr>
      </w:pPr>
      <w:r>
        <w:rPr>
          <w:b/>
          <w:bCs/>
        </w:rPr>
        <w:t xml:space="preserve">Objective</w:t>
      </w:r>
      <w:r>
        <w:t xml:space="preserve">: Use of</w:t>
      </w:r>
      <w:r>
        <w:t xml:space="preserve"> </w:t>
      </w:r>
      <w:r>
        <w:rPr>
          <w:rStyle w:val="VerbatimChar"/>
        </w:rPr>
        <w:t xml:space="preserve">PLINK2 + glm</w:t>
      </w:r>
      <w:r>
        <w:t xml:space="preserve"> </w:t>
      </w:r>
      <w:r>
        <w:t xml:space="preserve">with the first 10 principal components as covariates, see</w:t>
      </w:r>
      <w:r>
        <w:t xml:space="preserve"> </w:t>
      </w:r>
      <w:hyperlink w:anchor="lst-glm-bash">
        <w:r>
          <w:rPr>
            <w:rStyle w:val="Hyperlink"/>
          </w:rPr>
          <w:t xml:space="preserve">Listing 1.5</w:t>
        </w:r>
      </w:hyperlink>
      <w:r>
        <w:t xml:space="preserve">, using logistic regression for categorical variables, and</w:t>
      </w:r>
      <w:r>
        <w:t xml:space="preserve"> </w:t>
      </w:r>
      <w:r>
        <w:rPr>
          <w:rStyle w:val="VerbatimChar"/>
        </w:rPr>
        <w:t xml:space="preserve">lm</w:t>
      </w:r>
      <w:r>
        <w:t xml:space="preserve"> </w:t>
      </w:r>
      <w:r>
        <w:t xml:space="preserve">for continuous outcomes.</w:t>
      </w:r>
    </w:p>
    <w:p>
      <w:pPr>
        <w:numPr>
          <w:ilvl w:val="0"/>
          <w:numId w:val="1039"/>
        </w:numPr>
      </w:pPr>
      <w:r>
        <w:rPr>
          <w:b/>
          <w:bCs/>
        </w:rPr>
        <w:t xml:space="preserve">Input</w:t>
      </w:r>
      <w:r>
        <w:t xml:space="preserve">:</w:t>
      </w:r>
    </w:p>
    <w:p>
      <w:pPr>
        <w:pStyle w:val="Compact"/>
        <w:numPr>
          <w:ilvl w:val="1"/>
          <w:numId w:val="1040"/>
        </w:numPr>
      </w:pPr>
      <w:r>
        <w:rPr>
          <w:rStyle w:val="VerbatimChar"/>
        </w:rPr>
        <w:t xml:space="preserve">VCF</w:t>
      </w:r>
      <w:r>
        <w:t xml:space="preserve"> </w:t>
      </w:r>
      <w:r>
        <w:t xml:space="preserve">file on the region/gene of interest</w:t>
      </w:r>
    </w:p>
    <w:p>
      <w:pPr>
        <w:pStyle w:val="Compact"/>
        <w:numPr>
          <w:ilvl w:val="1"/>
          <w:numId w:val="1040"/>
        </w:numPr>
      </w:pPr>
      <w:r>
        <w:t xml:space="preserve">Phenotypes, with individual patient IDs.</w:t>
      </w:r>
    </w:p>
    <w:p>
      <w:pPr>
        <w:pStyle w:val="Compact"/>
        <w:numPr>
          <w:ilvl w:val="1"/>
          <w:numId w:val="1040"/>
        </w:numPr>
      </w:pPr>
      <w:r>
        <w:t xml:space="preserve">Explanatory variable to predict, provided with</w:t>
      </w:r>
      <w:r>
        <w:t xml:space="preserve"> </w:t>
      </w:r>
      <w:r>
        <w:rPr>
          <w:rStyle w:val="VerbatimChar"/>
        </w:rPr>
        <w:t xml:space="preserve">--pheno-name &lt;response_variable&gt;</w:t>
      </w:r>
      <w:r>
        <w:t xml:space="preserve">.</w:t>
      </w:r>
    </w:p>
    <w:tbl>
      <w:tblPr>
        <w:tblStyle w:val="Table"/>
        <w:tblW w:type="pct" w:w="5000"/>
        <w:tblLayout w:type="fixed"/>
        <w:tblLook w:firstRow="0" w:lastRow="0" w:firstColumn="0" w:lastColumn="0" w:noHBand="0" w:noVBand="0" w:val="0000"/>
      </w:tblPr>
      <w:tblGrid>
        <w:gridCol w:w="7920"/>
      </w:tblGrid>
      <w:tr>
        <w:tc>
          <w:tcPr/>
          <w:bookmarkStart w:id="119" w:name="lst-glm-bash"/>
          <w:p>
            <w:pPr>
              <w:jc w:val="center"/>
            </w:pPr>
            <w:pPr>
              <w:jc w:val="start"/>
              <w:spacing w:before="200"/>
              <w:pStyle w:val="ImageCaption"/>
            </w:pPr>
            <w:r>
              <w:t xml:space="preserve">Listing 1.5</w:t>
            </w:r>
          </w:p>
          <w:p>
            <w:pPr>
              <w:jc w:val="center"/>
            </w:pPr>
            <w:r>
              <w:rPr>
                <w:b/>
                <w:bCs/>
              </w:rPr>
              <w:t xml:space="preserve">Template GLM instruction for GWAS studies:</w:t>
            </w:r>
          </w:p>
          <w:bookmarkStart w:id="116" w:name="annotated-cell-42"/>
          <w:p>
            <w:pPr>
              <w:pStyle w:val="SourceCode"/>
              <w:jc w:val="center"/>
            </w:pPr>
            <w:r>
              <w:br/>
            </w:r>
            <w:r>
              <w:rPr>
                <w:rStyle w:val="ExtensionTok"/>
              </w:rPr>
              <w:t xml:space="preserve">plink2</w:t>
            </w:r>
            <w:r>
              <w:rPr>
                <w:rStyle w:val="NormalTok"/>
              </w:rPr>
              <w:t xml:space="preserve"> </w:t>
            </w:r>
            <w:r>
              <w:rPr>
                <w:rStyle w:val="DataTypeTok"/>
              </w:rPr>
              <w:t xml:space="preserve">\</w:t>
            </w:r>
            <w:r>
              <w:br/>
            </w:r>
            <w:r>
              <w:rPr>
                <w:rStyle w:val="NormalTok"/>
              </w:rPr>
              <w:t xml:space="preserve">  </w:t>
            </w:r>
            <w:r>
              <w:rPr>
                <w:rStyle w:val="AttributeTok"/>
              </w:rPr>
              <w:t xml:space="preserve">--double-id</w:t>
            </w:r>
            <w:r>
              <w:rPr>
                <w:rStyle w:val="NormalTok"/>
              </w:rPr>
              <w:t xml:space="preserve"> </w:t>
            </w:r>
            <w:r>
              <w:rPr>
                <w:rStyle w:val="DataTypeTok"/>
              </w:rPr>
              <w:t xml:space="preserve">\ </w:t>
            </w:r>
            <w:r>
              <w:rPr>
                <w:rStyle w:val="NormalTok"/>
              </w:rPr>
              <w:t xml:space="preserve">#</w:t>
            </w:r>
            <w:r>
              <w:br/>
            </w:r>
            <w:r>
              <w:rPr>
                <w:rStyle w:val="NormalTok"/>
              </w:rPr>
              <w:t xml:space="preserve">  </w:t>
            </w:r>
            <w:r>
              <w:rPr>
                <w:rStyle w:val="ExtensionTok"/>
              </w:rPr>
              <w:t xml:space="preserve">--pheno</w:t>
            </w:r>
            <w:r>
              <w:rPr>
                <w:rStyle w:val="NormalTok"/>
              </w:rPr>
              <w:t xml:space="preserve"> ./phenotypes/merge_phenos_PCs.txt </w:t>
            </w:r>
            <w:r>
              <w:rPr>
                <w:rStyle w:val="DataTypeTok"/>
              </w:rPr>
              <w:t xml:space="preserve">\ </w:t>
            </w:r>
            <w:r>
              <w:rPr>
                <w:rStyle w:val="NormalTok"/>
              </w:rPr>
              <w:t xml:space="preserve">#</w:t>
            </w:r>
            <w:r>
              <w:br/>
            </w:r>
            <w:r>
              <w:rPr>
                <w:rStyle w:val="NormalTok"/>
              </w:rPr>
              <w:t xml:space="preserve">  </w:t>
            </w:r>
            <w:r>
              <w:rPr>
                <w:rStyle w:val="ExtensionTok"/>
              </w:rPr>
              <w:t xml:space="preserve">--pheno-name</w:t>
            </w:r>
            <w:r>
              <w:rPr>
                <w:rStyle w:val="NormalTok"/>
              </w:rPr>
              <w:t xml:space="preserve"> OSTEOPONIA </w:t>
            </w:r>
            <w:r>
              <w:rPr>
                <w:rStyle w:val="DataTypeTok"/>
              </w:rPr>
              <w:t xml:space="preserve">\ </w:t>
            </w:r>
            <w:r>
              <w:rPr>
                <w:rStyle w:val="NormalTok"/>
              </w:rPr>
              <w:t xml:space="preserve">#</w:t>
            </w:r>
            <w:r>
              <w:br/>
            </w:r>
            <w:r>
              <w:rPr>
                <w:rStyle w:val="NormalTok"/>
              </w:rPr>
              <w:t xml:space="preserve">  </w:t>
            </w:r>
            <w:r>
              <w:rPr>
                <w:rStyle w:val="ExtensionTok"/>
              </w:rPr>
              <w:t xml:space="preserve">--vcf</w:t>
            </w:r>
            <w:r>
              <w:rPr>
                <w:rStyle w:val="NormalTok"/>
              </w:rPr>
              <w:t xml:space="preserve"> /mnt/projects_tn01/Cartagene/analyses/variants_extraction/chr7.merged.clean.noMono.extracted_variants.HDAC9.vcf dosage=HDS </w:t>
            </w:r>
            <w:r>
              <w:rPr>
                <w:rStyle w:val="CommentTok"/>
              </w:rPr>
              <w:t xml:space="preserve">#</w:t>
            </w:r>
            <w:r>
              <w:br/>
            </w:r>
            <w:r>
              <w:rPr>
                <w:rStyle w:val="NormalTok"/>
              </w:rPr>
              <w:t xml:space="preserve">  </w:t>
            </w:r>
            <w:r>
              <w:rPr>
                <w:rStyle w:val="ExtensionTok"/>
              </w:rPr>
              <w:t xml:space="preserve">--glm</w:t>
            </w:r>
            <w:r>
              <w:rPr>
                <w:rStyle w:val="NormalTok"/>
              </w:rPr>
              <w:t xml:space="preserve"> hide-covar </w:t>
            </w:r>
            <w:r>
              <w:rPr>
                <w:rStyle w:val="DataTypeTok"/>
              </w:rPr>
              <w:t xml:space="preserve">\ </w:t>
            </w:r>
            <w:r>
              <w:rPr>
                <w:rStyle w:val="NormalTok"/>
              </w:rPr>
              <w:t xml:space="preserve">#</w:t>
            </w:r>
            <w:r>
              <w:br/>
            </w:r>
            <w:r>
              <w:rPr>
                <w:rStyle w:val="NormalTok"/>
              </w:rPr>
              <w:t xml:space="preserve">  </w:t>
            </w:r>
            <w:r>
              <w:rPr>
                <w:rStyle w:val="ExtensionTok"/>
              </w:rPr>
              <w:t xml:space="preserve">--covar</w:t>
            </w:r>
            <w:r>
              <w:rPr>
                <w:rStyle w:val="NormalTok"/>
              </w:rPr>
              <w:t xml:space="preserve"> /mnt/projects_tn01/Cartagene/analyses/phenotypes/merge_phenos_PCs.txt </w:t>
            </w:r>
            <w:r>
              <w:rPr>
                <w:rStyle w:val="DataTypeTok"/>
              </w:rPr>
              <w:t xml:space="preserve">\ </w:t>
            </w:r>
            <w:r>
              <w:rPr>
                <w:rStyle w:val="NormalTok"/>
              </w:rPr>
              <w:t xml:space="preserve">#</w:t>
            </w:r>
            <w:r>
              <w:br/>
            </w:r>
            <w:r>
              <w:rPr>
                <w:rStyle w:val="NormalTok"/>
              </w:rPr>
              <w:t xml:space="preserve">  </w:t>
            </w:r>
            <w:r>
              <w:rPr>
                <w:rStyle w:val="ExtensionTok"/>
              </w:rPr>
              <w:t xml:space="preserve">--covar-name</w:t>
            </w:r>
            <w:r>
              <w:rPr>
                <w:rStyle w:val="NormalTok"/>
              </w:rPr>
              <w:t xml:space="preserve"> PC1,PC2,PC3,PC4,PC5,PC6,PC7,PC8,PC9,PC10 </w:t>
            </w:r>
            <w:r>
              <w:rPr>
                <w:rStyle w:val="DataTypeTok"/>
              </w:rPr>
              <w:t xml:space="preserve">\ </w:t>
            </w:r>
            <w:r>
              <w:rPr>
                <w:rStyle w:val="NormalTok"/>
              </w:rPr>
              <w:t xml:space="preserve">#</w:t>
            </w:r>
            <w:r>
              <w:br/>
            </w:r>
            <w:r>
              <w:rPr>
                <w:rStyle w:val="NormalTok"/>
              </w:rPr>
              <w:t xml:space="preserve">  </w:t>
            </w:r>
            <w:r>
              <w:rPr>
                <w:rStyle w:val="ExtensionTok"/>
              </w:rPr>
              <w:t xml:space="preserve">--out</w:t>
            </w:r>
            <w:r>
              <w:rPr>
                <w:rStyle w:val="NormalTok"/>
              </w:rPr>
              <w:t xml:space="preserve"> HDAC9_OSTEOPONIA </w:t>
            </w:r>
            <w:r>
              <w:rPr>
                <w:rStyle w:val="CommentTok"/>
              </w:rPr>
              <w:t xml:space="preserve">#</w:t>
            </w:r>
          </w:p>
          <w:bookmarkEnd w:id="116"/>
          <w:p>
            <w:pPr>
              <w:pStyle w:val="DefinitionTerm"/>
              <w:jc w:val="center"/>
            </w:pPr>
            <w:r>
              <w:t xml:space="preserve">Line 3</w:t>
            </w:r>
          </w:p>
          <w:p>
            <w:pPr>
              <w:pStyle w:val="Compact"/>
              <w:jc w:val="center"/>
            </w:pPr>
            <w:r>
              <w:t xml:space="preserve">The</w:t>
            </w:r>
            <w:r>
              <w:t xml:space="preserve"> </w:t>
            </w:r>
            <w:r>
              <w:rPr>
                <w:rStyle w:val="VerbatimChar"/>
              </w:rPr>
              <w:t xml:space="preserve">--double-id</w:t>
            </w:r>
            <w:r>
              <w:t xml:space="preserve"> </w:t>
            </w:r>
            <w:r>
              <w:t xml:space="preserve">option ensures independent GWAS analyses per individual, aka the</w:t>
            </w:r>
            <w:r>
              <w:t xml:space="preserve"> </w:t>
            </w:r>
            <w:r>
              <w:rPr>
                <w:i/>
                <w:iCs/>
              </w:rPr>
              <w:t xml:space="preserve">single-sample mode</w:t>
            </w:r>
            <w:r>
              <w:t xml:space="preserve">, stating explicitly that the</w:t>
            </w:r>
            <w:r>
              <w:t xml:space="preserve"> </w:t>
            </w:r>
            <w:r>
              <w:rPr>
                <w:rStyle w:val="VerbatimChar"/>
              </w:rPr>
              <w:t xml:space="preserve">VCF</w:t>
            </w:r>
            <w:r>
              <w:t xml:space="preserve"> </w:t>
            </w:r>
            <w:r>
              <w:t xml:space="preserve">file follows a</w:t>
            </w:r>
            <w:r>
              <w:t xml:space="preserve"> </w:t>
            </w:r>
            <w:r>
              <w:rPr>
                <w:i/>
                <w:iCs/>
              </w:rPr>
              <w:t xml:space="preserve">family-based format</w:t>
            </w:r>
            <w:r>
              <w:t xml:space="preserve"> </w:t>
            </w:r>
            <w:r>
              <w:t xml:space="preserve">(FID/IID pairs).</w:t>
            </w:r>
          </w:p>
          <w:p>
            <w:pPr>
              <w:pStyle w:val="DefinitionTerm"/>
              <w:jc w:val="center"/>
            </w:pPr>
            <w:r>
              <w:t xml:space="preserve">Lines 4-6</w:t>
            </w:r>
          </w:p>
          <w:p>
            <w:pPr>
              <w:pStyle w:val="Compact"/>
              <w:jc w:val="center"/>
            </w:pPr>
            <w:r>
              <w:rPr>
                <w:b/>
                <w:bCs/>
              </w:rPr>
              <w:t xml:space="preserve">GWAS inputs</w:t>
            </w:r>
            <w:r>
              <w:t xml:space="preserve">: We need the</w:t>
            </w:r>
            <w:r>
              <w:t xml:space="preserve"> </w:t>
            </w:r>
            <w:r>
              <w:rPr>
                <w:i/>
                <w:iCs/>
              </w:rPr>
              <w:t xml:space="preserve">phenotype information</w:t>
            </w:r>
            <w:r>
              <w:t xml:space="preserve"> </w:t>
            </w:r>
            <w:r>
              <w:t xml:space="preserve">(provided with</w:t>
            </w:r>
            <w:r>
              <w:t xml:space="preserve"> </w:t>
            </w:r>
            <w:r>
              <w:rPr>
                <w:rStyle w:val="VerbatimChar"/>
              </w:rPr>
              <w:t xml:space="preserve">--pheno</w:t>
            </w:r>
            <w:r>
              <w:t xml:space="preserve"> </w:t>
            </w:r>
            <w:r>
              <w:t xml:space="preserve">and</w:t>
            </w:r>
            <w:r>
              <w:t xml:space="preserve"> </w:t>
            </w:r>
            <w:r>
              <w:rPr>
                <w:rStyle w:val="VerbatimChar"/>
              </w:rPr>
              <w:t xml:space="preserve">--keep</w:t>
            </w:r>
            <w:r>
              <w:t xml:space="preserve"> </w:t>
            </w:r>
            <w:r>
              <w:t xml:space="preserve">commands), the</w:t>
            </w:r>
            <w:r>
              <w:t xml:space="preserve"> </w:t>
            </w:r>
            <w:r>
              <w:rPr>
                <w:i/>
                <w:iCs/>
              </w:rPr>
              <w:t xml:space="preserve">variable to predict</w:t>
            </w:r>
            <w:r>
              <w:t xml:space="preserve"> </w:t>
            </w:r>
            <w:r>
              <w:t xml:space="preserve">(provided with</w:t>
            </w:r>
            <w:r>
              <w:t xml:space="preserve"> </w:t>
            </w:r>
            <w:r>
              <w:rPr>
                <w:rStyle w:val="VerbatimChar"/>
              </w:rPr>
              <w:t xml:space="preserve">--pheno-name</w:t>
            </w:r>
            <w:r>
              <w:t xml:space="preserve">) and the</w:t>
            </w:r>
            <w:r>
              <w:t xml:space="preserve"> </w:t>
            </w:r>
            <w:r>
              <w:rPr>
                <w:i/>
                <w:iCs/>
              </w:rPr>
              <w:t xml:space="preserve">VCF file</w:t>
            </w:r>
            <w:r>
              <w:t xml:space="preserve"> </w:t>
            </w:r>
            <w:r>
              <w:t xml:space="preserve">(command</w:t>
            </w:r>
            <w:r>
              <w:t xml:space="preserve"> </w:t>
            </w:r>
            <w:r>
              <w:rPr>
                <w:rStyle w:val="VerbatimChar"/>
              </w:rPr>
              <w:t xml:space="preserve">--vcf</w:t>
            </w:r>
            <w:r>
              <w:t xml:space="preserve">), here using the SNPs annotations for the HDAC9 gene</w:t>
            </w:r>
            <w:r>
              <w:rPr>
                <w:rStyle w:val="FootnoteReference"/>
              </w:rPr>
              <w:footnoteReference w:id="117"/>
            </w:r>
            <w:r>
              <w:t xml:space="preserve">.</w:t>
            </w:r>
          </w:p>
          <w:p>
            <w:pPr>
              <w:pStyle w:val="DefinitionTerm"/>
              <w:jc w:val="center"/>
            </w:pPr>
            <w:r>
              <w:t xml:space="preserve">Lines 7-9</w:t>
            </w:r>
          </w:p>
          <w:p>
            <w:pPr>
              <w:pStyle w:val="Compact"/>
              <w:jc w:val="center"/>
            </w:pPr>
            <w:r>
              <w:t xml:space="preserve">GWAS model options:</w:t>
            </w:r>
            <w:r>
              <w:t xml:space="preserve"> </w:t>
            </w:r>
            <w:r>
              <w:rPr>
                <w:rStyle w:val="VerbatimChar"/>
              </w:rPr>
              <w:t xml:space="preserve">--glm</w:t>
            </w:r>
            <w:r>
              <w:t xml:space="preserve"> </w:t>
            </w:r>
            <w:r>
              <w:t xml:space="preserve">is the general linear model, which uses by default a</w:t>
            </w:r>
            <w:r>
              <w:t xml:space="preserve"> </w:t>
            </w:r>
            <w:r>
              <w:rPr>
                <w:i/>
                <w:iCs/>
              </w:rPr>
              <w:t xml:space="preserve">logistic regression</w:t>
            </w:r>
            <w:r>
              <w:t xml:space="preserve"> </w:t>
            </w:r>
            <w:r>
              <w:t xml:space="preserve">for categorical variables, and a</w:t>
            </w:r>
            <w:r>
              <w:t xml:space="preserve"> </w:t>
            </w:r>
            <w:r>
              <w:rPr>
                <w:i/>
                <w:iCs/>
              </w:rPr>
              <w:t xml:space="preserve">standard linear Gaussian model</w:t>
            </w:r>
            <w:r>
              <w:t xml:space="preserve">, equivalent to</w:t>
            </w:r>
            <w:r>
              <w:t xml:space="preserve"> </w:t>
            </w:r>
            <w:r>
              <w:rPr>
                <w:rStyle w:val="VerbatimChar"/>
              </w:rPr>
              <w:t xml:space="preserve">lm</w:t>
            </w:r>
            <w:r>
              <w:t xml:space="preserve"> </w:t>
            </w:r>
            <w:r>
              <w:t xml:space="preserve">for continuous variables</w:t>
            </w:r>
            <w:r>
              <w:rPr>
                <w:rStyle w:val="FootnoteReference"/>
              </w:rPr>
              <w:footnoteReference w:id="118"/>
            </w:r>
            <w:r>
              <w:t xml:space="preserve">.</w:t>
            </w:r>
            <w:r>
              <w:t xml:space="preserve"> </w:t>
            </w:r>
            <w:r>
              <w:rPr>
                <w:rStyle w:val="VerbatimChar"/>
              </w:rPr>
              <w:t xml:space="preserve">--covar</w:t>
            </w:r>
            <w:r>
              <w:t xml:space="preserve"> </w:t>
            </w:r>
            <w:r>
              <w:t xml:space="preserve">is the covariate file, with relevant explanatory variables to integrate reported with</w:t>
            </w:r>
            <w:r>
              <w:t xml:space="preserve"> </w:t>
            </w:r>
            <w:r>
              <w:rPr>
                <w:rStyle w:val="VerbatimChar"/>
              </w:rPr>
              <w:t xml:space="preserve">--covar-name</w:t>
            </w:r>
            <w:r>
              <w:t xml:space="preserve"> </w:t>
            </w:r>
            <w:r>
              <w:t xml:space="preserve">(see @ for details). PCAs are used to describe the population structure in an unsupervised manner; and avoid and detect latent subgroups.</w:t>
            </w:r>
          </w:p>
          <w:p>
            <w:pPr>
              <w:pStyle w:val="DefinitionTerm"/>
              <w:jc w:val="center"/>
            </w:pPr>
            <w:r>
              <w:t xml:space="preserve">Line 10</w:t>
            </w:r>
          </w:p>
          <w:p>
            <w:pPr>
              <w:pStyle w:val="Compact"/>
              <w:jc w:val="center"/>
            </w:pPr>
            <w:r>
              <w:t xml:space="preserve">The output GWAS folder, with</w:t>
            </w:r>
            <w:r>
              <w:t xml:space="preserve"> </w:t>
            </w:r>
            <w:r>
              <w:rPr>
                <w:rStyle w:val="VerbatimChar"/>
              </w:rPr>
              <w:t xml:space="preserve">--out</w:t>
            </w:r>
            <w:r>
              <w:t xml:space="preserve"> </w:t>
            </w:r>
            <w:r>
              <w:t xml:space="preserve">command. Stored for now in</w:t>
            </w:r>
            <w:r>
              <w:t xml:space="preserve"> </w:t>
            </w:r>
            <w:r>
              <w:rPr>
                <w:rStyle w:val="VerbatimChar"/>
              </w:rPr>
              <w:t xml:space="preserve">/mnt/projects_tn01/Cartagene/analyses/association</w:t>
            </w:r>
            <w:r>
              <w:t xml:space="preserve">.</w:t>
            </w:r>
          </w:p>
          <w:bookmarkEnd w:id="119"/>
        </w:tc>
      </w:tr>
    </w:tbl>
    <w:p>
      <w:pPr>
        <w:pStyle w:val="FirstParagraph"/>
      </w:pPr>
      <w:r>
        <w:t xml:space="preserve">In practice, run the</w:t>
      </w:r>
      <w:r>
        <w:t xml:space="preserve"> </w:t>
      </w:r>
      <w:hyperlink r:id="rId120">
        <w:r>
          <w:rPr>
            <w:rStyle w:val="VerbatimChar"/>
          </w:rPr>
          <w:t xml:space="preserve">plink2_gwas.sh</w:t>
        </w:r>
      </w:hyperlink>
      <w:r>
        <w:t xml:space="preserve"> </w:t>
      </w:r>
      <w:r>
        <w:t xml:space="preserve">script in the background (possibility to customise gene name and feature variables to regress on):</w:t>
      </w:r>
    </w:p>
    <w:p>
      <w:pPr>
        <w:pStyle w:val="SourceCode"/>
      </w:pPr>
      <w:r>
        <w:rPr>
          <w:rStyle w:val="CommentTok"/>
        </w:rPr>
        <w:t xml:space="preserve">## Run the GWAS pipeline in the background,</w:t>
      </w:r>
      <w:r>
        <w:br/>
      </w:r>
      <w:r>
        <w:rPr>
          <w:rStyle w:val="CommentTok"/>
        </w:rPr>
        <w:t xml:space="preserve">## persist after logout, and log everything.</w:t>
      </w:r>
      <w:r>
        <w:br/>
      </w:r>
      <w:r>
        <w:br/>
      </w:r>
      <w:r>
        <w:rPr>
          <w:rStyle w:val="FunctionTok"/>
        </w:rPr>
        <w:t xml:space="preserve">nohup</w:t>
      </w:r>
      <w:r>
        <w:rPr>
          <w:rStyle w:val="NormalTok"/>
        </w:rPr>
        <w:t xml:space="preserve"> ./shell/plink2_gwas.sh </w:t>
      </w:r>
      <w:r>
        <w:rPr>
          <w:rStyle w:val="OperatorTok"/>
        </w:rPr>
        <w:t xml:space="preserve">&gt;</w:t>
      </w:r>
      <w:r>
        <w:rPr>
          <w:rStyle w:val="NormalTok"/>
        </w:rPr>
        <w:t xml:space="preserve"> shell/plink2_gwas.log </w:t>
      </w:r>
      <w:r>
        <w:rPr>
          <w:rStyle w:val="DecValTok"/>
        </w:rPr>
        <w:t xml:space="preserve">2</w:t>
      </w:r>
      <w:r>
        <w:rPr>
          <w:rStyle w:val="OperatorTok"/>
        </w:rPr>
        <w:t xml:space="preserve">&gt;&amp;</w:t>
      </w:r>
      <w:r>
        <w:rPr>
          <w:rStyle w:val="DecValTok"/>
        </w:rPr>
        <w:t xml:space="preserve">1</w:t>
      </w:r>
      <w:r>
        <w:rPr>
          <w:rStyle w:val="NormalTok"/>
        </w:rPr>
        <w:t xml:space="preserve"> </w:t>
      </w:r>
      <w:r>
        <w:rPr>
          <w:rStyle w:val="KeywordTok"/>
        </w:rPr>
        <w:t xml:space="preserve">&amp;</w:t>
      </w:r>
    </w:p>
    <w:p>
      <w:pPr>
        <w:numPr>
          <w:ilvl w:val="0"/>
          <w:numId w:val="1041"/>
        </w:numPr>
      </w:pPr>
      <w:r>
        <w:rPr>
          <w:b/>
          <w:bCs/>
        </w:rPr>
        <w:t xml:space="preserve">Remark 1</w:t>
      </w:r>
      <w:r>
        <w:t xml:space="preserve">: you may come up with</w:t>
      </w:r>
      <w:r>
        <w:t xml:space="preserve"> </w:t>
      </w:r>
      <w:r>
        <w:rPr>
          <w:rStyle w:val="VerbatimChar"/>
        </w:rPr>
        <w:t xml:space="preserve">Error: Cannot proceed with --glm regression on phenotype 'TACAIX', since variance inflation factor for covariate 'PC2' is too high</w:t>
      </w:r>
      <w:r>
        <w:t xml:space="preserve">. In this case, you may try removing completely covariates (with</w:t>
      </w:r>
      <w:r>
        <w:t xml:space="preserve"> </w:t>
      </w:r>
      <w:r>
        <w:rPr>
          <w:rStyle w:val="VerbatimChar"/>
        </w:rPr>
        <w:t xml:space="preserve">--glm allow-no-covars</w:t>
      </w:r>
      <w:r>
        <w:t xml:space="preserve">), or/and increase variance inflation threshold (</w:t>
      </w:r>
      <w:r>
        <w:rPr>
          <w:rStyle w:val="VerbatimChar"/>
        </w:rPr>
        <w:t xml:space="preserve">--vif number_vif</w:t>
      </w:r>
      <w:r>
        <w:t xml:space="preserve"> </w:t>
      </w:r>
      <w:r>
        <w:t xml:space="preserve">option)</w:t>
      </w:r>
      <w:r>
        <w:rPr>
          <w:rStyle w:val="FootnoteReference"/>
        </w:rPr>
        <w:footnoteReference w:id="121"/>
      </w:r>
    </w:p>
    <w:p>
      <w:pPr>
        <w:numPr>
          <w:ilvl w:val="0"/>
          <w:numId w:val="1041"/>
        </w:numPr>
      </w:pPr>
      <w:r>
        <w:rPr>
          <w:color w:val="red"/>
        </w:rPr>
        <w:t>
          <w:r>
            <w:rPr>
              <w:b/>
              <w:bCs/>
            </w:rPr>
            <w:t xml:space="preserve">Remark 2</w:t>
          </w:r>
          <w:r>
            <w:t xml:space="preserve">: All the pre-processing operations detailed in</w:t>
          </w:r>
          <w:r>
            <w:t xml:space="preserve"> </w:t>
          </w:r>
          <w:hyperlink w:anchor="sec-preprocessing-redundancy">
            <w:r>
              <w:rPr>
                <w:rStyle w:val="Hyperlink"/>
              </w:rPr>
              <w:t xml:space="preserve">Section 1.3.2.2</w:t>
            </w:r>
          </w:hyperlink>
          <w:r>
            <w:t xml:space="preserve"> </w:t>
          </w:r>
          <w:r>
            <w:t xml:space="preserve">are only used for the computation of the PCA components, but not subsequently used in the</w:t>
          </w:r>
          <w:r>
            <w:t xml:space="preserve"> </w:t>
          </w:r>
          <w:r>
            <w:rPr>
              <w:rStyle w:val="VerbatimChar"/>
            </w:rPr>
            <w:t xml:space="preserve">glm</w:t>
          </w:r>
          <w:r>
            <w:t xml:space="preserve"> </w:t>
          </w:r>
          <w:r>
            <w:t xml:space="preserve">regression for trimming strongly correlated features.</w:t>
          </w:r>
        </w:t>
      </w:r>
    </w:p>
    <w:p>
      <w:pPr>
        <w:numPr>
          <w:ilvl w:val="0"/>
          <w:numId w:val="1041"/>
        </w:numPr>
      </w:pPr>
      <w:r>
        <w:rPr>
          <w:color w:val="red"/>
        </w:rPr>
        <w:t>
          <w:r>
            <w:rPr>
              <w:b/>
              <w:bCs/>
            </w:rPr>
            <w:t xml:space="preserve">Remark 3</w:t>
          </w:r>
          <w:r>
            <w:t xml:space="preserve">: Add phenotype covariates, such as</w:t>
          </w:r>
          <w:r>
            <w:t xml:space="preserve"> </w:t>
          </w:r>
          <w:r>
            <w:rPr>
              <w:rStyle w:val="VerbatimChar"/>
            </w:rPr>
            <w:t xml:space="preserve">SEX</w:t>
          </w:r>
          <w:r>
            <w:t xml:space="preserve"> </w:t>
          </w:r>
          <w:r>
            <w:t xml:space="preserve">or</w:t>
          </w:r>
          <w:r>
            <w:t xml:space="preserve"> </w:t>
          </w:r>
          <w:r>
            <w:rPr>
              <w:rStyle w:val="VerbatimChar"/>
            </w:rPr>
            <w:t xml:space="preserve">AGE</w:t>
          </w:r>
          <w:r>
            <w:t xml:space="preserve"> </w:t>
          </w:r>
          <w:r>
            <w:t xml:space="preserve">in the regression framework, which can play a strong leverage on the impact of SNPs.</w:t>
          </w:r>
          <w:r>
            <w:t xml:space="preserve"> </w:t>
          </w:r>
          <w:hyperlink r:id="rId123">
            <w:r>
              <w:rPr>
                <w:rStyle w:val="VerbatimChar"/>
              </w:rPr>
              <w:t xml:space="preserve">GENESIS</w:t>
            </w:r>
          </w:hyperlink>
          <w:r>
            <w:t xml:space="preserve"> </w:t>
          </w:r>
          <w:r>
            <w:t xml:space="preserve">is a R package mixing environmental and genetic factors in a</w:t>
          </w:r>
          <w:r>
            <w:t xml:space="preserve"> </w:t>
          </w:r>
          <w:r>
            <w:rPr>
              <w:i/>
              <w:iCs/>
            </w:rPr>
            <w:t xml:space="preserve">fixed linear model</w:t>
          </w:r>
          <w:r>
            <w:t xml:space="preserve"> </w:t>
          </w:r>
          <w:r>
            <w:t xml:space="preserve">approach.</w:t>
          </w:r>
        </w:t>
      </w:r>
    </w:p>
    <w:bookmarkEnd w:id="124"/>
    <w:bookmarkStart w:id="133" w:name="ii-gwas-visualisations"/>
    <w:p>
      <w:pPr>
        <w:pStyle w:val="Heading4"/>
      </w:pPr>
      <w:r>
        <w:t xml:space="preserve">1.3.5.2 ii) GWAS Visualisations</w:t>
      </w:r>
    </w:p>
    <w:p>
      <w:pPr>
        <w:pStyle w:val="FirstParagraph"/>
      </w:pPr>
      <w:r>
        <w:t xml:space="preserve">For each gene-phenotype pair, we generate cognate</w:t>
      </w:r>
      <w:r>
        <w:t xml:space="preserve"> </w:t>
      </w:r>
      <w:r>
        <w:rPr>
          <w:b/>
          <w:bCs/>
        </w:rPr>
        <w:t xml:space="preserve">Manhattan plots</w:t>
      </w:r>
      <w:r>
        <w:rPr>
          <w:rStyle w:val="FootnoteReference"/>
        </w:rPr>
        <w:footnoteReference w:id="125"/>
      </w:r>
      <w:r>
        <w:t xml:space="preserve">, and</w:t>
      </w:r>
      <w:r>
        <w:t xml:space="preserve"> </w:t>
      </w:r>
      <m:oMath>
        <m:r>
          <m:t>p</m:t>
        </m:r>
      </m:oMath>
      <w:r>
        <w:t xml:space="preserve">-values distributions, using</w:t>
      </w:r>
      <w:r>
        <w:t xml:space="preserve"> </w:t>
      </w:r>
      <w:r>
        <w:rPr>
          <w:i/>
          <w:iCs/>
        </w:rPr>
        <w:t xml:space="preserve">histograms</w:t>
      </w:r>
      <w:r>
        <w:rPr>
          <w:rStyle w:val="FootnoteReference"/>
        </w:rPr>
        <w:footnoteReference w:id="127"/>
      </w:r>
      <w:r>
        <w:t xml:space="preserve">, and</w:t>
      </w:r>
      <w:r>
        <w:t xml:space="preserve"> </w:t>
      </w:r>
      <w:r>
        <w:rPr>
          <w:b/>
          <w:bCs/>
        </w:rPr>
        <w:t xml:space="preserve">QQplots</w:t>
      </w:r>
      <w:r>
        <w:rPr>
          <w:rStyle w:val="FootnoteReference"/>
        </w:rPr>
        <w:footnoteReference w:id="129"/>
      </w:r>
      <w:r>
        <w:t xml:space="preserve">. Core function for generating these 3 GWAS visualisations is</w:t>
      </w:r>
      <w:r>
        <w:t xml:space="preserve"> </w:t>
      </w:r>
      <w:hyperlink r:id="rId131">
        <w:r>
          <w:rPr>
            <w:rStyle w:val="VerbatimChar"/>
          </w:rPr>
          <w:t xml:space="preserve">generate_gwas_per_phenotype</w:t>
        </w:r>
      </w:hyperlink>
      <w:r>
        <w:t xml:space="preserve">. An example for gene</w:t>
      </w:r>
      <w:r>
        <w:t xml:space="preserve"> </w:t>
      </w:r>
      <w:r>
        <w:rPr>
          <w:rStyle w:val="VerbatimChar"/>
        </w:rPr>
        <w:t xml:space="preserve">HDAC-9</w:t>
      </w:r>
      <w:r>
        <w:t xml:space="preserve"> </w:t>
      </w:r>
      <w:r>
        <w:t xml:space="preserve">is provided in</w:t>
      </w:r>
      <w:r>
        <w:t xml:space="preserve"> </w:t>
      </w:r>
      <w:hyperlink w:anchor="fig-GWAS-HDAC9">
        <w:r>
          <w:rPr>
            <w:rStyle w:val="Hyperlink"/>
          </w:rPr>
          <w:t xml:space="preserve">Figure 1.3</w:t>
        </w:r>
      </w:hyperlink>
      <w:r>
        <w:t xml:space="preserve">.</w:t>
      </w:r>
    </w:p>
    <w:p>
      <w:pPr>
        <w:pStyle w:val="SourceCode"/>
      </w:pPr>
      <w:r>
        <w:rPr>
          <w:rStyle w:val="DocumentationTok"/>
        </w:rPr>
        <w:t xml:space="preserve">## p-value adjustment</w:t>
      </w:r>
      <w:r>
        <w:br/>
      </w:r>
      <w:r>
        <w:rPr>
          <w:rStyle w:val="DocumentationTok"/>
        </w:rPr>
        <w:t xml:space="preserve">## genename &lt;- "HDAC-9"; pheno_label &lt;- "OSTEOPONIA"; filedate &lt;- "2025-04-07"</w:t>
      </w:r>
      <w:r>
        <w:br/>
      </w:r>
      <w:r>
        <w:rPr>
          <w:rStyle w:val="NormalTok"/>
        </w:rPr>
        <w:t xml:space="preserve">num_variants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w:t>
      </w:r>
      <w:r>
        <w:rPr>
          <w:rStyle w:val="StringTok"/>
        </w:rPr>
        <w:t xml:space="preserve">"./tables/HDAC-9/HDAC-9_AVCGLOBAL_PRE_M_2025-04-07.AVCGLOBAL_PRE_M.glm.logistic.hybrid"</w:t>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rPr>
          <w:rStyle w:val="FunctionTok"/>
        </w:rPr>
        <w:t xml:space="preserve">nrow</w:t>
      </w:r>
      <w:r>
        <w:rPr>
          <w:rStyle w:val="NormalTok"/>
        </w:rPr>
        <w:t xml:space="preserve">()</w:t>
      </w:r>
      <w:r>
        <w:br/>
      </w:r>
      <w:r>
        <w:rPr>
          <w:rStyle w:val="NormalTok"/>
        </w:rPr>
        <w:t xml:space="preserve">pval_threshold </w:t>
      </w:r>
      <w:r>
        <w:rPr>
          <w:rStyle w:val="OtherTok"/>
        </w:rPr>
        <w:t xml:space="preserve">&lt;-</w:t>
      </w:r>
      <w:r>
        <w:rPr>
          <w:rStyle w:val="NormalTok"/>
        </w:rPr>
        <w:t xml:space="preserve"> </w:t>
      </w:r>
      <w:r>
        <w:rPr>
          <w:rStyle w:val="FloatTok"/>
        </w:rPr>
        <w:t xml:space="preserve">0.05</w:t>
      </w:r>
      <w:r>
        <w:rPr>
          <w:rStyle w:val="SpecialCharTok"/>
        </w:rPr>
        <w:t xml:space="preserve">/</w:t>
      </w:r>
      <w:r>
        <w:rPr>
          <w:rStyle w:val="NormalTok"/>
        </w:rPr>
        <w:t xml:space="preserve">(num_variants</w:t>
      </w:r>
      <w:r>
        <w:rPr>
          <w:rStyle w:val="SpecialCharTok"/>
        </w:rPr>
        <w:t xml:space="preserve">*</w:t>
      </w:r>
      <w:r>
        <w:rPr>
          <w:rStyle w:val="FunctionTok"/>
        </w:rPr>
        <w:t xml:space="preserve">length</w:t>
      </w:r>
      <w:r>
        <w:rPr>
          <w:rStyle w:val="NormalTok"/>
        </w:rPr>
        <w:t xml:space="preserve">(cartagene_response_variables</w:t>
      </w:r>
      <w:r>
        <w:rPr>
          <w:rStyle w:val="SpecialCharTok"/>
        </w:rPr>
        <w:t xml:space="preserve">$</w:t>
      </w:r>
      <w:r>
        <w:rPr>
          <w:rStyle w:val="NormalTok"/>
        </w:rPr>
        <w:t xml:space="preserve">Features))</w:t>
      </w:r>
      <w:r>
        <w:br/>
      </w:r>
      <w:r>
        <w:rPr>
          <w:rStyle w:val="DocumentationTok"/>
        </w:rPr>
        <w:t xml:space="preserve">## pval_threshold &lt;- 0.01/num_variants</w:t>
      </w:r>
      <w:r>
        <w:br/>
      </w:r>
      <w:r>
        <w:br/>
      </w:r>
      <w:r>
        <w:rPr>
          <w:rStyle w:val="NormalTok"/>
        </w:rPr>
        <w:t xml:space="preserve">gwas_plots_hdac </w:t>
      </w:r>
      <w:r>
        <w:rPr>
          <w:rStyle w:val="OtherTok"/>
        </w:rPr>
        <w:t xml:space="preserve">&lt;-</w:t>
      </w:r>
      <w:r>
        <w:rPr>
          <w:rStyle w:val="NormalTok"/>
        </w:rPr>
        <w:t xml:space="preserve"> </w:t>
      </w:r>
      <w:r>
        <w:rPr>
          <w:rStyle w:val="FunctionTok"/>
        </w:rPr>
        <w:t xml:space="preserve">lapply</w:t>
      </w:r>
      <w:r>
        <w:rPr>
          <w:rStyle w:val="NormalTok"/>
        </w:rPr>
        <w:t xml:space="preserve">(cartagene_response_variables</w:t>
      </w:r>
      <w:r>
        <w:rPr>
          <w:rStyle w:val="SpecialCharTok"/>
        </w:rPr>
        <w:t xml:space="preserve">$</w:t>
      </w:r>
      <w:r>
        <w:rPr>
          <w:rStyle w:val="NormalTok"/>
        </w:rPr>
        <w:t xml:space="preserve">Features, </w:t>
      </w:r>
      <w:r>
        <w:br/>
      </w:r>
      <w:r>
        <w:rPr>
          <w:rStyle w:val="NormalTok"/>
        </w:rPr>
        <w:t xml:space="preserve">                          </w:t>
      </w:r>
      <w:r>
        <w:rPr>
          <w:rStyle w:val="ControlFlowTok"/>
        </w:rPr>
        <w:t xml:space="preserve">function</w:t>
      </w:r>
      <w:r>
        <w:rPr>
          <w:rStyle w:val="NormalTok"/>
        </w:rPr>
        <w:t xml:space="preserve">(feature_label) </w:t>
      </w:r>
      <w:r>
        <w:rPr>
          <w:rStyle w:val="FunctionTok"/>
        </w:rPr>
        <w:t xml:space="preserve">generate_gwas_per_phenotype</w:t>
      </w:r>
      <w:r>
        <w:rPr>
          <w:rStyle w:val="NormalTok"/>
        </w:rPr>
        <w:t xml:space="preserve"> (</w:t>
      </w:r>
      <w:r>
        <w:rPr>
          <w:rStyle w:val="AttributeTok"/>
        </w:rPr>
        <w:t xml:space="preserve">genename =</w:t>
      </w:r>
      <w:r>
        <w:rPr>
          <w:rStyle w:val="NormalTok"/>
        </w:rPr>
        <w:t xml:space="preserve"> </w:t>
      </w:r>
      <w:r>
        <w:rPr>
          <w:rStyle w:val="StringTok"/>
        </w:rPr>
        <w:t xml:space="preserve">"HDAC-9"</w:t>
      </w:r>
      <w:r>
        <w:rPr>
          <w:rStyle w:val="NormalTok"/>
        </w:rPr>
        <w:t xml:space="preserve">,</w:t>
      </w:r>
      <w:r>
        <w:br/>
      </w:r>
      <w:r>
        <w:rPr>
          <w:rStyle w:val="NormalTok"/>
        </w:rPr>
        <w:t xml:space="preserve">                                                                               </w:t>
      </w:r>
      <w:r>
        <w:rPr>
          <w:rStyle w:val="AttributeTok"/>
        </w:rPr>
        <w:t xml:space="preserve">pheno_label =</w:t>
      </w:r>
      <w:r>
        <w:rPr>
          <w:rStyle w:val="NormalTok"/>
        </w:rPr>
        <w:t xml:space="preserve"> feature_label, </w:t>
      </w:r>
      <w:r>
        <w:rPr>
          <w:rStyle w:val="AttributeTok"/>
        </w:rPr>
        <w:t xml:space="preserve">filedate =</w:t>
      </w:r>
      <w:r>
        <w:rPr>
          <w:rStyle w:val="NormalTok"/>
        </w:rPr>
        <w:t xml:space="preserve"> </w:t>
      </w:r>
      <w:r>
        <w:rPr>
          <w:rStyle w:val="StringTok"/>
        </w:rPr>
        <w:t xml:space="preserve">"2025-04-07"</w:t>
      </w:r>
      <w:r>
        <w:rPr>
          <w:rStyle w:val="NormalTok"/>
        </w:rPr>
        <w:t xml:space="preserve">, </w:t>
      </w:r>
      <w:r>
        <w:rPr>
          <w:rStyle w:val="AttributeTok"/>
        </w:rPr>
        <w:t xml:space="preserve">pval_threshold =</w:t>
      </w:r>
      <w:r>
        <w:rPr>
          <w:rStyle w:val="NormalTok"/>
        </w:rPr>
        <w:t xml:space="preserve"> pval_threshold)) </w:t>
      </w:r>
      <w:r>
        <w:br/>
      </w:r>
      <w:r>
        <w:br/>
      </w:r>
      <w:r>
        <w:rPr>
          <w:rStyle w:val="NormalTok"/>
        </w:rPr>
        <w:t xml:space="preserve">gwas_plots_hdac </w:t>
      </w:r>
      <w:r>
        <w:rPr>
          <w:rStyle w:val="OtherTok"/>
        </w:rPr>
        <w:t xml:space="preserve">&lt;-</w:t>
      </w:r>
      <w:r>
        <w:rPr>
          <w:rStyle w:val="NormalTok"/>
        </w:rPr>
        <w:t xml:space="preserve"> gridExtra</w:t>
      </w:r>
      <w:r>
        <w:rPr>
          <w:rStyle w:val="SpecialCharTok"/>
        </w:rPr>
        <w:t xml:space="preserve">::</w:t>
      </w:r>
      <w:r>
        <w:rPr>
          <w:rStyle w:val="FunctionTok"/>
        </w:rPr>
        <w:t xml:space="preserve">marrangeGrob</w:t>
      </w:r>
      <w:r>
        <w:rPr>
          <w:rStyle w:val="NormalTok"/>
        </w:rPr>
        <w:t xml:space="preserve">(gwas_plots_hdac, </w:t>
      </w:r>
      <w:r>
        <w:rPr>
          <w:rStyle w:val="AttributeTok"/>
        </w:rPr>
        <w:t xml:space="preserve">nrow=</w:t>
      </w:r>
      <w:r>
        <w:rPr>
          <w:rStyle w:val="DecValTok"/>
        </w:rPr>
        <w:t xml:space="preserve">1</w:t>
      </w:r>
      <w:r>
        <w:rPr>
          <w:rStyle w:val="NormalTok"/>
        </w:rPr>
        <w:t xml:space="preserve">, </w:t>
      </w:r>
      <w:r>
        <w:rPr>
          <w:rStyle w:val="AttributeTok"/>
        </w:rPr>
        <w:t xml:space="preserve">ncol=</w:t>
      </w:r>
      <w:r>
        <w:rPr>
          <w:rStyle w:val="DecValTok"/>
        </w:rPr>
        <w:t xml:space="preserve">1</w:t>
      </w:r>
      <w:r>
        <w:rPr>
          <w:rStyle w:val="NormalTok"/>
        </w:rPr>
        <w:t xml:space="preserve">)</w:t>
      </w:r>
      <w:r>
        <w:br/>
      </w:r>
      <w:r>
        <w:br/>
      </w:r>
      <w:r>
        <w:rPr>
          <w:rStyle w:val="FunctionTok"/>
        </w:rPr>
        <w:t xml:space="preserve">ggsave</w:t>
      </w:r>
      <w:r>
        <w:rPr>
          <w:rStyle w:val="NormalTok"/>
        </w:rPr>
        <w:t xml:space="preserve">(</w:t>
      </w:r>
      <w:r>
        <w:rPr>
          <w:rStyle w:val="StringTok"/>
        </w:rPr>
        <w:t xml:space="preserve">"figures/gwas_HDAC9.pdf"</w:t>
      </w:r>
      <w:r>
        <w:rPr>
          <w:rStyle w:val="NormalTok"/>
        </w:rPr>
        <w:t xml:space="preserve">,</w:t>
      </w:r>
      <w:r>
        <w:br/>
      </w:r>
      <w:r>
        <w:rPr>
          <w:rStyle w:val="NormalTok"/>
        </w:rPr>
        <w:t xml:space="preserve">       gwas_plots_hdac, </w:t>
      </w:r>
      <w:r>
        <w:rPr>
          <w:rStyle w:val="AttributeTok"/>
        </w:rPr>
        <w:t xml:space="preserve">dpi =</w:t>
      </w:r>
      <w:r>
        <w:rPr>
          <w:rStyle w:val="NormalTok"/>
        </w:rPr>
        <w:t xml:space="preserve"> </w:t>
      </w:r>
      <w:r>
        <w:rPr>
          <w:rStyle w:val="DecValTok"/>
        </w:rPr>
        <w:t xml:space="preserve">600</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8</w:t>
      </w:r>
      <w:r>
        <w:rPr>
          <w:rStyle w:val="NormalTok"/>
        </w:rPr>
        <w:t xml:space="preserve">, </w:t>
      </w:r>
      <w:r>
        <w:rPr>
          <w:rStyle w:val="AttributeTok"/>
        </w:rPr>
        <w:t xml:space="preserve">height =</w:t>
      </w:r>
      <w:r>
        <w:rPr>
          <w:rStyle w:val="NormalTok"/>
        </w:rPr>
        <w:t xml:space="preserve"> </w:t>
      </w:r>
      <w:r>
        <w:rPr>
          <w:rStyle w:val="DecValTok"/>
        </w:rPr>
        <w:t xml:space="preserve">12</w:t>
      </w:r>
      <w:r>
        <w:rPr>
          <w:rStyle w:val="NormalTok"/>
        </w:rPr>
        <w:t xml:space="preserve">) </w:t>
      </w:r>
    </w:p>
    <w:tbl>
      <w:tblPr>
        <w:tblStyle w:val="Table"/>
        <w:tblW w:type="pct" w:w="5000"/>
        <w:tblLayout w:type="fixed"/>
        <w:tblLook w:firstRow="0" w:lastRow="0" w:firstColumn="0" w:lastColumn="0" w:noHBand="0" w:noVBand="0" w:val="0000"/>
      </w:tblPr>
      <w:tblGrid>
        <w:gridCol w:w="7920"/>
      </w:tblGrid>
      <w:tr>
        <w:tc>
          <w:tcPr/>
          <w:bookmarkStart w:id="132" w:name="fig-GWAS-HDAC9"/>
          <w:p>
            <w:pPr>
              <w:jc w:val="center"/>
            </w:pPr>
            <w:pPr>
              <w:jc w:val="start"/>
              <w:spacing w:before="200"/>
              <w:pStyle w:val="ImageCaption"/>
            </w:pPr>
            <w:r>
              <w:t xml:space="preserve">Figure 1.3</w:t>
            </w:r>
          </w:p>
          <w:bookmarkEnd w:id="132"/>
        </w:tc>
      </w:tr>
    </w:tbl>
    <w:bookmarkEnd w:id="133"/>
    <w:bookmarkStart w:id="142" w:name="iii-multiple-test-correction"/>
    <w:p>
      <w:pPr>
        <w:pStyle w:val="Heading4"/>
      </w:pPr>
      <w:r>
        <w:t xml:space="preserve">1.3.5.3 iii) Multiple test correction</w:t>
      </w:r>
    </w:p>
    <w:p>
      <w:pPr>
        <w:pStyle w:val="FirstParagraph"/>
      </w:pPr>
      <w:r>
        <w:t xml:space="preserve">To compute the adjusted</w:t>
      </w:r>
      <w:r>
        <w:t xml:space="preserve"> </w:t>
      </w:r>
      <w:r>
        <w:rPr>
          <w:i/>
          <w:iCs/>
        </w:rPr>
        <w:t xml:space="preserve">significance threshold</w:t>
      </w:r>
      <w:r>
        <w:t xml:space="preserve">, we applied a</w:t>
      </w:r>
      <w:r>
        <w:t xml:space="preserve"> </w:t>
      </w:r>
      <w:r>
        <w:rPr>
          <w:rStyle w:val="VerbatimChar"/>
        </w:rPr>
        <w:t xml:space="preserve">FWER</w:t>
      </w:r>
      <w:r>
        <w:t xml:space="preserve">-like approach, conventional in the GWAS field:</w:t>
      </w:r>
      <w:r>
        <w:t xml:space="preserve"> </w:t>
      </w:r>
      <w:r>
        <w:rPr>
          <w:rStyle w:val="VerbatimChar"/>
        </w:rPr>
        <w:t xml:space="preserve">{r} 0.05/(num_variants*length(cartagene_response_variables$Features))</w:t>
      </w:r>
      <w:r>
        <w:t xml:space="preserve">, in which you divide the pre-defined threshold (standard:</w:t>
      </w:r>
      <w:r>
        <w:t xml:space="preserve"> </w:t>
      </w:r>
      <w:r>
        <w:rPr>
          <w:rStyle w:val="VerbatimChar"/>
        </w:rPr>
        <w:t xml:space="preserve">0.05</w:t>
      </w:r>
      <w:r>
        <w:t xml:space="preserve">) by the total number of pairwise tests carried out (number of variants times number of regression variables times). Final threshold is accordingly: 2.1188236</w:t>
      </w:r>
      <w:r>
        <w:t xml:space="preserve">^{-6}, as 2622 variants were extracted, and 9 phenotype variables were predicted.</w:t>
      </w:r>
    </w:p>
    <w:p>
      <w:pPr>
        <w:pStyle w:val="BodyText"/>
      </w:pPr>
      <w:r>
        <w:rPr>
          <w:color w:val="red"/>
        </w:rPr>
        <w:t>
          <w:r>
            <w:t xml:space="preserve">The</w:t>
          </w:r>
          <w:r>
            <w:t xml:space="preserve"> </w:t>
          </w:r>
          <w:r>
            <w:rPr>
              <w:rStyle w:val="VerbatimChar"/>
            </w:rPr>
            <w:t xml:space="preserve">FWER</w:t>
          </w:r>
          <w:r>
            <w:t xml:space="preserve"> </w:t>
          </w:r>
          <w:r>
            <w:t xml:space="preserve">approach is particularly</w:t>
          </w:r>
          <w:r>
            <w:t xml:space="preserve"> </w:t>
          </w:r>
          <w:r>
            <w:rPr>
              <w:b/>
              <w:bCs/>
            </w:rPr>
            <w:t xml:space="preserve">conservative</w:t>
          </w:r>
          <w:r>
            <w:t xml:space="preserve">, in other words, only the most significant differences are detected.</w:t>
          </w:r>
        </w:t>
      </w:r>
    </w:p>
    <w:p>
      <w:pPr>
        <w:numPr>
          <w:ilvl w:val="0"/>
          <w:numId w:val="1042"/>
        </w:numPr>
      </w:pPr>
      <w:r>
        <w:rPr>
          <w:b/>
          <w:bCs/>
        </w:rPr>
        <w:t xml:space="preserve">Perspectives</w:t>
      </w:r>
      <w:r>
        <w:t xml:space="preserve">:</w:t>
      </w:r>
    </w:p>
    <w:p>
      <w:pPr>
        <w:pStyle w:val="Compact"/>
        <w:numPr>
          <w:ilvl w:val="1"/>
          <w:numId w:val="1043"/>
        </w:numPr>
      </w:pPr>
      <w:hyperlink r:id="rId134">
        <w:r>
          <w:rPr>
            <w:rStyle w:val="Hyperlink"/>
          </w:rPr>
          <w:t xml:space="preserve">Recent Adjusted</w:t>
        </w:r>
        <w:r>
          <w:rPr>
            <w:rStyle w:val="Hyperlink"/>
          </w:rPr>
          <w:t xml:space="preserve"> </w:t>
        </w:r>
        <m:oMath>
          <m:r>
            <m:t>p</m:t>
          </m:r>
        </m:oMath>
        <w:r>
          <w:rPr>
            <w:rStyle w:val="Hyperlink"/>
          </w:rPr>
          <w:t xml:space="preserve">-value correction method</w:t>
        </w:r>
      </w:hyperlink>
      <w:r>
        <w:t xml:space="preserve">.</w:t>
      </w:r>
    </w:p>
    <w:p>
      <w:pPr>
        <w:pStyle w:val="Compact"/>
        <w:numPr>
          <w:ilvl w:val="1"/>
          <w:numId w:val="1043"/>
        </w:numPr>
      </w:pPr>
      <w:hyperlink r:id="rId135">
        <w:r>
          <w:rPr>
            <w:rStyle w:val="Hyperlink"/>
          </w:rPr>
          <w:t xml:space="preserve">Multiple Comparisons Using R</w:t>
        </w:r>
      </w:hyperlink>
      <w:r>
        <w:t xml:space="preserve">, comprehensive resource of distinct R package strategies for correcting for multiplicity of</w:t>
      </w:r>
      <w:r>
        <w:t xml:space="preserve"> </w:t>
      </w:r>
      <m:oMath>
        <m:r>
          <m:t>p</m:t>
        </m:r>
      </m:oMath>
      <w:r>
        <w:t xml:space="preserve">-values, from</w:t>
      </w:r>
      <w:r>
        <w:t xml:space="preserve"> </w:t>
      </w:r>
      <w:r>
        <w:t xml:space="preserve">Bretz, Hothorn, and Westfall (</w:t>
      </w:r>
      <w:hyperlink w:anchor="ref-bretz2016">
        <w:r>
          <w:rPr>
            <w:rStyle w:val="Hyperlink"/>
          </w:rPr>
          <w:t xml:space="preserve">2016</w:t>
        </w:r>
      </w:hyperlink>
      <w:r>
        <w:t xml:space="preserve">)</w:t>
      </w:r>
      <w:r>
        <w:t xml:space="preserve">. Report also to</w:t>
      </w:r>
      <w:r>
        <w:t xml:space="preserve"> </w:t>
      </w:r>
      <w:hyperlink w:anchor="nte-MTC">
        <w:r>
          <w:rPr>
            <w:rStyle w:val="Hyperlink"/>
          </w:rPr>
          <w:t xml:space="preserve">Note 1.1</w:t>
        </w:r>
      </w:hyperlink>
      <w:r>
        <w:t xml:space="preserve"> </w:t>
      </w:r>
      <w:r>
        <w:t xml:space="preserve">for an overview of existing approaches.</w:t>
      </w:r>
    </w:p>
    <w:p>
      <w:pPr>
        <w:pStyle w:val="Compact"/>
        <w:numPr>
          <w:ilvl w:val="1"/>
          <w:numId w:val="1043"/>
        </w:numPr>
      </w:pPr>
      <w:hyperlink r:id="rId136">
        <w:r>
          <w:rPr>
            <w:rStyle w:val="Hyperlink"/>
          </w:rPr>
          <w:t xml:space="preserve">Multiple Testing: Methods Overview</w:t>
        </w:r>
      </w:hyperlink>
      <w:r>
        <w:t xml:space="preserve"> </w:t>
      </w:r>
      <w:r>
        <w:t xml:space="preserve">reviews the most popular approaches for controlling the false-error rate, while providing practical R code snippets to implement them. The blog concludes on the prevalance of the</w:t>
      </w:r>
      <w:r>
        <w:t xml:space="preserve"> </w:t>
      </w:r>
      <w:r>
        <w:rPr>
          <w:i/>
          <w:iCs/>
        </w:rPr>
        <w:t xml:space="preserve">Benjamini-Yekuiteli approach</w:t>
      </w:r>
      <w:r>
        <w:t xml:space="preserve">, offering the best compromise between statistical power and interpretability.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38" name="Picture"/>
                  <a:graphic>
                    <a:graphicData uri="http://schemas.openxmlformats.org/drawingml/2006/picture">
                      <pic:pic>
                        <pic:nvPicPr>
                          <pic:cNvPr descr="/opt/quarto/share/formats/docx/note.png" id="139" name="Picture"/>
                          <pic:cNvPicPr>
                            <a:picLocks noChangeArrowheads="1" noChangeAspect="1"/>
                          </pic:cNvPicPr>
                        </pic:nvPicPr>
                        <pic:blipFill>
                          <a:blip r:embed="rId1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1.1: Classes of Multiple Test correction approaches</w:t>
            </w:r>
          </w:p>
        </w:tc>
      </w:tr>
      <w:tr>
        <w:trPr>
          <w:cantSplit/>
        </w:trPr>
        <w:tc>
          <w:tcPr>
            <w:tcMar>
              <w:top w:w="108" w:type="dxa"/>
              <w:bottom w:w="108" w:type="dxa"/>
            </w:tcMar>
          </w:tcPr>
          <w:p>
            <w:pPr>
              <w:pStyle w:val="BodyText"/>
            </w:pPr>
            <w:pPr>
              <w:spacing w:before="16"/>
            </w:pPr>
            <w:r>
              <w:rPr>
                <w:b/>
                <w:bCs/>
              </w:rPr>
              <w:t xml:space="preserve">Multiple comparison procedures</w:t>
            </w:r>
            <w:r>
              <w:t xml:space="preserve"> </w:t>
            </w:r>
            <w:r>
              <w:t xml:space="preserve">(MCPs) can be classified into the following adjustment methods:</w:t>
            </w:r>
          </w:p>
          <w:p>
            <w:pPr>
              <w:numPr>
                <w:ilvl w:val="0"/>
                <w:numId w:val="1044"/>
              </w:numPr>
            </w:pPr>
            <w:r>
              <w:rPr>
                <w:i/>
                <w:iCs/>
              </w:rPr>
              <w:t xml:space="preserve">Fixed sequential</w:t>
            </w:r>
            <w:r>
              <w:t xml:space="preserve">: no adjustment as long as H0s are rejected. One non-rejection and it stops testing with all others non-rejected.</w:t>
            </w:r>
          </w:p>
          <w:p>
            <w:pPr>
              <w:numPr>
                <w:ilvl w:val="0"/>
                <w:numId w:val="1044"/>
              </w:numPr>
            </w:pPr>
            <w:r>
              <w:rPr>
                <w:i/>
                <w:iCs/>
              </w:rPr>
              <w:t xml:space="preserve">Callback</w:t>
            </w:r>
            <w:r>
              <w:t xml:space="preserve">: significance level (e.g. 0.05) is split between all hypotheses (can be further weighted). With rejection of the subsequent H0s, their fractions of significance level is accumulated and passed to the next comparison.</w:t>
            </w:r>
          </w:p>
          <w:p>
            <w:pPr>
              <w:numPr>
                <w:ilvl w:val="0"/>
                <w:numId w:val="1044"/>
              </w:numPr>
            </w:pPr>
            <w:r>
              <w:rPr>
                <w:i/>
                <w:iCs/>
              </w:rPr>
              <w:t xml:space="preserve">Gatekeeper</w:t>
            </w:r>
            <w:r>
              <w:t xml:space="preserve">: serial, parallel &amp; combined trees, collecting hypotheses into families. Groups of testing can be interpreted as</w:t>
            </w:r>
            <w:r>
              <w:t xml:space="preserve"> </w:t>
            </w:r>
            <w:r>
              <w:rPr>
                <w:i/>
                <w:iCs/>
              </w:rPr>
              <w:t xml:space="preserve">gatekeepers</w:t>
            </w:r>
            <w:r>
              <w:t xml:space="preserve">: only if any</w:t>
            </w:r>
            <w:r>
              <w:t xml:space="preserve"> </w:t>
            </w:r>
            <m:oMath>
              <m:sSub>
                <m:e>
                  <m:r>
                    <m:t>H</m:t>
                  </m:r>
                </m:e>
                <m:sub>
                  <m:r>
                    <m:t>0</m:t>
                  </m:r>
                </m:sub>
              </m:sSub>
            </m:oMath>
            <w:r>
              <w:t xml:space="preserve"> </w:t>
            </w:r>
            <w:r>
              <w:t xml:space="preserve">in a family is rejected that the significance is propagated to the next family. The approach is the most versatile, and can be flexibly implemented in R package</w:t>
            </w:r>
            <w:r>
              <w:t xml:space="preserve"> </w:t>
            </w:r>
            <w:hyperlink r:id="rId140">
              <w:r>
                <w:rPr>
                  <w:rStyle w:val="VerbatimChar"/>
                </w:rPr>
                <w:t xml:space="preserve">gMCPLite</w:t>
              </w:r>
            </w:hyperlink>
            <w:r>
              <w:t xml:space="preserve">. See also</w:t>
            </w:r>
            <w:r>
              <w:t xml:space="preserve"> </w:t>
            </w:r>
            <w:hyperlink r:id="rId141">
              <w:r>
                <w:rPr>
                  <w:rStyle w:val="Hyperlink"/>
                </w:rPr>
                <w:t xml:space="preserve">Graphical Approaches to Multiple Test Problems</w:t>
              </w:r>
            </w:hyperlink>
            <w:r>
              <w:t xml:space="preserve">, for additional details.</w:t>
            </w:r>
          </w:p>
        </w:tc>
      </w:tr>
    </w:tbl>
    <w:bookmarkEnd w:id="142"/>
    <w:bookmarkEnd w:id="143"/>
    <w:bookmarkEnd w:id="144"/>
    <w:bookmarkStart w:id="176" w:name="perspectives"/>
    <w:p>
      <w:pPr>
        <w:pStyle w:val="Heading2"/>
      </w:pPr>
      <w:r>
        <w:t xml:space="preserve">1.4 Perspectives</w:t>
      </w:r>
    </w:p>
    <w:bookmarkStart w:id="146" w:name="post-hoc-gwas"/>
    <w:p>
      <w:pPr>
        <w:pStyle w:val="Heading3"/>
      </w:pPr>
      <w:r>
        <w:t xml:space="preserve">1.4.1 Post-hoc GWAS</w:t>
      </w:r>
    </w:p>
    <w:p>
      <w:pPr>
        <w:pStyle w:val="Compact"/>
        <w:numPr>
          <w:ilvl w:val="0"/>
          <w:numId w:val="1045"/>
        </w:numPr>
      </w:pPr>
      <w:hyperlink r:id="rId145">
        <w:r>
          <w:rPr>
            <w:rStyle w:val="Hyperlink"/>
          </w:rPr>
          <w:t xml:space="preserve">Collect information on variants with LLM-like</w:t>
        </w:r>
        <w:r>
          <w:rPr>
            <w:rStyle w:val="Hyperlink"/>
          </w:rPr>
          <w:t xml:space="preserve"> </w:t>
        </w:r>
        <w:r>
          <w:rPr>
            <w:rStyle w:val="VerbatimChar"/>
          </w:rPr>
          <w:t xml:space="preserve">VarChat</w:t>
        </w:r>
        <w:r>
          <w:rPr>
            <w:rStyle w:val="Hyperlink"/>
          </w:rPr>
          <w:t xml:space="preserve"> </w:t>
        </w:r>
        <w:r>
          <w:rPr>
            <w:rStyle w:val="Hyperlink"/>
          </w:rPr>
          <w:t xml:space="preserve">app</w:t>
        </w:r>
      </w:hyperlink>
    </w:p>
    <w:bookmarkEnd w:id="146"/>
    <w:bookmarkStart w:id="151" w:name="X5d1252e9c9d07666301903ef62ed93b26cc2541"/>
    <w:p>
      <w:pPr>
        <w:pStyle w:val="Heading3"/>
      </w:pPr>
      <w:r>
        <w:t xml:space="preserve">1.4.2 Explore non-coding and regulatory regions (from WES to WGS)</w:t>
      </w:r>
    </w:p>
    <w:p>
      <w:pPr>
        <w:numPr>
          <w:ilvl w:val="0"/>
          <w:numId w:val="1046"/>
        </w:numPr>
      </w:pPr>
      <w:r>
        <w:t xml:space="preserve">Paper</w:t>
      </w:r>
      <w:r>
        <w:t xml:space="preserve"> </w:t>
      </w:r>
      <w:hyperlink r:id="rId147">
        <w:r>
          <w:rPr>
            <w:rStyle w:val="Hyperlink"/>
          </w:rPr>
          <w:t xml:space="preserve">Systematic differences in discovery of genetic effects on gene expression and complex traits</w:t>
        </w:r>
      </w:hyperlink>
      <w:r>
        <w:t xml:space="preserve">, from</w:t>
      </w:r>
      <w:r>
        <w:t xml:space="preserve"> </w:t>
      </w:r>
      <w:r>
        <w:t xml:space="preserve">Mostafavi et al. (</w:t>
      </w:r>
      <w:hyperlink w:anchor="ref-mostafavi2023ng">
        <w:r>
          <w:rPr>
            <w:rStyle w:val="Hyperlink"/>
          </w:rPr>
          <w:t xml:space="preserve">2023</w:t>
        </w:r>
      </w:hyperlink>
      <w:r>
        <w:t xml:space="preserve">)</w:t>
      </w:r>
      <w:r>
        <w:t xml:space="preserve">, suggest extending extraction of genomic regions of interest beyond coding sequences (report to</w:t>
      </w:r>
      <w:r>
        <w:t xml:space="preserve"> </w:t>
      </w:r>
      <w:hyperlink w:anchor="sec-variant-extraction">
        <w:r>
          <w:rPr>
            <w:rStyle w:val="Hyperlink"/>
          </w:rPr>
          <w:t xml:space="preserve">Section 1.3.4</w:t>
        </w:r>
      </w:hyperlink>
      <w:r>
        <w:t xml:space="preserve"> </w:t>
      </w:r>
      <w:r>
        <w:t xml:space="preserve">for current approach). Indeed, the article demonstrates that most of identified signals originate from nearby gene regulatory sites.</w:t>
      </w:r>
    </w:p>
    <w:p>
      <w:pPr>
        <w:numPr>
          <w:ilvl w:val="0"/>
          <w:numId w:val="1046"/>
        </w:numPr>
      </w:pPr>
      <w:hyperlink r:id="rId148">
        <w:r>
          <w:rPr>
            <w:rStyle w:val="VerbatimChar"/>
          </w:rPr>
          <w:t xml:space="preserve">EPInformer</w:t>
        </w:r>
        <w:r>
          <w:rPr>
            <w:rStyle w:val="Hyperlink"/>
          </w:rPr>
          <w:t xml:space="preserve">: a scalable deep learning framework for gene expression prediction by integrating promoter-enhancer sequences with multimodal epigenomic data</w:t>
        </w:r>
      </w:hyperlink>
      <w:r>
        <w:t xml:space="preserve">, from</w:t>
      </w:r>
      <w:r>
        <w:t xml:space="preserve"> </w:t>
      </w:r>
      <w:r>
        <w:t xml:space="preserve">Lin, Luo, and Pinello (</w:t>
      </w:r>
      <w:hyperlink w:anchor="ref-lin2024">
        <w:r>
          <w:rPr>
            <w:rStyle w:val="Hyperlink"/>
          </w:rPr>
          <w:t xml:space="preserve">2024</w:t>
        </w:r>
      </w:hyperlink>
      <w:r>
        <w:t xml:space="preserve">)</w:t>
      </w:r>
      <w:r>
        <w:t xml:space="preserve">. Avalaible as a</w:t>
      </w:r>
      <w:r>
        <w:t xml:space="preserve"> </w:t>
      </w:r>
      <w:hyperlink r:id="rId149">
        <w:r>
          <w:rPr>
            <w:rStyle w:val="Hyperlink"/>
          </w:rPr>
          <w:t xml:space="preserve">GH package</w:t>
        </w:r>
      </w:hyperlink>
      <w:r>
        <w:t xml:space="preserve">. Can infer and predict gene expression from promoter and enhancer sequences paired with epigenomic signals; identify the most significant enhancers; and identify</w:t>
      </w:r>
      <w:r>
        <w:t xml:space="preserve"> </w:t>
      </w:r>
      <w:r>
        <w:rPr>
          <w:i/>
          <w:iCs/>
        </w:rPr>
        <w:t xml:space="preserve">regulatory sequences</w:t>
      </w:r>
      <w:r>
        <w:t xml:space="preserve"> </w:t>
      </w:r>
      <w:r>
        <w:t xml:space="preserve">and</w:t>
      </w:r>
      <w:r>
        <w:t xml:space="preserve"> </w:t>
      </w:r>
      <w:r>
        <w:rPr>
          <w:i/>
          <w:iCs/>
        </w:rPr>
        <w:t xml:space="preserve">transcription factor binding motifs</w:t>
      </w:r>
      <w:r>
        <w:t xml:space="preserve">.</w:t>
      </w:r>
    </w:p>
    <w:p>
      <w:pPr>
        <w:numPr>
          <w:ilvl w:val="0"/>
          <w:numId w:val="1046"/>
        </w:numPr>
      </w:pPr>
      <w:r>
        <w:t xml:space="preserve">Automatically extract and annotate variants, based on their locations, using</w:t>
      </w:r>
      <w:r>
        <w:t xml:space="preserve"> </w:t>
      </w:r>
      <w:hyperlink r:id="rId150">
        <w:r>
          <w:rPr>
            <w:rStyle w:val="VerbatimChar"/>
          </w:rPr>
          <w:t xml:space="preserve">VariantAnnotation::locateVariants()</w:t>
        </w:r>
      </w:hyperlink>
      <w:r>
        <w:t xml:space="preserve"> </w:t>
      </w:r>
      <w:r>
        <w:t xml:space="preserve">function. Variants annotations notably encompass coding, UTRs, introns and promoters.</w:t>
      </w:r>
    </w:p>
    <w:bookmarkEnd w:id="151"/>
    <w:bookmarkStart w:id="156" w:name="Xa57af85eb3d1d421d0c466d759c96d1536197ad"/>
    <w:p>
      <w:pPr>
        <w:pStyle w:val="Heading3"/>
      </w:pPr>
      <w:r>
        <w:t xml:space="preserve">1.4.3 Post-GWAS: Explore other types of genetic variations</w:t>
      </w:r>
    </w:p>
    <w:p>
      <w:pPr>
        <w:pStyle w:val="FirstParagraph"/>
      </w:pPr>
      <w:r>
        <w:rPr>
          <w:b/>
          <w:bCs/>
        </w:rPr>
        <w:t xml:space="preserve">The most typical mutations included in GWAS studies are</w:t>
      </w:r>
      <w:r>
        <w:rPr>
          <w:b/>
          <w:bCs/>
        </w:rPr>
        <w:t xml:space="preserve"> </w:t>
      </w:r>
      <w:r>
        <w:rPr>
          <w:b/>
          <w:bCs/>
          <w:i/>
          <w:iCs/>
        </w:rPr>
        <w:t xml:space="preserve">Single Nucleotide Polymorphisms (SNPs)</w:t>
      </w:r>
      <w:r>
        <w:rPr>
          <w:b/>
          <w:bCs/>
        </w:rPr>
        <w:t xml:space="preserve">, and occasionally small indels.</w:t>
      </w:r>
      <w:r>
        <w:t xml:space="preserve"> </w:t>
      </w:r>
      <w:r>
        <w:t xml:space="preserve">Beyond them, we could have considered</w:t>
      </w:r>
      <w:r>
        <w:t xml:space="preserve"> </w:t>
      </w:r>
      <w:r>
        <w:rPr>
          <w:i/>
          <w:iCs/>
        </w:rPr>
        <w:t xml:space="preserve">Structural Variants (SVs): large insertions, deletions, duplications, inversions, translocations</w:t>
      </w:r>
      <w:r>
        <w:t xml:space="preserve">,</w:t>
      </w:r>
      <w:r>
        <w:t xml:space="preserve"> </w:t>
      </w:r>
      <w:r>
        <w:rPr>
          <w:i/>
          <w:iCs/>
        </w:rPr>
        <w:t xml:space="preserve">Copy Number Variations (CNVs)</w:t>
      </w:r>
      <w:r>
        <w:t xml:space="preserve">: gains or losses of large DNA segments, Microsatellites and Epigenetic changes in regulatory regions.</w:t>
      </w:r>
    </w:p>
    <w:p>
      <w:pPr>
        <w:numPr>
          <w:ilvl w:val="0"/>
          <w:numId w:val="1047"/>
        </w:numPr>
      </w:pPr>
      <w:hyperlink r:id="rId152">
        <w:r>
          <w:rPr>
            <w:rStyle w:val="Hyperlink"/>
          </w:rPr>
          <w:t xml:space="preserve">Genome-wide association testing beyond SNPs</w:t>
        </w:r>
      </w:hyperlink>
      <w:r>
        <w:t xml:space="preserve">, from</w:t>
      </w:r>
      <w:r>
        <w:t xml:space="preserve"> </w:t>
      </w:r>
      <w:r>
        <w:t xml:space="preserve">Harris et al. (</w:t>
      </w:r>
      <w:hyperlink w:anchor="ref-harris2025nrg">
        <w:r>
          <w:rPr>
            <w:rStyle w:val="Hyperlink"/>
          </w:rPr>
          <w:t xml:space="preserve">2025</w:t>
        </w:r>
      </w:hyperlink>
      <w:r>
        <w:t xml:space="preserve">)</w:t>
      </w:r>
    </w:p>
    <w:p>
      <w:pPr>
        <w:numPr>
          <w:ilvl w:val="0"/>
          <w:numId w:val="1047"/>
        </w:numPr>
      </w:pPr>
      <w:hyperlink r:id="rId153">
        <w:r>
          <w:rPr>
            <w:rStyle w:val="Hyperlink"/>
          </w:rPr>
          <w:t xml:space="preserve">Benchmarking post-GWAS analysis tools in major depression: Challenges and implications</w:t>
        </w:r>
      </w:hyperlink>
      <w:r>
        <w:t xml:space="preserve">, from</w:t>
      </w:r>
      <w:r>
        <w:t xml:space="preserve"> </w:t>
      </w:r>
      <w:r>
        <w:t xml:space="preserve">Pérez-Granado, Piñero, and Furlong (</w:t>
      </w:r>
      <w:hyperlink w:anchor="ref-perez-granado2022fg">
        <w:r>
          <w:rPr>
            <w:rStyle w:val="Hyperlink"/>
          </w:rPr>
          <w:t xml:space="preserve">2022</w:t>
        </w:r>
      </w:hyperlink>
      <w:r>
        <w:t xml:space="preserve">)</w:t>
      </w:r>
      <w:r>
        <w:t xml:space="preserve">.</w:t>
      </w:r>
    </w:p>
    <w:p>
      <w:pPr>
        <w:numPr>
          <w:ilvl w:val="0"/>
          <w:numId w:val="1047"/>
        </w:numPr>
      </w:pPr>
      <w:r>
        <w:t xml:space="preserve">The</w:t>
      </w:r>
      <w:r>
        <w:t xml:space="preserve"> </w:t>
      </w:r>
      <w:hyperlink r:id="rId154">
        <w:r>
          <w:rPr>
            <w:rStyle w:val="Hyperlink"/>
          </w:rPr>
          <w:t xml:space="preserve">VariantAnnotation::predictCoding</w:t>
        </w:r>
      </w:hyperlink>
      <w:r>
        <w:t xml:space="preserve"> </w:t>
      </w:r>
      <w:r>
        <w:t xml:space="preserve">computes amino acid coding changes for non-synonymous variants, while the</w:t>
      </w:r>
      <w:r>
        <w:t xml:space="preserve"> </w:t>
      </w:r>
      <w:hyperlink r:id="rId155">
        <w:r>
          <w:rPr>
            <w:rStyle w:val="VerbatimChar"/>
          </w:rPr>
          <w:t xml:space="preserve">SIFT</w:t>
        </w:r>
        <w:r>
          <w:rPr>
            <w:rStyle w:val="Hyperlink"/>
          </w:rPr>
          <w:t xml:space="preserve"> </w:t>
        </w:r>
        <w:r>
          <w:rPr>
            <w:rStyle w:val="Hyperlink"/>
          </w:rPr>
          <w:t xml:space="preserve">and</w:t>
        </w:r>
        <w:r>
          <w:rPr>
            <w:rStyle w:val="Hyperlink"/>
          </w:rPr>
          <w:t xml:space="preserve"> </w:t>
        </w:r>
        <w:r>
          <w:rPr>
            <w:rStyle w:val="VerbatimChar"/>
          </w:rPr>
          <w:t xml:space="preserve">PolyPhen</w:t>
        </w:r>
      </w:hyperlink>
      <w:r>
        <w:t xml:space="preserve"> </w:t>
      </w:r>
      <w:r>
        <w:t xml:space="preserve">web databases evaluate the impact of SNP substitution, based on the predicted level of changes of the 3D-protein reconfiguration.</w:t>
      </w:r>
    </w:p>
    <w:bookmarkEnd w:id="156"/>
    <w:bookmarkStart w:id="161" w:name="sec-post-GWAS"/>
    <w:p>
      <w:pPr>
        <w:pStyle w:val="Heading3"/>
      </w:pPr>
      <w:r>
        <w:t xml:space="preserve">1.4.4 Post-GWAS: Retrieve automatically variants of interest</w:t>
      </w:r>
    </w:p>
    <w:p>
      <w:pPr>
        <w:pStyle w:val="FirstParagraph"/>
      </w:pPr>
      <w:r>
        <w:t xml:space="preserve">This analysis is not formally a GWAS study, but rather a</w:t>
      </w:r>
      <w:r>
        <w:t xml:space="preserve"> </w:t>
      </w:r>
      <w:r>
        <w:rPr>
          <w:i/>
          <w:iCs/>
        </w:rPr>
        <w:t xml:space="preserve">gene-centric</w:t>
      </w:r>
      <w:r>
        <w:t xml:space="preserve"> </w:t>
      </w:r>
      <w:r>
        <w:t xml:space="preserve">study, pre-selecting genes based on prior knowledge and/or intuition.</w:t>
      </w:r>
    </w:p>
    <w:p>
      <w:pPr>
        <w:pStyle w:val="BodyText"/>
      </w:pPr>
      <w:r>
        <w:t xml:space="preserve">Alternatively, we could consider a data-driven, and more agnostic approach, to refine the selection of gene candidates. Several approaches to that end have been implemented:</w:t>
      </w:r>
    </w:p>
    <w:p>
      <w:pPr>
        <w:numPr>
          <w:ilvl w:val="0"/>
          <w:numId w:val="1048"/>
        </w:numPr>
      </w:pPr>
      <w:r>
        <w:t xml:space="preserve">Gnanaolivu et al. (</w:t>
      </w:r>
      <w:hyperlink w:anchor="ref-gnanaolivu2025bb">
        <w:r>
          <w:rPr>
            <w:rStyle w:val="Hyperlink"/>
          </w:rPr>
          <w:t xml:space="preserve">2025</w:t>
        </w:r>
      </w:hyperlink>
      <w:r>
        <w:t xml:space="preserve">)</w:t>
      </w:r>
      <w:r>
        <w:t xml:space="preserve"> </w:t>
      </w:r>
      <w:r>
        <w:t xml:space="preserve">proposed in</w:t>
      </w:r>
      <w:r>
        <w:t xml:space="preserve"> </w:t>
      </w:r>
      <w:hyperlink r:id="rId157">
        <w:r>
          <w:rPr>
            <w:rStyle w:val="Hyperlink"/>
          </w:rPr>
          <w:t xml:space="preserve">A clinical knowledge graph-based framework to prioritize candidate genes for facilitating diagnosis of Mendelian diseases and rare genetic conditions</w:t>
        </w:r>
      </w:hyperlink>
      <w:r>
        <w:t xml:space="preserve">, the</w:t>
      </w:r>
      <w:r>
        <w:t xml:space="preserve"> </w:t>
      </w:r>
      <w:r>
        <w:rPr>
          <w:rStyle w:val="VerbatimChar"/>
        </w:rPr>
        <w:t xml:space="preserve">phenotype prioritization and analysis for rare diseases, PPAR</w:t>
      </w:r>
      <w:r>
        <w:t xml:space="preserve"> </w:t>
      </w:r>
      <w:r>
        <w:t xml:space="preserve">algorithm to rank genes based on</w:t>
      </w:r>
      <w:r>
        <w:t xml:space="preserve"> </w:t>
      </w:r>
      <w:r>
        <w:rPr>
          <w:i/>
          <w:iCs/>
        </w:rPr>
        <w:t xml:space="preserve">human phenotype ontology (HPO)</w:t>
      </w:r>
      <w:r>
        <w:t xml:space="preserve"> </w:t>
      </w:r>
      <w:r>
        <w:t xml:space="preserve">terms.</w:t>
      </w:r>
      <w:r>
        <w:rPr>
          <w:rStyle w:val="FootnoteReference"/>
        </w:rPr>
        <w:footnoteReference w:id="158"/>
      </w:r>
      <w:r>
        <w:t xml:space="preserve">. In details,</w:t>
      </w:r>
      <w:r>
        <w:t xml:space="preserve"> </w:t>
      </w:r>
      <w:r>
        <w:rPr>
          <w:rStyle w:val="VerbatimChar"/>
        </w:rPr>
        <w:t xml:space="preserve">PPAR</w:t>
      </w:r>
      <w:r>
        <w:t xml:space="preserve"> </w:t>
      </w:r>
      <w:r>
        <w:t xml:space="preserve">combines embeddings from the</w:t>
      </w:r>
      <w:r>
        <w:t xml:space="preserve"> </w:t>
      </w:r>
      <w:r>
        <w:rPr>
          <w:i/>
          <w:iCs/>
        </w:rPr>
        <w:t xml:space="preserve">human knowledge graph</w:t>
      </w:r>
      <w:r>
        <w:t xml:space="preserve">, incorporating genes, HPO terms, and gene ontology annotations connections. For each input HPO term, a prioritized list of genes is returned based on their relevance and similarity to the HPO term.</w:t>
      </w:r>
    </w:p>
    <w:p>
      <w:pPr>
        <w:numPr>
          <w:ilvl w:val="0"/>
          <w:numId w:val="1048"/>
        </w:numPr>
      </w:pPr>
      <w:r>
        <w:t xml:space="preserve">Bridges et al. (</w:t>
      </w:r>
      <w:hyperlink w:anchor="ref-bridges2025bb">
        <w:r>
          <w:rPr>
            <w:rStyle w:val="Hyperlink"/>
          </w:rPr>
          <w:t xml:space="preserve">2025</w:t>
        </w:r>
      </w:hyperlink>
      <w:r>
        <w:t xml:space="preserve">)</w:t>
      </w:r>
      <w:r>
        <w:t xml:space="preserve"> </w:t>
      </w:r>
      <w:r>
        <w:t xml:space="preserve">developed in</w:t>
      </w:r>
      <w:r>
        <w:t xml:space="preserve"> </w:t>
      </w:r>
      <w:hyperlink r:id="rId159">
        <w:r>
          <w:rPr>
            <w:rStyle w:val="Hyperlink"/>
          </w:rPr>
          <w:t xml:space="preserve">Towards a standard benchmark for phenotype-driven variant and gene prioritisation algorithms:</w:t>
        </w:r>
        <w:r>
          <w:rPr>
            <w:rStyle w:val="Hyperlink"/>
          </w:rPr>
          <w:t xml:space="preserve"> </w:t>
        </w:r>
        <w:r>
          <w:rPr>
            <w:rStyle w:val="VerbatimChar"/>
          </w:rPr>
          <w:t xml:space="preserve">PhEval</w:t>
        </w:r>
        <w:r>
          <w:rPr>
            <w:rStyle w:val="Hyperlink"/>
          </w:rPr>
          <w:t xml:space="preserve">, Phenotypic inference Evaluation framework</w:t>
        </w:r>
      </w:hyperlink>
      <w:r>
        <w:t xml:space="preserve"> </w:t>
      </w:r>
      <w:r>
        <w:t xml:space="preserve">a unified benchmarking platform to clean inputs for</w:t>
      </w:r>
      <w:r>
        <w:t xml:space="preserve"> </w:t>
      </w:r>
      <w:r>
        <w:rPr>
          <w:i/>
          <w:iCs/>
        </w:rPr>
        <w:t xml:space="preserve">phenotype-driven VGPAs</w:t>
      </w:r>
      <w:r>
        <w:t xml:space="preserve">. Variant and Gene Prioritisation Algorithms integrate complex and multi-modal datasets, such as ontologies and gene-to-phenotype associations, to predict the most influential and promising gene targets controlling the evolution of rare diseases. Model is available as GitHub Repo</w:t>
      </w:r>
      <w:r>
        <w:t xml:space="preserve"> </w:t>
      </w:r>
      <w:hyperlink r:id="rId160">
        <w:r>
          <w:rPr>
            <w:rStyle w:val="VerbatimChar"/>
          </w:rPr>
          <w:t xml:space="preserve">PhEval</w:t>
        </w:r>
      </w:hyperlink>
      <w:r>
        <w:t xml:space="preserve">.</w:t>
      </w:r>
    </w:p>
    <w:bookmarkEnd w:id="161"/>
    <w:bookmarkStart w:id="164" w:name="post-gwas-incorporate-familial-pedigrees"/>
    <w:p>
      <w:pPr>
        <w:pStyle w:val="Heading3"/>
      </w:pPr>
      <w:r>
        <w:t xml:space="preserve">1.4.5 Post-GWAS: Incorporate familial pedigrees</w:t>
      </w:r>
    </w:p>
    <w:p>
      <w:pPr>
        <w:pStyle w:val="FirstParagraph"/>
      </w:pPr>
      <w:r>
        <w:t xml:space="preserve">An alternative to</w:t>
      </w:r>
      <w:r>
        <w:t xml:space="preserve"> </w:t>
      </w:r>
      <w:r>
        <w:rPr>
          <w:i/>
          <w:iCs/>
        </w:rPr>
        <w:t xml:space="preserve">candidate gene</w:t>
      </w:r>
      <w:r>
        <w:t xml:space="preserve"> </w:t>
      </w:r>
      <w:r>
        <w:t xml:space="preserve">association studies relies on</w:t>
      </w:r>
      <w:r>
        <w:t xml:space="preserve"> </w:t>
      </w:r>
      <w:r>
        <w:rPr>
          <w:i/>
          <w:iCs/>
        </w:rPr>
        <w:t xml:space="preserve">linkage analysis</w:t>
      </w:r>
      <w:r>
        <w:t xml:space="preserve">, which uses familial pedigrees to map genetic variants underlying common human diseases.</w:t>
      </w:r>
      <w:r>
        <w:t xml:space="preserve"> </w:t>
      </w:r>
      <w:r>
        <w:rPr>
          <w:b/>
          <w:bCs/>
        </w:rPr>
        <w:t xml:space="preserve">This strategy requires both genetic data and detailed family pedigrees.</w:t>
      </w:r>
    </w:p>
    <w:p>
      <w:pPr>
        <w:numPr>
          <w:ilvl w:val="0"/>
          <w:numId w:val="1049"/>
        </w:numPr>
      </w:pPr>
      <w:hyperlink r:id="rId162">
        <w:r>
          <w:rPr>
            <w:rStyle w:val="Hyperlink"/>
          </w:rPr>
          <w:t xml:space="preserve">Genome-wide association study of fat content and fatty acid composition of shea tree.</w:t>
        </w:r>
      </w:hyperlink>
      <w:r>
        <w:t xml:space="preserve">, from</w:t>
      </w:r>
      <w:r>
        <w:t xml:space="preserve"> </w:t>
      </w:r>
      <w:r>
        <w:t xml:space="preserve">Attikora et al. (</w:t>
      </w:r>
      <w:hyperlink w:anchor="ref-attikora2025bg">
        <w:r>
          <w:rPr>
            <w:rStyle w:val="Hyperlink"/>
          </w:rPr>
          <w:t xml:space="preserve">2025</w:t>
        </w:r>
      </w:hyperlink>
      <w:r>
        <w:t xml:space="preserve">)</w:t>
      </w:r>
      <w:r>
        <w:t xml:space="preserve">. Under the hood, relies on the</w:t>
      </w:r>
      <w:r>
        <w:t xml:space="preserve"> </w:t>
      </w:r>
      <w:r>
        <w:rPr>
          <w:rStyle w:val="VerbatimChar"/>
        </w:rPr>
        <w:t xml:space="preserve">mrMLM</w:t>
      </w:r>
      <w:r>
        <w:t xml:space="preserve"> </w:t>
      </w:r>
      <w:r>
        <w:t xml:space="preserve">R package to include both the</w:t>
      </w:r>
      <w:r>
        <w:t xml:space="preserve"> </w:t>
      </w:r>
      <w:r>
        <w:rPr>
          <w:i/>
          <w:iCs/>
        </w:rPr>
        <w:t xml:space="preserve">population structure matrix</w:t>
      </w:r>
      <w:r>
        <w:t xml:space="preserve"> </w:t>
      </w:r>
      <w:r>
        <w:t xml:space="preserve">and the</w:t>
      </w:r>
      <w:r>
        <w:t xml:space="preserve"> </w:t>
      </w:r>
      <w:r>
        <w:rPr>
          <w:i/>
          <w:iCs/>
        </w:rPr>
        <w:t xml:space="preserve">kinship matrix</w:t>
      </w:r>
      <w:r>
        <w:t xml:space="preserve">. Provides a complete GWAS pipeline, including a number of meaningful illustrations.</w:t>
      </w:r>
    </w:p>
    <w:p>
      <w:pPr>
        <w:numPr>
          <w:ilvl w:val="0"/>
          <w:numId w:val="1049"/>
        </w:numPr>
      </w:pPr>
      <w:hyperlink r:id="rId163">
        <w:r>
          <w:rPr>
            <w:rStyle w:val="VerbatimChar"/>
          </w:rPr>
          <w:t xml:space="preserve">BHCox</w:t>
        </w:r>
        <w:r>
          <w:rPr>
            <w:rStyle w:val="Hyperlink"/>
          </w:rPr>
          <w:t xml:space="preserve">: Bayesian heredity-constrained Cox proportional hazards models for detecting gene-environment interactions</w:t>
        </w:r>
      </w:hyperlink>
      <w:r>
        <w:t xml:space="preserve">, from</w:t>
      </w:r>
      <w:r>
        <w:t xml:space="preserve"> </w:t>
      </w:r>
      <w:r>
        <w:t xml:space="preserve">Sun et al. (</w:t>
      </w:r>
      <w:hyperlink w:anchor="ref-sun2025bb">
        <w:r>
          <w:rPr>
            <w:rStyle w:val="Hyperlink"/>
          </w:rPr>
          <w:t xml:space="preserve">2025</w:t>
        </w:r>
      </w:hyperlink>
      <w:r>
        <w:t xml:space="preserve">)</w:t>
      </w:r>
      <w:r>
        <w:t xml:space="preserve">. Under the hood, relies on the</w:t>
      </w:r>
      <w:r>
        <w:t xml:space="preserve"> </w:t>
      </w:r>
      <w:r>
        <w:rPr>
          <w:rStyle w:val="VerbatimChar"/>
        </w:rPr>
        <w:t xml:space="preserve">brms</w:t>
      </w:r>
      <w:r>
        <w:t xml:space="preserve"> </w:t>
      </w:r>
      <w:r>
        <w:t xml:space="preserve">R package.</w:t>
      </w:r>
    </w:p>
    <w:bookmarkEnd w:id="164"/>
    <w:bookmarkStart w:id="168" w:name="post-gwas-polygenic-risk-scores"/>
    <w:p>
      <w:pPr>
        <w:pStyle w:val="Heading3"/>
      </w:pPr>
      <w:r>
        <w:t xml:space="preserve">1.4.6 Post-GWAS: Polygenic risk scores</w:t>
      </w:r>
    </w:p>
    <w:p>
      <w:pPr>
        <w:numPr>
          <w:ilvl w:val="0"/>
          <w:numId w:val="1050"/>
        </w:numPr>
      </w:pPr>
      <w:hyperlink r:id="rId165">
        <w:r>
          <w:rPr>
            <w:rStyle w:val="Hyperlink"/>
          </w:rPr>
          <w:t xml:space="preserve">Optimizing and benchmarking polygenic risk scores with GWAS summary statistics</w:t>
        </w:r>
      </w:hyperlink>
      <w:r>
        <w:t xml:space="preserve">, from</w:t>
      </w:r>
      <w:r>
        <w:t xml:space="preserve"> </w:t>
      </w:r>
      <w:r>
        <w:t xml:space="preserve">Z. Zhao et al. (</w:t>
      </w:r>
      <w:hyperlink w:anchor="ref-zhao2024gb">
        <w:r>
          <w:rPr>
            <w:rStyle w:val="Hyperlink"/>
          </w:rPr>
          <w:t xml:space="preserve">2024</w:t>
        </w:r>
      </w:hyperlink>
      <w:r>
        <w:t xml:space="preserve">)</w:t>
      </w:r>
      <w:r>
        <w:t xml:space="preserve">.</w:t>
      </w:r>
    </w:p>
    <w:p>
      <w:pPr>
        <w:numPr>
          <w:ilvl w:val="0"/>
          <w:numId w:val="1050"/>
        </w:numPr>
      </w:pPr>
      <w:hyperlink r:id="rId166">
        <w:r>
          <w:rPr>
            <w:rStyle w:val="VerbatimChar"/>
          </w:rPr>
          <w:t xml:space="preserve">XPRS</w:t>
        </w:r>
        <w:r>
          <w:rPr>
            <w:rStyle w:val="Hyperlink"/>
          </w:rPr>
          <w:t xml:space="preserve">: A Tool for Interpretable and Explainable Polygenic Risk Score</w:t>
        </w:r>
      </w:hyperlink>
      <w:r>
        <w:t xml:space="preserve">, from</w:t>
      </w:r>
      <w:r>
        <w:t xml:space="preserve"> </w:t>
      </w:r>
      <w:r>
        <w:t xml:space="preserve">Kim and Lee (</w:t>
      </w:r>
      <w:hyperlink w:anchor="ref-kim2025b">
        <w:r>
          <w:rPr>
            <w:rStyle w:val="Hyperlink"/>
          </w:rPr>
          <w:t xml:space="preserve">2025</w:t>
        </w:r>
      </w:hyperlink>
      <w:r>
        <w:t xml:space="preserve">)</w:t>
      </w:r>
      <w:r>
        <w:t xml:space="preserve">, is a R package for inferring the</w:t>
      </w:r>
      <w:r>
        <w:t xml:space="preserve"> </w:t>
      </w:r>
      <w:r>
        <w:rPr>
          <w:i/>
          <w:iCs/>
        </w:rPr>
        <w:t xml:space="preserve">polygenic risk score</w:t>
      </w:r>
      <w:r>
        <w:t xml:space="preserve"> </w:t>
      </w:r>
      <w:r>
        <w:t xml:space="preserve">for assessing genetic susceptibility to diseases, providing additional interpretation and visualisation tools. PRSs are further split and classified into genes and single nucleotide polymorphism (SNP) contribution scores via</w:t>
      </w:r>
      <w:r>
        <w:t xml:space="preserve"> </w:t>
      </w:r>
      <w:r>
        <w:rPr>
          <w:i/>
          <w:iCs/>
        </w:rPr>
        <w:t xml:space="preserve">Shapley additive explanations</w:t>
      </w:r>
      <w:r>
        <w:t xml:space="preserve"> </w:t>
      </w:r>
      <w:r>
        <w:t xml:space="preserve">(SHAPs), visualised as</w:t>
      </w:r>
      <w:r>
        <w:t xml:space="preserve"> </w:t>
      </w:r>
      <w:r>
        <w:rPr>
          <w:b/>
          <w:bCs/>
        </w:rPr>
        <w:t xml:space="preserve">Manhattan plots</w:t>
      </w:r>
      <w:r>
        <w:t xml:space="preserve">,</w:t>
      </w:r>
      <w:r>
        <w:t xml:space="preserve"> </w:t>
      </w:r>
      <w:r>
        <w:rPr>
          <w:b/>
          <w:bCs/>
        </w:rPr>
        <w:t xml:space="preserve">LocusZoom-like</w:t>
      </w:r>
      <w:r>
        <w:t xml:space="preserve"> </w:t>
      </w:r>
      <w:r>
        <w:t xml:space="preserve">plots and tables at the population and individual levels.</w:t>
      </w:r>
    </w:p>
    <w:p>
      <w:pPr>
        <w:numPr>
          <w:ilvl w:val="0"/>
          <w:numId w:val="1050"/>
        </w:numPr>
      </w:pPr>
      <w:hyperlink r:id="rId167">
        <w:r>
          <w:rPr>
            <w:rStyle w:val="VerbatimChar"/>
          </w:rPr>
          <w:t xml:space="preserve">PNL</w:t>
        </w:r>
        <w:r>
          <w:rPr>
            <w:rStyle w:val="Hyperlink"/>
          </w:rPr>
          <w:t xml:space="preserve">: a software to build polygenic risk scores using a Super Learner approach based on</w:t>
        </w:r>
        <w:r>
          <w:rPr>
            <w:rStyle w:val="Hyperlink"/>
          </w:rPr>
          <w:t xml:space="preserve"> </w:t>
        </w:r>
        <w:r>
          <w:rPr>
            <w:rStyle w:val="VerbatimChar"/>
          </w:rPr>
          <w:t xml:space="preserve">PairNet</w:t>
        </w:r>
        <w:r>
          <w:rPr>
            <w:rStyle w:val="Hyperlink"/>
          </w:rPr>
          <w:t xml:space="preserve">, a Convolutional Neural Network</w:t>
        </w:r>
      </w:hyperlink>
      <w:r>
        <w:t xml:space="preserve">, from</w:t>
      </w:r>
      <w:r>
        <w:t xml:space="preserve"> </w:t>
      </w:r>
      <w:r>
        <w:t xml:space="preserve">Chen et al. (</w:t>
      </w:r>
      <w:hyperlink w:anchor="ref-chen2025b">
        <w:r>
          <w:rPr>
            <w:rStyle w:val="Hyperlink"/>
          </w:rPr>
          <w:t xml:space="preserve">2025</w:t>
        </w:r>
      </w:hyperlink>
      <w:r>
        <w:t xml:space="preserve">)</w:t>
      </w:r>
      <w:r>
        <w:t xml:space="preserve">.</w:t>
      </w:r>
    </w:p>
    <w:bookmarkEnd w:id="168"/>
    <w:bookmarkStart w:id="175" w:name="post-gwas-orthogonal-integration"/>
    <w:p>
      <w:pPr>
        <w:pStyle w:val="Heading3"/>
      </w:pPr>
      <w:r>
        <w:t xml:space="preserve">1.4.7 Post-GWAS: Orthogonal integration</w:t>
      </w:r>
    </w:p>
    <w:bookmarkStart w:id="172" w:name="epigenomic"/>
    <w:p>
      <w:pPr>
        <w:pStyle w:val="Heading4"/>
      </w:pPr>
      <w:r>
        <w:t xml:space="preserve">1.4.7.1 Epigenomic</w:t>
      </w:r>
    </w:p>
    <w:p>
      <w:pPr>
        <w:pStyle w:val="Compact"/>
        <w:numPr>
          <w:ilvl w:val="0"/>
          <w:numId w:val="1051"/>
        </w:numPr>
      </w:pPr>
      <w:r>
        <w:t xml:space="preserve">G. Zhao and Lai (</w:t>
      </w:r>
      <w:hyperlink w:anchor="ref-zhao2025bib">
        <w:r>
          <w:rPr>
            <w:rStyle w:val="Hyperlink"/>
          </w:rPr>
          <w:t xml:space="preserve">2025</w:t>
        </w:r>
      </w:hyperlink>
      <w:r>
        <w:t xml:space="preserve">)</w:t>
      </w:r>
      <w:r>
        <w:t xml:space="preserve"> </w:t>
      </w:r>
      <w:r>
        <w:t xml:space="preserve">implements</w:t>
      </w:r>
      <w:r>
        <w:t xml:space="preserve"> </w:t>
      </w:r>
      <w:hyperlink r:id="rId169">
        <w:r>
          <w:rPr>
            <w:rStyle w:val="VerbatimChar"/>
          </w:rPr>
          <w:t xml:space="preserve">SC-VAR</w:t>
        </w:r>
        <w:r>
          <w:rPr>
            <w:rStyle w:val="Hyperlink"/>
          </w:rPr>
          <w:t xml:space="preserve">: a computational tool for interpreting polygenic disease risks using single-cell epigenomic data</w:t>
        </w:r>
      </w:hyperlink>
      <w:r>
        <w:t xml:space="preserve">, a novel computational tool available as a GitHub repo and Python application:</w:t>
      </w:r>
      <w:r>
        <w:t xml:space="preserve"> </w:t>
      </w:r>
      <w:hyperlink r:id="rId170">
        <w:r>
          <w:rPr>
            <w:rStyle w:val="VerbatimChar"/>
          </w:rPr>
          <w:t xml:space="preserve">SC-VAR</w:t>
        </w:r>
        <w:r>
          <w:rPr>
            <w:rStyle w:val="Hyperlink"/>
          </w:rPr>
          <w:t xml:space="preserve"> </w:t>
        </w:r>
        <w:r>
          <w:rPr>
            <w:rStyle w:val="Hyperlink"/>
          </w:rPr>
          <w:t xml:space="preserve">GitHub</w:t>
        </w:r>
      </w:hyperlink>
      <w:r>
        <w:t xml:space="preserve">.</w:t>
      </w:r>
      <w:r>
        <w:t xml:space="preserve"> </w:t>
      </w:r>
      <w:r>
        <w:rPr>
          <w:rStyle w:val="VerbatimChar"/>
        </w:rPr>
        <w:t xml:space="preserve">SC-VAR</w:t>
      </w:r>
      <w:r>
        <w:t xml:space="preserve"> </w:t>
      </w:r>
      <w:r>
        <w:t xml:space="preserve">uses single-cell</w:t>
      </w:r>
      <w:r>
        <w:t xml:space="preserve"> </w:t>
      </w:r>
      <w:r>
        <w:rPr>
          <w:i/>
          <w:iCs/>
        </w:rPr>
        <w:t xml:space="preserve">epigenomic</w:t>
      </w:r>
      <w:r>
        <w:t xml:space="preserve"> </w:t>
      </w:r>
      <w:r>
        <w:t xml:space="preserve">data to predict functional outcomes of the identified disease-associated</w:t>
      </w:r>
      <w:r>
        <w:t xml:space="preserve"> </w:t>
      </w:r>
      <w:r>
        <w:rPr>
          <w:i/>
          <w:iCs/>
        </w:rPr>
        <w:t xml:space="preserve">GWAS variants</w:t>
      </w:r>
      <w:r>
        <w:t xml:space="preserve">, enhancing their interpretability. Under the hood, relies on</w:t>
      </w:r>
      <w:r>
        <w:t xml:space="preserve"> </w:t>
      </w:r>
      <w:hyperlink r:id="rId171">
        <w:r>
          <w:rPr>
            <w:rStyle w:val="VerbatimChar"/>
          </w:rPr>
          <w:t xml:space="preserve">MAGMA</w:t>
        </w:r>
        <w:r>
          <w:rPr>
            <w:rStyle w:val="Hyperlink"/>
          </w:rPr>
          <w:t xml:space="preserve"> </w:t>
        </w:r>
        <w:r>
          <w:rPr>
            <w:rStyle w:val="Hyperlink"/>
          </w:rPr>
          <w:t xml:space="preserve">linear modelling framework</w:t>
        </w:r>
      </w:hyperlink>
      <w:r>
        <w:t xml:space="preserve">, developed by</w:t>
      </w:r>
      <w:r>
        <w:t xml:space="preserve"> </w:t>
      </w:r>
      <w:r>
        <w:t xml:space="preserve">Leeuw et al. (</w:t>
      </w:r>
      <w:hyperlink w:anchor="ref-leeuw2015pcb">
        <w:r>
          <w:rPr>
            <w:rStyle w:val="Hyperlink"/>
          </w:rPr>
          <w:t xml:space="preserve">2015</w:t>
        </w:r>
      </w:hyperlink>
      <w:r>
        <w:t xml:space="preserve">)</w:t>
      </w:r>
      <w:r>
        <w:t xml:space="preserve">.</w:t>
      </w:r>
    </w:p>
    <w:bookmarkEnd w:id="172"/>
    <w:bookmarkStart w:id="174" w:name="eqtl-quantitative-expression"/>
    <w:p>
      <w:pPr>
        <w:pStyle w:val="Heading4"/>
      </w:pPr>
      <w:r>
        <w:t xml:space="preserve">1.4.7.2 eQTL (quantitative expression)</w:t>
      </w:r>
    </w:p>
    <w:p>
      <w:pPr>
        <w:pStyle w:val="Compact"/>
        <w:numPr>
          <w:ilvl w:val="0"/>
          <w:numId w:val="1052"/>
        </w:numPr>
      </w:pPr>
      <w:hyperlink r:id="rId173">
        <w:r>
          <w:rPr>
            <w:rStyle w:val="VerbatimChar"/>
          </w:rPr>
          <w:t xml:space="preserve">FIVEx</w:t>
        </w:r>
      </w:hyperlink>
      <w:r>
        <w:t xml:space="preserve"> </w:t>
      </w:r>
      <w:r>
        <w:t xml:space="preserve">is a web-based interface to explore</w:t>
      </w:r>
      <w:r>
        <w:t xml:space="preserve"> </w:t>
      </w:r>
      <w:r>
        <w:rPr>
          <w:rStyle w:val="VerbatimChar"/>
        </w:rPr>
        <w:t xml:space="preserve">CarTaGene</w:t>
      </w:r>
      <w:r>
        <w:t xml:space="preserve"> </w:t>
      </w:r>
      <w:r>
        <w:t xml:space="preserve">to visualize and query eQTL (quantitative trait loci) data in various ways.</w:t>
      </w:r>
      <w:r>
        <w:t xml:space="preserve"> </w:t>
      </w:r>
      <w:r>
        <w:rPr>
          <w:b/>
          <w:bCs/>
        </w:rPr>
        <w:t xml:space="preserve">Would need a stringent maintenance!!</w:t>
      </w:r>
    </w:p>
    <w:bookmarkEnd w:id="174"/>
    <w:bookmarkEnd w:id="175"/>
    <w:bookmarkEnd w:id="176"/>
    <w:bookmarkStart w:id="185" w:name="appendix"/>
    <w:p>
      <w:pPr>
        <w:pStyle w:val="Heading2"/>
      </w:pPr>
      <w:r>
        <w:t xml:space="preserve">1.5 Appendix</w:t>
      </w:r>
    </w:p>
    <w:bookmarkStart w:id="182" w:name="sec-DSL-Nextflow"/>
    <w:p>
      <w:pPr>
        <w:pStyle w:val="Heading3"/>
      </w:pPr>
      <w:r>
        <w:t xml:space="preserve">1.5.1 Scalability with</w:t>
      </w:r>
      <w:r>
        <w:t xml:space="preserve"> </w:t>
      </w:r>
      <w:r>
        <w:rPr>
          <w:rStyle w:val="VerbatimChar"/>
        </w:rPr>
        <w:t xml:space="preserve">Nextflow</w:t>
      </w:r>
    </w:p>
    <w:p>
      <w:pPr>
        <w:pStyle w:val="FirstParagraph"/>
      </w:pPr>
      <w:r>
        <w:t xml:space="preserve">Lots of intermediate files are not required for downstream analyses, hence it would be relevant to rely on an existing</w:t>
      </w:r>
      <w:r>
        <w:t xml:space="preserve"> </w:t>
      </w:r>
      <w:r>
        <w:rPr>
          <w:i/>
          <w:iCs/>
        </w:rPr>
        <w:t xml:space="preserve">Nextflow</w:t>
      </w:r>
      <w:r>
        <w:t xml:space="preserve"> </w:t>
      </w:r>
      <w:r>
        <w:t xml:space="preserve">or</w:t>
      </w:r>
      <w:r>
        <w:t xml:space="preserve"> </w:t>
      </w:r>
      <w:r>
        <w:rPr>
          <w:i/>
          <w:iCs/>
        </w:rPr>
        <w:t xml:space="preserve">Snakemake</w:t>
      </w:r>
      <w:r>
        <w:t xml:space="preserve"> </w:t>
      </w:r>
      <w:r>
        <w:t xml:space="preserve">DSL workflows:</w:t>
      </w:r>
    </w:p>
    <w:p>
      <w:pPr>
        <w:numPr>
          <w:ilvl w:val="0"/>
          <w:numId w:val="1053"/>
        </w:numPr>
      </w:pPr>
      <w:hyperlink r:id="rId177">
        <w:r>
          <w:rPr>
            <w:rStyle w:val="VerbatimChar"/>
          </w:rPr>
          <w:t xml:space="preserve">nf-GWAS</w:t>
        </w:r>
        <w:r>
          <w:rPr>
            <w:rStyle w:val="Hyperlink"/>
          </w:rPr>
          <w:t xml:space="preserve"> </w:t>
        </w:r>
        <w:r>
          <w:rPr>
            <w:rStyle w:val="Hyperlink"/>
          </w:rPr>
          <w:t xml:space="preserve">‘Nextflow pipeline’</w:t>
        </w:r>
      </w:hyperlink>
      <w:r>
        <w:t xml:space="preserve">, from</w:t>
      </w:r>
      <w:r>
        <w:t xml:space="preserve"> </w:t>
      </w:r>
      <w:r>
        <w:t xml:space="preserve">Schönherr and Forer (</w:t>
      </w:r>
      <w:hyperlink w:anchor="ref-schonherr2024">
        <w:r>
          <w:rPr>
            <w:rStyle w:val="Hyperlink"/>
          </w:rPr>
          <w:t xml:space="preserve">[2021] 2024</w:t>
        </w:r>
      </w:hyperlink>
      <w:r>
        <w:t xml:space="preserve">)</w:t>
      </w:r>
      <w:r>
        <w:t xml:space="preserve">, is actively maintained by Curie Bioinformatics Team, and includes the latest</w:t>
      </w:r>
      <w:r>
        <w:t xml:space="preserve"> </w:t>
      </w:r>
      <w:r>
        <w:rPr>
          <w:rStyle w:val="VerbatimChar"/>
        </w:rPr>
        <w:t xml:space="preserve">plink2</w:t>
      </w:r>
      <w:r>
        <w:t xml:space="preserve"> </w:t>
      </w:r>
      <w:r>
        <w:t xml:space="preserve">facilities. Complementary tools include:</w:t>
      </w:r>
    </w:p>
    <w:p>
      <w:pPr>
        <w:numPr>
          <w:ilvl w:val="0"/>
          <w:numId w:val="1053"/>
        </w:numPr>
      </w:pPr>
      <w:r>
        <w:t xml:space="preserve">The</w:t>
      </w:r>
      <w:r>
        <w:t xml:space="preserve"> </w:t>
      </w:r>
      <w:r>
        <w:rPr>
          <w:rStyle w:val="VerbatimChar"/>
        </w:rPr>
        <w:t xml:space="preserve">Nextflow</w:t>
      </w:r>
      <w:r>
        <w:t xml:space="preserve"> </w:t>
      </w:r>
      <w:r>
        <w:t xml:space="preserve">Seqera</w:t>
      </w:r>
      <w:r>
        <w:t xml:space="preserve"> </w:t>
      </w:r>
      <w:hyperlink r:id="rId178">
        <w:r>
          <w:rPr>
            <w:rStyle w:val="VerbatimChar"/>
          </w:rPr>
          <w:t xml:space="preserve">multiqc</w:t>
        </w:r>
      </w:hyperlink>
      <w:r>
        <w:t xml:space="preserve"> </w:t>
      </w:r>
      <w:r>
        <w:t xml:space="preserve">initiative collects within the same repository a variety of command-line tools, such as</w:t>
      </w:r>
      <w:r>
        <w:t xml:space="preserve"> </w:t>
      </w:r>
      <w:r>
        <w:rPr>
          <w:rStyle w:val="VerbatimChar"/>
        </w:rPr>
        <w:t xml:space="preserve">bcftools</w:t>
      </w:r>
      <w:r>
        <w:t xml:space="preserve"> </w:t>
      </w:r>
      <w:r>
        <w:t xml:space="preserve">and</w:t>
      </w:r>
      <w:r>
        <w:t xml:space="preserve"> </w:t>
      </w:r>
      <w:r>
        <w:rPr>
          <w:rStyle w:val="VerbatimChar"/>
        </w:rPr>
        <w:t xml:space="preserve">plink2</w:t>
      </w:r>
      <w:r>
        <w:t xml:space="preserve">, with notably the</w:t>
      </w:r>
      <w:r>
        <w:t xml:space="preserve"> </w:t>
      </w:r>
      <w:hyperlink r:id="rId179">
        <w:r>
          <w:rPr>
            <w:rStyle w:val="VerbatimChar"/>
          </w:rPr>
          <w:t xml:space="preserve">vcftools</w:t>
        </w:r>
      </w:hyperlink>
      <w:r>
        <w:t xml:space="preserve"> </w:t>
      </w:r>
      <w:r>
        <w:t xml:space="preserve">and</w:t>
      </w:r>
      <w:r>
        <w:t xml:space="preserve"> </w:t>
      </w:r>
      <w:hyperlink r:id="rId180">
        <w:r>
          <w:rPr>
            <w:rStyle w:val="VerbatimChar"/>
          </w:rPr>
          <w:t xml:space="preserve">multivcfanalyzer</w:t>
        </w:r>
      </w:hyperlink>
      <w:r>
        <w:t xml:space="preserve"> </w:t>
      </w:r>
      <w:r>
        <w:t xml:space="preserve">modules. Note however that these tools are optimised in Python.</w:t>
      </w:r>
    </w:p>
    <w:p>
      <w:pPr>
        <w:numPr>
          <w:ilvl w:val="0"/>
          <w:numId w:val="1053"/>
        </w:numPr>
      </w:pPr>
      <w:hyperlink r:id="rId181">
        <w:r>
          <w:rPr>
            <w:rStyle w:val="VerbatimChar"/>
          </w:rPr>
          <w:t xml:space="preserve">PopGLen</w:t>
        </w:r>
        <w:r>
          <w:rPr>
            <w:rStyle w:val="Hyperlink"/>
          </w:rPr>
          <w:t xml:space="preserve"> </w:t>
        </w:r>
        <w:r>
          <w:rPr>
            <w:rStyle w:val="Hyperlink"/>
          </w:rPr>
          <w:t xml:space="preserve">‘Snakemake’</w:t>
        </w:r>
        <w:r>
          <w:rPr>
            <w:rStyle w:val="Hyperlink"/>
          </w:rPr>
          <w:t xml:space="preserve"> </w:t>
        </w:r>
        <w:r>
          <w:rPr>
            <w:rStyle w:val="Hyperlink"/>
          </w:rPr>
          <w:t xml:space="preserve">pipeline</w:t>
        </w:r>
      </w:hyperlink>
      <w:r>
        <w:t xml:space="preserve">, from</w:t>
      </w:r>
      <w:r>
        <w:t xml:space="preserve"> </w:t>
      </w:r>
      <w:r>
        <w:t xml:space="preserve">Nolen (</w:t>
      </w:r>
      <w:hyperlink w:anchor="ref-nolen2025b">
        <w:r>
          <w:rPr>
            <w:rStyle w:val="Hyperlink"/>
          </w:rPr>
          <w:t xml:space="preserve">2025</w:t>
        </w:r>
      </w:hyperlink>
      <w:r>
        <w:t xml:space="preserve">)</w:t>
      </w:r>
      <w:r>
        <w:t xml:space="preserve">.</w:t>
      </w:r>
      <w:r>
        <w:t xml:space="preserve"> </w:t>
      </w:r>
      <w:r>
        <w:rPr>
          <w:color w:val="red"/>
        </w:rPr>
        <w:t>
          <w:r>
            <w:t xml:space="preserve">Not for running GWAS analyses, but rather for evaluating the quality and impact of preprocessing and quality mapping at the population-level genome starting from</w:t>
          </w:r>
          <w:r>
            <w:t xml:space="preserve"> </w:t>
          </w:r>
          <w:r>
            <w:rPr>
              <w:rStyle w:val="VerbatimChar"/>
            </w:rPr>
            <w:t xml:space="preserve">FASTQ</w:t>
          </w:r>
          <w:r>
            <w:t xml:space="preserve"> </w:t>
          </w:r>
          <w:r>
            <w:t xml:space="preserve">files.</w:t>
          </w:r>
        </w:t>
      </w:r>
    </w:p>
    <w:bookmarkEnd w:id="182"/>
    <w:bookmarkStart w:id="184" w:name="fastq-and-fasta-quality-controls"/>
    <w:p>
      <w:pPr>
        <w:pStyle w:val="Heading3"/>
      </w:pPr>
      <w:r>
        <w:t xml:space="preserve">1.5.2 FASTQ and FASTA Quality Controls</w:t>
      </w:r>
    </w:p>
    <w:p>
      <w:pPr>
        <w:pStyle w:val="Compact"/>
        <w:numPr>
          <w:ilvl w:val="0"/>
          <w:numId w:val="1054"/>
        </w:numPr>
      </w:pPr>
      <w:r>
        <w:t xml:space="preserve">The 7th chapter entitled</w:t>
      </w:r>
      <w:r>
        <w:t xml:space="preserve"> </w:t>
      </w:r>
      <w:hyperlink r:id="rId183">
        <w:r>
          <w:rPr>
            <w:rStyle w:val="Hyperlink"/>
          </w:rPr>
          <w:t xml:space="preserve">“Quality Check, Processing and Alignment of High-throughput Sequencing Reads”</w:t>
        </w:r>
      </w:hyperlink>
      <w:r>
        <w:t xml:space="preserve"> </w:t>
      </w:r>
      <w:r>
        <w:t xml:space="preserve">introduces the fundamentals, using R packages, to process FASTA reads, and evaluate their quality with a variety of metrics (</w:t>
      </w:r>
      <m:oMath>
        <m:r>
          <m:t>k</m:t>
        </m:r>
      </m:oMath>
      <w:r>
        <w:t xml:space="preserve">-mer over-representation, sequence quality, percentage of duplicated reads, ..).</w:t>
      </w:r>
    </w:p>
    <w:bookmarkEnd w:id="184"/>
    <w:bookmarkEnd w:id="185"/>
    <w:bookmarkEnd w:id="186"/>
    <w:bookmarkStart w:id="264" w:name="cartagene-sample-size-estimation"/>
    <w:p>
      <w:pPr>
        <w:pStyle w:val="Heading1"/>
      </w:pPr>
      <w:r>
        <w:t xml:space="preserve">2. CartaGene Sample Size estimation</w:t>
      </w:r>
    </w:p>
    <w:bookmarkStart w:id="187" w:name="setup-for-statistical-power-analyses"/>
    <w:p>
      <w:pPr>
        <w:pStyle w:val="Heading2"/>
      </w:pPr>
      <w:r>
        <w:t xml:space="preserve">2.1 Setup for statistical power analyses</w:t>
      </w:r>
    </w:p>
    <w:p>
      <w:pPr>
        <w:pStyle w:val="SourceCode"/>
      </w:pPr>
      <w:r>
        <w:rPr>
          <w:rStyle w:val="DocumentationTok"/>
        </w:rPr>
        <w:t xml:space="preserve">## data wrangling and visualisations</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(flextable)</w:t>
      </w:r>
      <w:r>
        <w:br/>
      </w:r>
      <w:r>
        <w:rPr>
          <w:rStyle w:val="DocumentationTok"/>
        </w:rPr>
        <w:t xml:space="preserve">## Required for code linking</w:t>
      </w:r>
      <w:r>
        <w:br/>
      </w:r>
      <w:r>
        <w:rPr>
          <w:rStyle w:val="FunctionTok"/>
        </w:rPr>
        <w:t xml:space="preserve">library</w:t>
      </w:r>
      <w:r>
        <w:rPr>
          <w:rStyle w:val="NormalTok"/>
        </w:rPr>
        <w:t xml:space="preserve">(downlit)</w:t>
      </w:r>
      <w:r>
        <w:br/>
      </w:r>
      <w:r>
        <w:rPr>
          <w:rStyle w:val="FunctionTok"/>
        </w:rPr>
        <w:t xml:space="preserve">library</w:t>
      </w:r>
      <w:r>
        <w:rPr>
          <w:rStyle w:val="NormalTok"/>
        </w:rPr>
        <w:t xml:space="preserve">(xml2)</w:t>
      </w:r>
      <w:r>
        <w:br/>
      </w:r>
      <w:r>
        <w:br/>
      </w:r>
      <w:r>
        <w:rPr>
          <w:rStyle w:val="DocumentationTok"/>
        </w:rPr>
        <w:t xml:space="preserve">## Report automated QCs for VCF files</w:t>
      </w:r>
      <w:r>
        <w:br/>
      </w:r>
      <w:r>
        <w:rPr>
          <w:rStyle w:val="FunctionTok"/>
        </w:rPr>
        <w:t xml:space="preserve">library</w:t>
      </w:r>
      <w:r>
        <w:rPr>
          <w:rStyle w:val="NormalTok"/>
        </w:rPr>
        <w:t xml:space="preserve">(vcfR)</w:t>
      </w:r>
      <w:r>
        <w:br/>
      </w:r>
      <w:r>
        <w:br/>
      </w:r>
      <w:r>
        <w:rPr>
          <w:rStyle w:val="CommentTok"/>
        </w:rPr>
        <w:t xml:space="preserve"># Sample size estimation</w:t>
      </w:r>
      <w:r>
        <w:br/>
      </w:r>
      <w:r>
        <w:rPr>
          <w:rStyle w:val="FunctionTok"/>
        </w:rPr>
        <w:t xml:space="preserve">library</w:t>
      </w:r>
      <w:r>
        <w:rPr>
          <w:rStyle w:val="NormalTok"/>
        </w:rPr>
        <w:t xml:space="preserve">(genpwr)</w:t>
      </w:r>
    </w:p>
    <w:bookmarkEnd w:id="187"/>
    <w:bookmarkStart w:id="213" w:name="sec-vcfr"/>
    <w:p>
      <w:pPr>
        <w:pStyle w:val="Heading2"/>
      </w:pPr>
      <w:r>
        <w:t xml:space="preserve">2.2 VCF files Reporting with</w:t>
      </w:r>
      <w:r>
        <w:t xml:space="preserve"> </w:t>
      </w:r>
      <w:r>
        <w:rPr>
          <w:rStyle w:val="VerbatimChar"/>
        </w:rPr>
        <w:t xml:space="preserve">vcfR</w:t>
      </w:r>
    </w:p>
    <w:bookmarkStart w:id="188" w:name="load-vcf-files"/>
    <w:p>
      <w:pPr>
        <w:pStyle w:val="Heading3"/>
      </w:pPr>
      <w:r>
        <w:t xml:space="preserve">2.2.1 Load VCF files</w:t>
      </w:r>
    </w:p>
    <w:p>
      <w:pPr>
        <w:pStyle w:val="SourceCode"/>
      </w:pPr>
      <w:r>
        <w:rPr>
          <w:rStyle w:val="CommentTok"/>
        </w:rPr>
        <w:t xml:space="preserve"># vcf_file &lt;- "./data/variants/chr17.HDAC5.vcf"</w:t>
      </w:r>
      <w:r>
        <w:br/>
      </w:r>
      <w:r>
        <w:rPr>
          <w:rStyle w:val="NormalTok"/>
        </w:rPr>
        <w:t xml:space="preserve">vcf_file </w:t>
      </w:r>
      <w:r>
        <w:rPr>
          <w:rStyle w:val="OtherTok"/>
        </w:rPr>
        <w:t xml:space="preserve">&lt;-</w:t>
      </w:r>
      <w:r>
        <w:rPr>
          <w:rStyle w:val="NormalTok"/>
        </w:rPr>
        <w:t xml:space="preserve"> </w:t>
      </w:r>
      <w:r>
        <w:rPr>
          <w:rStyle w:val="StringTok"/>
        </w:rPr>
        <w:t xml:space="preserve">"./data/variants/chr7.HDAC9.vcf"</w:t>
      </w:r>
      <w:r>
        <w:br/>
      </w:r>
      <w:r>
        <w:rPr>
          <w:rStyle w:val="NormalTok"/>
        </w:rPr>
        <w:t xml:space="preserve">vcf </w:t>
      </w:r>
      <w:r>
        <w:rPr>
          <w:rStyle w:val="OtherTok"/>
        </w:rPr>
        <w:t xml:space="preserve">&lt;-</w:t>
      </w:r>
      <w:r>
        <w:rPr>
          <w:rStyle w:val="NormalTok"/>
        </w:rPr>
        <w:t xml:space="preserve"> vcfR</w:t>
      </w:r>
      <w:r>
        <w:rPr>
          <w:rStyle w:val="SpecialCharTok"/>
        </w:rPr>
        <w:t xml:space="preserve">::</w:t>
      </w:r>
      <w:r>
        <w:rPr>
          <w:rStyle w:val="FunctionTok"/>
        </w:rPr>
        <w:t xml:space="preserve">read.vcfR</w:t>
      </w:r>
      <w:r>
        <w:rPr>
          <w:rStyle w:val="NormalTok"/>
        </w:rPr>
        <w:t xml:space="preserve">(vcf_file)</w:t>
      </w:r>
    </w:p>
    <w:p>
      <w:pPr>
        <w:pStyle w:val="SourceCode"/>
      </w:pPr>
      <w:r>
        <w:rPr>
          <w:rStyle w:val="VerbatimChar"/>
        </w:rPr>
        <w:t xml:space="preserve">##  Scanning file to determine attributes.</w:t>
      </w:r>
      <w:r>
        <w:br/>
      </w:r>
      <w:r>
        <w:rPr>
          <w:rStyle w:val="VerbatimChar"/>
        </w:rPr>
        <w:t xml:space="preserve">##  File attributes:</w:t>
      </w:r>
      <w:r>
        <w:br/>
      </w:r>
      <w:r>
        <w:rPr>
          <w:rStyle w:val="VerbatimChar"/>
        </w:rPr>
        <w:t xml:space="preserve">##    meta lines: 24</w:t>
      </w:r>
      <w:r>
        <w:br/>
      </w:r>
      <w:r>
        <w:rPr>
          <w:rStyle w:val="VerbatimChar"/>
        </w:rPr>
        <w:t xml:space="preserve">##    header_line: 25</w:t>
      </w:r>
      <w:r>
        <w:br/>
      </w:r>
      <w:r>
        <w:rPr>
          <w:rStyle w:val="VerbatimChar"/>
        </w:rPr>
        <w:t xml:space="preserve">##    variant count: 2622</w:t>
      </w:r>
      <w:r>
        <w:br/>
      </w:r>
      <w:r>
        <w:rPr>
          <w:rStyle w:val="VerbatimChar"/>
        </w:rPr>
        <w:t xml:space="preserve">##    column count: 29346</w:t>
      </w:r>
      <w:r>
        <w:br/>
      </w:r>
      <w:r>
        <w:rPr>
          <w:rStyle w:val="VerbatimChar"/>
        </w:rPr>
        <w:t xml:space="preserve">##  </w:t>
      </w:r>
      <w:r>
        <w:br/>
      </w:r>
      <w:r>
        <w:rPr>
          <w:rStyle w:val="VerbatimChar"/>
        </w:rPr>
        <w:t xml:space="preserve">Meta line 24 read in.</w:t>
      </w:r>
      <w:r>
        <w:br/>
      </w:r>
      <w:r>
        <w:rPr>
          <w:rStyle w:val="VerbatimChar"/>
        </w:rPr>
        <w:t xml:space="preserve">##  All meta lines processed.</w:t>
      </w:r>
      <w:r>
        <w:br/>
      </w:r>
      <w:r>
        <w:rPr>
          <w:rStyle w:val="VerbatimChar"/>
        </w:rPr>
        <w:t xml:space="preserve">##  gt matrix initialized.</w:t>
      </w:r>
      <w:r>
        <w:br/>
      </w:r>
      <w:r>
        <w:rPr>
          <w:rStyle w:val="VerbatimChar"/>
        </w:rPr>
        <w:t xml:space="preserve">##  Character matrix gt created.</w:t>
      </w:r>
      <w:r>
        <w:br/>
      </w:r>
      <w:r>
        <w:rPr>
          <w:rStyle w:val="VerbatimChar"/>
        </w:rPr>
        <w:t xml:space="preserve">##    Character matrix gt rows: 2622</w:t>
      </w:r>
      <w:r>
        <w:br/>
      </w:r>
      <w:r>
        <w:rPr>
          <w:rStyle w:val="VerbatimChar"/>
        </w:rPr>
        <w:t xml:space="preserve">##    Character matrix gt cols: 29346</w:t>
      </w:r>
      <w:r>
        <w:br/>
      </w:r>
      <w:r>
        <w:rPr>
          <w:rStyle w:val="VerbatimChar"/>
        </w:rPr>
        <w:t xml:space="preserve">##    skip: 0</w:t>
      </w:r>
      <w:r>
        <w:br/>
      </w:r>
      <w:r>
        <w:rPr>
          <w:rStyle w:val="VerbatimChar"/>
        </w:rPr>
        <w:t xml:space="preserve">##    nrows: 2622</w:t>
      </w:r>
      <w:r>
        <w:br/>
      </w:r>
      <w:r>
        <w:rPr>
          <w:rStyle w:val="VerbatimChar"/>
        </w:rPr>
        <w:t xml:space="preserve">##    row_num: 0</w:t>
      </w:r>
      <w:r>
        <w:br/>
      </w:r>
      <w:r>
        <w:rPr>
          <w:rStyle w:val="VerbatimChar"/>
        </w:rPr>
        <w:t xml:space="preserve">##  </w:t>
      </w:r>
      <w:r>
        <w:br/>
      </w:r>
      <w:r>
        <w:rPr>
          <w:rStyle w:val="VerbatimChar"/>
        </w:rPr>
        <w:t xml:space="preserve">Processed variant 1000</w:t>
      </w:r>
      <w:r>
        <w:br/>
      </w:r>
      <w:r>
        <w:rPr>
          <w:rStyle w:val="VerbatimChar"/>
        </w:rPr>
        <w:t xml:space="preserve">Processed variant 2000</w:t>
      </w:r>
      <w:r>
        <w:br/>
      </w:r>
      <w:r>
        <w:rPr>
          <w:rStyle w:val="VerbatimChar"/>
        </w:rPr>
        <w:t xml:space="preserve">Processed variant: 2622</w:t>
      </w:r>
      <w:r>
        <w:br/>
      </w:r>
      <w:r>
        <w:rPr>
          <w:rStyle w:val="VerbatimChar"/>
        </w:rPr>
        <w:t xml:space="preserve">##  All variants processed</w:t>
      </w:r>
    </w:p>
    <w:p>
      <w:pPr>
        <w:pStyle w:val="SourceCode"/>
      </w:pPr>
      <w:r>
        <w:rPr>
          <w:rStyle w:val="NormalTok"/>
        </w:rPr>
        <w:t xml:space="preserve">chrom </w:t>
      </w:r>
      <w:r>
        <w:rPr>
          <w:rStyle w:val="OtherTok"/>
        </w:rPr>
        <w:t xml:space="preserve">&lt;-</w:t>
      </w:r>
      <w:r>
        <w:rPr>
          <w:rStyle w:val="NormalTok"/>
        </w:rPr>
        <w:t xml:space="preserve"> vcfR</w:t>
      </w:r>
      <w:r>
        <w:rPr>
          <w:rStyle w:val="SpecialCharTok"/>
        </w:rPr>
        <w:t xml:space="preserve">::</w:t>
      </w:r>
      <w:r>
        <w:rPr>
          <w:rStyle w:val="FunctionTok"/>
        </w:rPr>
        <w:t xml:space="preserve">create.chromR</w:t>
      </w:r>
      <w:r>
        <w:rPr>
          <w:rStyle w:val="NormalTok"/>
        </w:rPr>
        <w:t xml:space="preserve">(</w:t>
      </w:r>
      <w:r>
        <w:rPr>
          <w:rStyle w:val="AttributeTok"/>
        </w:rPr>
        <w:t xml:space="preserve">name =</w:t>
      </w:r>
      <w:r>
        <w:rPr>
          <w:rStyle w:val="NormalTok"/>
        </w:rPr>
        <w:t xml:space="preserve"> </w:t>
      </w:r>
      <w:r>
        <w:rPr>
          <w:rStyle w:val="StringTok"/>
        </w:rPr>
        <w:t xml:space="preserve">"Supercontig"</w:t>
      </w:r>
      <w:r>
        <w:rPr>
          <w:rStyle w:val="NormalTok"/>
        </w:rPr>
        <w:t xml:space="preserve">, </w:t>
      </w:r>
      <w:r>
        <w:rPr>
          <w:rStyle w:val="AttributeTok"/>
        </w:rPr>
        <w:t xml:space="preserve">vcf =</w:t>
      </w:r>
      <w:r>
        <w:rPr>
          <w:rStyle w:val="NormalTok"/>
        </w:rPr>
        <w:t xml:space="preserve"> vcf) </w:t>
      </w:r>
      <w:r>
        <w:rPr>
          <w:rStyle w:val="SpecialCharTok"/>
        </w:rPr>
        <w:t xml:space="preserve">|&gt;</w:t>
      </w:r>
      <w:r>
        <w:rPr>
          <w:rStyle w:val="NormalTok"/>
        </w:rPr>
        <w:t xml:space="preserve"> </w:t>
      </w:r>
      <w:r>
        <w:br/>
      </w:r>
      <w:r>
        <w:rPr>
          <w:rStyle w:val="NormalTok"/>
        </w:rPr>
        <w:t xml:space="preserve">  </w:t>
      </w:r>
      <w:r>
        <w:rPr>
          <w:rStyle w:val="CommentTok"/>
        </w:rPr>
        <w:t xml:space="preserve"># removing low quality variants, none of these metrics is reported</w:t>
      </w:r>
      <w:r>
        <w:br/>
      </w:r>
      <w:r>
        <w:rPr>
          <w:rStyle w:val="NormalTok"/>
        </w:rPr>
        <w:t xml:space="preserve">  </w:t>
      </w:r>
      <w:r>
        <w:rPr>
          <w:rStyle w:val="CommentTok"/>
        </w:rPr>
        <w:t xml:space="preserve"># vcfR::masker(min_QUAL = 0, min_DP = 350, max_DP = 650, </w:t>
      </w:r>
      <w:r>
        <w:br/>
      </w:r>
      <w:r>
        <w:rPr>
          <w:rStyle w:val="NormalTok"/>
        </w:rPr>
        <w:t xml:space="preserve">  </w:t>
      </w:r>
      <w:r>
        <w:rPr>
          <w:rStyle w:val="CommentTok"/>
        </w:rPr>
        <w:t xml:space="preserve">#              min_MQ = 59.5, max_MQ = 60.5) |&gt; </w:t>
      </w:r>
      <w:r>
        <w:br/>
      </w:r>
      <w:r>
        <w:rPr>
          <w:rStyle w:val="NormalTok"/>
        </w:rPr>
        <w:t xml:space="preserve">  vcfR</w:t>
      </w:r>
      <w:r>
        <w:rPr>
          <w:rStyle w:val="SpecialCharTok"/>
        </w:rPr>
        <w:t xml:space="preserve">::</w:t>
      </w:r>
      <w:r>
        <w:rPr>
          <w:rStyle w:val="FunctionTok"/>
        </w:rPr>
        <w:t xml:space="preserve">proc.chromR</w:t>
      </w:r>
      <w:r>
        <w:rPr>
          <w:rStyle w:val="NormalTok"/>
        </w:rPr>
        <w:t xml:space="preserve">(</w:t>
      </w:r>
      <w:r>
        <w:rPr>
          <w:rStyle w:val="AttributeTok"/>
        </w:rPr>
        <w:t xml:space="preserve">win.size =</w:t>
      </w:r>
      <w:r>
        <w:rPr>
          <w:rStyle w:val="NormalTok"/>
        </w:rPr>
        <w:t xml:space="preserve"> </w:t>
      </w:r>
      <w:r>
        <w:rPr>
          <w:rStyle w:val="FloatTok"/>
        </w:rPr>
        <w:t xml:space="preserve">1e4</w:t>
      </w:r>
      <w:r>
        <w:rPr>
          <w:rStyle w:val="NormalTok"/>
        </w:rPr>
        <w:t xml:space="preserve">)</w:t>
      </w:r>
    </w:p>
    <w:p>
      <w:pPr>
        <w:pStyle w:val="SourceCode"/>
      </w:pPr>
      <w:r>
        <w:rPr>
          <w:rStyle w:val="VerbatimChar"/>
        </w:rPr>
        <w:t xml:space="preserve">##  Names in vcf:</w:t>
      </w:r>
    </w:p>
    <w:p>
      <w:pPr>
        <w:pStyle w:val="SourceCode"/>
      </w:pPr>
      <w:r>
        <w:rPr>
          <w:rStyle w:val="VerbatimChar"/>
        </w:rPr>
        <w:t xml:space="preserve">##    chr7</w:t>
      </w:r>
    </w:p>
    <w:p>
      <w:pPr>
        <w:pStyle w:val="SourceCode"/>
      </w:pPr>
      <w:r>
        <w:rPr>
          <w:rStyle w:val="VerbatimChar"/>
        </w:rPr>
        <w:t xml:space="preserve">##  Initializing var.info slot.</w:t>
      </w:r>
    </w:p>
    <w:p>
      <w:pPr>
        <w:pStyle w:val="SourceCode"/>
      </w:pPr>
      <w:r>
        <w:rPr>
          <w:rStyle w:val="VerbatimChar"/>
        </w:rPr>
        <w:t xml:space="preserve">##  var.info slot initialized.</w:t>
      </w:r>
    </w:p>
    <w:p>
      <w:pPr>
        <w:pStyle w:val="SourceCode"/>
      </w:pPr>
      <w:r>
        <w:rPr>
          <w:rStyle w:val="VerbatimChar"/>
        </w:rPr>
        <w:t xml:space="preserve">##  Warning in vcfR::proc.chromR(vcfR::create.chromR(name = "Supercontig", vcf =</w:t>
      </w:r>
      <w:r>
        <w:br/>
      </w:r>
      <w:r>
        <w:rPr>
          <w:rStyle w:val="VerbatimChar"/>
        </w:rPr>
        <w:t xml:space="preserve">##  vcf), : seq slot is NULL.</w:t>
      </w:r>
    </w:p>
    <w:p>
      <w:pPr>
        <w:pStyle w:val="SourceCode"/>
      </w:pPr>
      <w:r>
        <w:rPr>
          <w:rStyle w:val="VerbatimChar"/>
        </w:rPr>
        <w:t xml:space="preserve">##  Warning in vcfR::proc.chromR(vcfR::create.chromR(name = "Supercontig", vcf =</w:t>
      </w:r>
      <w:r>
        <w:br/>
      </w:r>
      <w:r>
        <w:rPr>
          <w:rStyle w:val="VerbatimChar"/>
        </w:rPr>
        <w:t xml:space="preserve">##  vcf), : annotation slot has no rows.</w:t>
      </w:r>
    </w:p>
    <w:p>
      <w:pPr>
        <w:pStyle w:val="SourceCode"/>
      </w:pPr>
      <w:r>
        <w:rPr>
          <w:rStyle w:val="VerbatimChar"/>
        </w:rPr>
        <w:t xml:space="preserve">##  Warning in vcfR::proc.chromR(vcfR::create.chromR(name = "Supercontig", vcf =</w:t>
      </w:r>
      <w:r>
        <w:br/>
      </w:r>
      <w:r>
        <w:rPr>
          <w:rStyle w:val="VerbatimChar"/>
        </w:rPr>
        <w:t xml:space="preserve">##  vcf), : seq slot is NULL, chromosome representation not made (seq2rects).</w:t>
      </w:r>
    </w:p>
    <w:p>
      <w:pPr>
        <w:pStyle w:val="SourceCode"/>
      </w:pPr>
      <w:r>
        <w:rPr>
          <w:rStyle w:val="VerbatimChar"/>
        </w:rPr>
        <w:t xml:space="preserve">##  Warning in vcfR::proc.chromR(vcfR::create.chromR(name = "Supercontig", vcf =</w:t>
      </w:r>
      <w:r>
        <w:br/>
      </w:r>
      <w:r>
        <w:rPr>
          <w:rStyle w:val="VerbatimChar"/>
        </w:rPr>
        <w:t xml:space="preserve">##  vcf), : seq slot is NULL, chromosome representation not made (seq2rects,</w:t>
      </w:r>
      <w:r>
        <w:br/>
      </w:r>
      <w:r>
        <w:rPr>
          <w:rStyle w:val="VerbatimChar"/>
        </w:rPr>
        <w:t xml:space="preserve">##  chars=n).</w:t>
      </w:r>
    </w:p>
    <w:p>
      <w:pPr>
        <w:pStyle w:val="SourceCode"/>
      </w:pPr>
      <w:r>
        <w:rPr>
          <w:rStyle w:val="VerbatimChar"/>
        </w:rPr>
        <w:t xml:space="preserve">##  Population summary complete.</w:t>
      </w:r>
    </w:p>
    <w:p>
      <w:pPr>
        <w:pStyle w:val="SourceCode"/>
      </w:pPr>
      <w:r>
        <w:rPr>
          <w:rStyle w:val="VerbatimChar"/>
        </w:rPr>
        <w:t xml:space="preserve">##    elapsed time:  103.908</w:t>
      </w:r>
    </w:p>
    <w:p>
      <w:pPr>
        <w:pStyle w:val="SourceCode"/>
      </w:pPr>
      <w:r>
        <w:rPr>
          <w:rStyle w:val="VerbatimChar"/>
        </w:rPr>
        <w:t xml:space="preserve">##  window_init complete.</w:t>
      </w:r>
    </w:p>
    <w:p>
      <w:pPr>
        <w:pStyle w:val="SourceCode"/>
      </w:pPr>
      <w:r>
        <w:rPr>
          <w:rStyle w:val="VerbatimChar"/>
        </w:rPr>
        <w:t xml:space="preserve">##    elapsed time:  0.003</w:t>
      </w:r>
    </w:p>
    <w:p>
      <w:pPr>
        <w:pStyle w:val="SourceCode"/>
      </w:pPr>
      <w:r>
        <w:rPr>
          <w:rStyle w:val="VerbatimChar"/>
        </w:rPr>
        <w:t xml:space="preserve">##  Warning in vcfR::proc.chromR(vcfR::create.chromR(name = "Supercontig", vcf =</w:t>
      </w:r>
      <w:r>
        <w:br/>
      </w:r>
      <w:r>
        <w:rPr>
          <w:rStyle w:val="VerbatimChar"/>
        </w:rPr>
        <w:t xml:space="preserve">##  vcf), : seq slot is NULL, windowize_fasta not run.</w:t>
      </w:r>
    </w:p>
    <w:p>
      <w:pPr>
        <w:pStyle w:val="SourceCode"/>
      </w:pPr>
      <w:r>
        <w:rPr>
          <w:rStyle w:val="VerbatimChar"/>
        </w:rPr>
        <w:t xml:space="preserve">##  Warning in vcfR::proc.chromR(vcfR::create.chromR(name = "Supercontig", vcf =</w:t>
      </w:r>
      <w:r>
        <w:br/>
      </w:r>
      <w:r>
        <w:rPr>
          <w:rStyle w:val="VerbatimChar"/>
        </w:rPr>
        <w:t xml:space="preserve">##  vcf), : ann slot has zero rows.</w:t>
      </w:r>
    </w:p>
    <w:p>
      <w:pPr>
        <w:pStyle w:val="SourceCode"/>
      </w:pPr>
      <w:r>
        <w:rPr>
          <w:rStyle w:val="VerbatimChar"/>
        </w:rPr>
        <w:t xml:space="preserve">##  windowize_variants complete.</w:t>
      </w:r>
    </w:p>
    <w:p>
      <w:pPr>
        <w:pStyle w:val="SourceCode"/>
      </w:pPr>
      <w:r>
        <w:rPr>
          <w:rStyle w:val="VerbatimChar"/>
        </w:rPr>
        <w:t xml:space="preserve">##    elapsed time:  0.002</w:t>
      </w:r>
    </w:p>
    <w:bookmarkEnd w:id="188"/>
    <w:bookmarkStart w:id="198" w:name="vcf-files-qc"/>
    <w:p>
      <w:pPr>
        <w:pStyle w:val="Heading3"/>
      </w:pPr>
      <w:r>
        <w:t xml:space="preserve">2.2.2 VCF files QC</w:t>
      </w:r>
    </w:p>
    <w:p>
      <w:pPr>
        <w:pStyle w:val="SourceCode"/>
      </w:pPr>
      <w:r>
        <w:rPr>
          <w:rStyle w:val="NormalTok"/>
        </w:rPr>
        <w:t xml:space="preserve">vcfR</w:t>
      </w:r>
      <w:r>
        <w:rPr>
          <w:rStyle w:val="SpecialCharTok"/>
        </w:rPr>
        <w:t xml:space="preserve">::</w:t>
      </w:r>
      <w:r>
        <w:rPr>
          <w:rStyle w:val="FunctionTok"/>
        </w:rPr>
        <w:t xml:space="preserve">chromoqc</w:t>
      </w:r>
      <w:r>
        <w:rPr>
          <w:rStyle w:val="NormalTok"/>
        </w:rPr>
        <w:t xml:space="preserve">(chrom, </w:t>
      </w:r>
      <w:r>
        <w:rPr>
          <w:rStyle w:val="AttributeTok"/>
        </w:rPr>
        <w:t xml:space="preserve">dp.alpha =</w:t>
      </w:r>
      <w:r>
        <w:rPr>
          <w:rStyle w:val="NormalTok"/>
        </w:rPr>
        <w:t xml:space="preserve"> </w:t>
      </w:r>
      <w:r>
        <w:rPr>
          <w:rStyle w:val="DecValTok"/>
        </w:rPr>
        <w:t xml:space="preserve">22</w:t>
      </w:r>
      <w:r>
        <w:rPr>
          <w:rStyle w:val="NormalTok"/>
        </w:rPr>
        <w:t xml:space="preserve">,</w:t>
      </w:r>
      <w:r>
        <w:br/>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FunctionTok"/>
        </w:rPr>
        <w:t xml:space="preserve">min</w:t>
      </w:r>
      <w:r>
        <w:rPr>
          <w:rStyle w:val="NormalTok"/>
        </w:rPr>
        <w:t xml:space="preserve">(chrom</w:t>
      </w:r>
      <w:r>
        <w:rPr>
          <w:rStyle w:val="SpecialCharTok"/>
        </w:rPr>
        <w:t xml:space="preserve">@</w:t>
      </w:r>
      <w:r>
        <w:rPr>
          <w:rStyle w:val="NormalTok"/>
        </w:rPr>
        <w:t xml:space="preserve">var.info</w:t>
      </w:r>
      <w:r>
        <w:rPr>
          <w:rStyle w:val="SpecialCharTok"/>
        </w:rPr>
        <w:t xml:space="preserve">$</w:t>
      </w:r>
      <w:r>
        <w:rPr>
          <w:rStyle w:val="NormalTok"/>
        </w:rPr>
        <w:t xml:space="preserve">POS), </w:t>
      </w:r>
      <w:r>
        <w:rPr>
          <w:rStyle w:val="FunctionTok"/>
        </w:rPr>
        <w:t xml:space="preserve">max</w:t>
      </w:r>
      <w:r>
        <w:rPr>
          <w:rStyle w:val="NormalTok"/>
        </w:rPr>
        <w:t xml:space="preserve">(chrom</w:t>
      </w:r>
      <w:r>
        <w:rPr>
          <w:rStyle w:val="SpecialCharTok"/>
        </w:rPr>
        <w:t xml:space="preserve">@</w:t>
      </w:r>
      <w:r>
        <w:rPr>
          <w:rStyle w:val="NormalTok"/>
        </w:rPr>
        <w:t xml:space="preserve">var.info</w:t>
      </w:r>
      <w:r>
        <w:rPr>
          <w:rStyle w:val="SpecialCharTok"/>
        </w:rPr>
        <w:t xml:space="preserve">$</w:t>
      </w:r>
      <w:r>
        <w:rPr>
          <w:rStyle w:val="NormalTok"/>
        </w:rPr>
        <w:t xml:space="preserve">POS)))</w:t>
      </w:r>
      <w:r>
        <w:br/>
      </w:r>
      <w:r>
        <w:br/>
      </w:r>
      <w:r>
        <w:rPr>
          <w:rStyle w:val="FunctionTok"/>
        </w:rPr>
        <w:t xml:space="preserve">plot</w:t>
      </w:r>
      <w:r>
        <w:rPr>
          <w:rStyle w:val="NormalTok"/>
        </w:rPr>
        <w:t xml:space="preserve">(chrom)</w:t>
      </w:r>
    </w:p>
    <w:tbl>
      <w:tblPr>
        <w:tblStyle w:val="Table"/>
        <w:tblW w:type="pct" w:w="5000"/>
        <w:tblLayout w:type="fixed"/>
        <w:tblLook w:firstRow="0" w:lastRow="0" w:firstColumn="0" w:lastColumn="0" w:noHBand="0" w:noVBand="0" w:val="0000"/>
      </w:tblPr>
      <w:tblGrid>
        <w:gridCol w:w="7920"/>
      </w:tblGrid>
      <w:tr>
        <w:tc>
          <w:tcPr/>
          <w:bookmarkStart w:id="192" w:name="fig-plot-qc-per-chrom-1"/>
          <w:p>
            <w:pPr>
              <w:pStyle w:val="Compact"/>
              <w:jc w:val="center"/>
            </w:pPr>
            <w:r>
              <w:drawing>
                <wp:inline>
                  <wp:extent cx="4620126" cy="3696101"/>
                  <wp:effectExtent b="0" l="0" r="0" t="0"/>
                  <wp:docPr descr="" title="" id="190" name="Picture"/>
                  <a:graphic>
                    <a:graphicData uri="http://schemas.openxmlformats.org/drawingml/2006/picture">
                      <pic:pic>
                        <pic:nvPicPr>
                          <pic:cNvPr descr="CARTaGENE-sample-size_files/figure-docx/fig-plot-qc-per-chrom-1.png" id="191" name="Picture"/>
                          <pic:cNvPicPr>
                            <a:picLocks noChangeArrowheads="1" noChangeAspect="1"/>
                          </pic:cNvPicPr>
                        </pic:nvPicPr>
                        <pic:blipFill>
                          <a:blip r:embed="rId18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Quality control per chrosomsome, for a given variant.</w:t>
            </w:r>
          </w:p>
          <w:bookmarkEnd w:id="192"/>
        </w:tc>
      </w:tr>
    </w:tbl>
    <w:tbl>
      <w:tblPr>
        <w:tblStyle w:val="Table"/>
        <w:tblW w:type="pct" w:w="5000"/>
        <w:tblLayout w:type="fixed"/>
        <w:tblLook w:firstRow="0" w:lastRow="0" w:firstColumn="0" w:lastColumn="0" w:noHBand="0" w:noVBand="0" w:val="0000"/>
      </w:tblPr>
      <w:tblGrid>
        <w:gridCol w:w="7920"/>
      </w:tblGrid>
      <w:tr>
        <w:tc>
          <w:tcPr/>
          <w:bookmarkStart w:id="196" w:name="fig-plot-qc-per-chrom-2"/>
          <w:p>
            <w:pPr>
              <w:pStyle w:val="Compact"/>
              <w:jc w:val="center"/>
            </w:pPr>
            <w:r>
              <w:drawing>
                <wp:inline>
                  <wp:extent cx="4620126" cy="3696101"/>
                  <wp:effectExtent b="0" l="0" r="0" t="0"/>
                  <wp:docPr descr="" title="" id="194" name="Picture"/>
                  <a:graphic>
                    <a:graphicData uri="http://schemas.openxmlformats.org/drawingml/2006/picture">
                      <pic:pic>
                        <pic:nvPicPr>
                          <pic:cNvPr descr="CARTaGENE-sample-size_files/figure-docx/fig-plot-qc-per-chrom-2.png" id="195" name="Picture"/>
                          <pic:cNvPicPr>
                            <a:picLocks noChangeArrowheads="1" noChangeAspect="1"/>
                          </pic:cNvPicPr>
                        </pic:nvPicPr>
                        <pic:blipFill>
                          <a:blip r:embed="rId19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2.2: Quality control per chrosomsome, for a given variant.</w:t>
            </w:r>
          </w:p>
          <w:bookmarkEnd w:id="196"/>
        </w:tc>
      </w:tr>
    </w:tbl>
    <w:p>
      <w:pPr>
        <w:pStyle w:val="BodyText"/>
      </w:pPr>
      <w:r>
        <w:rPr>
          <w:b/>
          <w:bCs/>
        </w:rPr>
        <w:t xml:space="preserve">?@fig-plot-qc-per-chrom</w:t>
      </w:r>
      <w:r>
        <w:t xml:space="preserve"> </w:t>
      </w:r>
      <w:r>
        <w:t xml:space="preserve">is a</w:t>
      </w:r>
      <w:r>
        <w:t xml:space="preserve"> </w:t>
      </w:r>
      <w:r>
        <w:rPr>
          <w:b/>
          <w:bCs/>
        </w:rPr>
        <w:t xml:space="preserve">chromo plot</w:t>
      </w:r>
      <w:r>
        <w:t xml:space="preserve">:</w:t>
      </w:r>
    </w:p>
    <w:p>
      <w:pPr>
        <w:pStyle w:val="Compact"/>
        <w:numPr>
          <w:ilvl w:val="0"/>
          <w:numId w:val="1055"/>
        </w:numPr>
      </w:pPr>
      <w:r>
        <w:rPr>
          <w:b/>
          <w:bCs/>
        </w:rPr>
        <w:t xml:space="preserve">Annotation data</w:t>
      </w:r>
      <w:r>
        <w:t xml:space="preserve"> </w:t>
      </w:r>
      <w:r>
        <w:t xml:space="preserve">on the lowest plot. Features in the annotation file (e.g., gene models, exons, etc.) are represented as dark red rectangles.</w:t>
      </w:r>
    </w:p>
    <w:p>
      <w:pPr>
        <w:pStyle w:val="Compact"/>
        <w:numPr>
          <w:ilvl w:val="0"/>
          <w:numId w:val="1055"/>
        </w:numPr>
      </w:pPr>
      <w:r>
        <w:t xml:space="preserve">Above is a</w:t>
      </w:r>
      <w:r>
        <w:t xml:space="preserve"> </w:t>
      </w:r>
      <w:r>
        <w:rPr>
          <w:b/>
          <w:bCs/>
        </w:rPr>
        <w:t xml:space="preserve">sequence track</w:t>
      </w:r>
      <w:r>
        <w:t xml:space="preserve">, with</w:t>
      </w:r>
      <w:r>
        <w:t xml:space="preserve"> </w:t>
      </w:r>
      <w:r>
        <w:rPr>
          <w:color w:val="green"/>
        </w:rPr>
        <w:t>
          <w:r>
            <w:t xml:space="preserve">nucleotides in green</w:t>
          </w:r>
        </w:t>
      </w:r>
      <w:r>
        <w:t xml:space="preserve"> </w:t>
      </w:r>
      <w:r>
        <w:t xml:space="preserve">while</w:t>
      </w:r>
      <w:r>
        <w:t xml:space="preserve"> </w:t>
      </w:r>
      <w:r>
        <w:rPr>
          <w:color w:val="red"/>
        </w:rPr>
        <w:t>
          <w:r>
            <w:t xml:space="preserve">uncalled nucleotides are in red</w:t>
          </w:r>
        </w:t>
      </w:r>
      <w:r>
        <w:t xml:space="preserve">.</w:t>
      </w:r>
    </w:p>
    <w:p>
      <w:pPr>
        <w:pStyle w:val="Compact"/>
        <w:numPr>
          <w:ilvl w:val="0"/>
          <w:numId w:val="1055"/>
        </w:numPr>
      </w:pPr>
      <w:r>
        <w:t xml:space="preserve">Last track summarizes the number of variants per window. Above that we see dot plots for quality, mapping quality and read depth.</w:t>
      </w:r>
    </w:p>
    <w:p>
      <w:pPr>
        <w:pStyle w:val="Compact"/>
        <w:numPr>
          <w:ilvl w:val="0"/>
          <w:numId w:val="1055"/>
        </w:numPr>
      </w:pPr>
      <w:r>
        <w:t xml:space="preserve">Generated with</w:t>
      </w:r>
      <w:r>
        <w:t xml:space="preserve"> </w:t>
      </w:r>
      <w:hyperlink r:id="rId197">
        <w:r>
          <w:rPr>
            <w:rStyle w:val="Hyperlink"/>
          </w:rPr>
          <w:t xml:space="preserve">Visualizing VCF data 1</w:t>
        </w:r>
      </w:hyperlink>
    </w:p>
    <w:bookmarkEnd w:id="198"/>
    <w:bookmarkStart w:id="212" w:name="maf-histogram-distribution"/>
    <w:p>
      <w:pPr>
        <w:pStyle w:val="Heading3"/>
      </w:pPr>
      <w:r>
        <w:t xml:space="preserve">2.2.3 MAF histogram distribution</w:t>
      </w:r>
    </w:p>
    <w:p>
      <w:pPr>
        <w:pStyle w:val="FirstParagraph"/>
      </w:pPr>
      <w:r>
        <w:t xml:space="preserve">Main</w:t>
      </w:r>
      <w:r>
        <w:t xml:space="preserve"> </w:t>
      </w:r>
      <w:hyperlink r:id="rId199">
        <w:r>
          <w:rPr>
            <w:rStyle w:val="VerbatimChar"/>
          </w:rPr>
          <w:t xml:space="preserve">tidy vcfR</w:t>
        </w:r>
      </w:hyperlink>
      <w:r>
        <w:t xml:space="preserve"> </w:t>
      </w:r>
      <w:r>
        <w:t xml:space="preserve">instructions.</w:t>
      </w:r>
    </w:p>
    <w:p>
      <w:pPr>
        <w:pStyle w:val="SourceCode"/>
      </w:pPr>
      <w:r>
        <w:rPr>
          <w:rStyle w:val="NormalTok"/>
        </w:rPr>
        <w:t xml:space="preserve">vcf_tidy </w:t>
      </w:r>
      <w:r>
        <w:rPr>
          <w:rStyle w:val="OtherTok"/>
        </w:rPr>
        <w:t xml:space="preserve">&lt;-</w:t>
      </w:r>
      <w:r>
        <w:rPr>
          <w:rStyle w:val="NormalTok"/>
        </w:rPr>
        <w:t xml:space="preserve"> vcfR</w:t>
      </w:r>
      <w:r>
        <w:rPr>
          <w:rStyle w:val="SpecialCharTok"/>
        </w:rPr>
        <w:t xml:space="preserve">::</w:t>
      </w:r>
      <w:r>
        <w:rPr>
          <w:rStyle w:val="FunctionTok"/>
        </w:rPr>
        <w:t xml:space="preserve">vcfR2tidy</w:t>
      </w:r>
      <w:r>
        <w:rPr>
          <w:rStyle w:val="NormalTok"/>
        </w:rPr>
        <w:t xml:space="preserve">(vcf)</w:t>
      </w:r>
      <w:r>
        <w:br/>
      </w:r>
      <w:r>
        <w:rPr>
          <w:rStyle w:val="NormalTok"/>
        </w:rPr>
        <w:t xml:space="preserve">vcfR</w:t>
      </w:r>
      <w:r>
        <w:rPr>
          <w:rStyle w:val="SpecialCharTok"/>
        </w:rPr>
        <w:t xml:space="preserve">::</w:t>
      </w:r>
      <w:r>
        <w:rPr>
          <w:rStyle w:val="FunctionTok"/>
        </w:rPr>
        <w:t xml:space="preserve">vcf_field_names</w:t>
      </w:r>
      <w:r>
        <w:rPr>
          <w:rStyle w:val="NormalTok"/>
        </w:rPr>
        <w:t xml:space="preserve">(vcf, </w:t>
      </w:r>
      <w:r>
        <w:rPr>
          <w:rStyle w:val="AttributeTok"/>
        </w:rPr>
        <w:t xml:space="preserve">tag =</w:t>
      </w:r>
      <w:r>
        <w:rPr>
          <w:rStyle w:val="NormalTok"/>
        </w:rPr>
        <w:t xml:space="preserve"> </w:t>
      </w:r>
      <w:r>
        <w:rPr>
          <w:rStyle w:val="StringTok"/>
        </w:rPr>
        <w:t xml:space="preserve">"INFO"</w:t>
      </w:r>
      <w:r>
        <w:rPr>
          <w:rStyle w:val="NormalTok"/>
        </w:rPr>
        <w:t xml:space="preserve">)</w:t>
      </w:r>
      <w:r>
        <w:br/>
      </w:r>
      <w:r>
        <w:rPr>
          <w:rStyle w:val="NormalTok"/>
        </w:rPr>
        <w:t xml:space="preserve">vcfR</w:t>
      </w:r>
      <w:r>
        <w:rPr>
          <w:rStyle w:val="SpecialCharTok"/>
        </w:rPr>
        <w:t xml:space="preserve">::</w:t>
      </w:r>
      <w:r>
        <w:rPr>
          <w:rStyle w:val="FunctionTok"/>
        </w:rPr>
        <w:t xml:space="preserve">vcf_field_names</w:t>
      </w:r>
      <w:r>
        <w:rPr>
          <w:rStyle w:val="NormalTok"/>
        </w:rPr>
        <w:t xml:space="preserve">(vcf, </w:t>
      </w:r>
      <w:r>
        <w:rPr>
          <w:rStyle w:val="AttributeTok"/>
        </w:rPr>
        <w:t xml:space="preserve">tag =</w:t>
      </w:r>
      <w:r>
        <w:rPr>
          <w:rStyle w:val="NormalTok"/>
        </w:rPr>
        <w:t xml:space="preserve"> </w:t>
      </w:r>
      <w:r>
        <w:rPr>
          <w:rStyle w:val="StringTok"/>
        </w:rPr>
        <w:t xml:space="preserve">"FORMAT"</w:t>
      </w:r>
      <w:r>
        <w:rPr>
          <w:rStyle w:val="NormalTok"/>
        </w:rPr>
        <w:t xml:space="preserve">)</w:t>
      </w:r>
    </w:p>
    <w:bookmarkStart w:id="200" w:name="tbl-vcf-tidy-format"/>
    <w:tbl>
      <w:tblPr>
        <w:tblStyle w:val="Table"/>
        <w:tblW w:type="pct" w:w="4900"/>
        <w:tblLayout w:type="fixed"/>
        <w:tblLook w:firstRow="0" w:lastRow="0" w:firstColumn="0" w:lastColumn="0" w:noHBand="0" w:noVBand="0" w:val="0000"/>
      </w:tblPr>
      <w:tblGrid>
        <w:gridCol w:w="3880"/>
        <w:gridCol w:w="3880"/>
      </w:tblGrid>
      <w:tr>
        <w:tc>
          <w:tcPr/>
          <w:p>
            <w:pPr>
              <w:pStyle w:val="SourceCode"/>
              <w:jc w:val="center"/>
            </w:pPr>
            <w:r>
              <w:rPr>
                <w:rStyle w:val="VerbatimChar"/>
              </w:rPr>
              <w:t xml:space="preserve">##  # A tibble: 3 × 5</w:t>
            </w:r>
            <w:r>
              <w:br/>
            </w:r>
            <w:r>
              <w:rPr>
                <w:rStyle w:val="VerbatimChar"/>
              </w:rPr>
              <w:t xml:space="preserve">##    Tag   ID         Number Type  Description                         </w:t>
            </w:r>
            <w:r>
              <w:br/>
            </w:r>
            <w:r>
              <w:rPr>
                <w:rStyle w:val="VerbatimChar"/>
              </w:rPr>
              <w:t xml:space="preserve">##    &lt;chr&gt; &lt;chr&gt;      &lt;chr&gt;  &lt;chr&gt; &lt;chr&gt;                               </w:t>
            </w:r>
            <w:r>
              <w:br/>
            </w:r>
            <w:r>
              <w:rPr>
                <w:rStyle w:val="VerbatimChar"/>
              </w:rPr>
              <w:t xml:space="preserve">##  1 INFO  IMPUTED    0      Flag  Marker was imputed but NOT genotyped</w:t>
            </w:r>
            <w:r>
              <w:br/>
            </w:r>
            <w:r>
              <w:rPr>
                <w:rStyle w:val="VerbatimChar"/>
              </w:rPr>
              <w:t xml:space="preserve">##  2 INFO  TYPED      0      Flag  Marker was genotyped AND imputed    </w:t>
            </w:r>
            <w:r>
              <w:br/>
            </w:r>
            <w:r>
              <w:rPr>
                <w:rStyle w:val="VerbatimChar"/>
              </w:rPr>
              <w:t xml:space="preserve">##  3 INFO  TYPED_ONLY 0      Flag  Marker was genotyped but NOT imputed</w:t>
            </w:r>
          </w:p>
        </w:tc>
        <w:tc>
          <w:tcPr/>
          <w:p>
            <w:pPr>
              <w:pStyle w:val="SourceCode"/>
              <w:jc w:val="center"/>
            </w:pPr>
            <w:r>
              <w:rPr>
                <w:rStyle w:val="VerbatimChar"/>
              </w:rPr>
              <w:t xml:space="preserve">##  # A tibble: 4 × 5</w:t>
            </w:r>
            <w:r>
              <w:br/>
            </w:r>
            <w:r>
              <w:rPr>
                <w:rStyle w:val="VerbatimChar"/>
              </w:rPr>
              <w:t xml:space="preserve">##    Tag    ID    Number Type   Description                                     </w:t>
            </w:r>
            <w:r>
              <w:br/>
            </w:r>
            <w:r>
              <w:rPr>
                <w:rStyle w:val="VerbatimChar"/>
              </w:rPr>
              <w:t xml:space="preserve">##    &lt;chr&gt;  &lt;chr&gt; &lt;chr&gt;  &lt;chr&gt;  &lt;chr&gt;                                           </w:t>
            </w:r>
            <w:r>
              <w:br/>
            </w:r>
            <w:r>
              <w:rPr>
                <w:rStyle w:val="VerbatimChar"/>
              </w:rPr>
              <w:t xml:space="preserve">##  1 FORMAT GT    1      String Genotype                                        </w:t>
            </w:r>
            <w:r>
              <w:br/>
            </w:r>
            <w:r>
              <w:rPr>
                <w:rStyle w:val="VerbatimChar"/>
              </w:rPr>
              <w:t xml:space="preserve">##  2 FORMAT DS    1      Float  Estimated Alternate Allele Dosage : [P(0/1)+2*P…</w:t>
            </w:r>
            <w:r>
              <w:br/>
            </w:r>
            <w:r>
              <w:rPr>
                <w:rStyle w:val="VerbatimChar"/>
              </w:rPr>
              <w:t xml:space="preserve">##  3 FORMAT HDS   2      Float  Estimated Haploid Alternate Allele Dosage       </w:t>
            </w:r>
            <w:r>
              <w:br/>
            </w:r>
            <w:r>
              <w:rPr>
                <w:rStyle w:val="VerbatimChar"/>
              </w:rPr>
              <w:t xml:space="preserve">##  4 FORMAT GP    3      Float  Estimated Posterior Probabilities for Genotypes…</w:t>
            </w:r>
          </w:p>
        </w:tc>
      </w:tr>
    </w:tbl>
    <w:p>
      <w:pPr>
        <w:pStyle w:val="FirstParagraph"/>
      </w:pPr>
      <w:pPr>
        <w:spacing w:before="200"/>
        <w:pStyle w:val="ImageCaption"/>
      </w:pPr>
      <w:r>
        <w:t xml:space="preserve">Table 2.1: VCF annotations and descriptions.</w:t>
      </w:r>
    </w:p>
    <w:bookmarkEnd w:id="200"/>
    <w:p>
      <w:pPr>
        <w:pStyle w:val="BodyText"/>
      </w:pPr>
      <w:r>
        <w:rPr>
          <w:b/>
          <w:bCs/>
        </w:rPr>
        <w:t xml:space="preserve">Minor allele frequency (MAF)</w:t>
      </w:r>
      <w:r>
        <w:t xml:space="preserve"> </w:t>
      </w:r>
      <w:r>
        <w:t xml:space="preserve">for a given variant can be computed from</w:t>
      </w:r>
      <w:r>
        <w:t xml:space="preserve"> </w:t>
      </w:r>
      <w:r>
        <w:rPr>
          <w:b/>
          <w:bCs/>
        </w:rPr>
        <w:t xml:space="preserve">DS (Estimated Alternate Allele Dosage)</w:t>
      </w:r>
      <w:r>
        <w:t xml:space="preserve">,</w:t>
      </w:r>
      <w:r>
        <w:t xml:space="preserve"> </w:t>
      </w:r>
      <w:r>
        <w:rPr>
          <w:b/>
          <w:bCs/>
        </w:rPr>
        <w:t xml:space="preserve">HDS (Haploid Dosage)</w:t>
      </w:r>
      <w:r>
        <w:t xml:space="preserve">, or</w:t>
      </w:r>
      <w:r>
        <w:t xml:space="preserve"> </w:t>
      </w:r>
      <w:r>
        <w:rPr>
          <w:b/>
          <w:bCs/>
        </w:rPr>
        <w:t xml:space="preserve">GP</w:t>
      </w:r>
      <w:r>
        <w:t xml:space="preserve"> </w:t>
      </w:r>
      <w:r>
        <w:t xml:space="preserve">(Posterior Probabilities for Genotypes), as reported in</w:t>
      </w:r>
      <w:r>
        <w:t xml:space="preserve"> </w:t>
      </w:r>
      <w:hyperlink w:anchor="tbl-MAF-formula">
        <w:r>
          <w:rPr>
            <w:rStyle w:val="Hyperlink"/>
          </w:rPr>
          <w:t xml:space="preserve">Table 2.2</w:t>
        </w:r>
      </w:hyperlink>
      <w:r>
        <w:t xml:space="preserve">, and the corresponding MAF tables and abundancies are reported in</w:t>
      </w:r>
      <w:r>
        <w:t xml:space="preserve"> </w:t>
      </w:r>
      <w:hyperlink w:anchor="tbl-MAF-estimation">
        <w:r>
          <w:rPr>
            <w:rStyle w:val="Hyperlink"/>
          </w:rPr>
          <w:t xml:space="preserve">Table 2.3</w:t>
        </w:r>
      </w:hyperlink>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02" name="Picture"/>
                  <a:graphic>
                    <a:graphicData uri="http://schemas.openxmlformats.org/drawingml/2006/picture">
                      <pic:pic>
                        <pic:nvPicPr>
                          <pic:cNvPr descr="/opt/quarto/share/formats/docx/tip.png" id="203" name="Picture"/>
                          <pic:cNvPicPr>
                            <a:picLocks noChangeArrowheads="1" noChangeAspect="1"/>
                          </pic:cNvPicPr>
                        </pic:nvPicPr>
                        <pic:blipFill>
                          <a:blip r:embed="rId20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 2.1: Computation of the MAF score</w:t>
            </w:r>
          </w:p>
        </w:tc>
      </w:tr>
      <w:tr>
        <w:trPr>
          <w:cantSplit/>
        </w:trPr>
        <w:tc>
          <w:tcPr>
            <w:tcMar>
              <w:top w:w="108" w:type="dxa"/>
              <w:bottom w:w="108" w:type="dxa"/>
            </w:tcMar>
          </w:tcPr>
          <w:tbl>
            <w:tblPr>
              <w:tblStyle w:val="Table"/>
              <w:tblW w:type="pct" w:w="5000"/>
              <w:tblLayout w:type="fixed"/>
              <w:tblLook w:firstRow="0" w:lastRow="0" w:firstColumn="0" w:lastColumn="0" w:noHBand="0" w:noVBand="0" w:val="0000"/>
            </w:tblPr>
            <w:tblGrid>
              <w:gridCol w:w="7920"/>
            </w:tblGrid>
            <w:tr>
              <w:tc>
                <w:tcPr/>
                <w:bookmarkStart w:id="204" w:name="tbl-MAF-formula"/>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jc w:val="center"/>
                        </w:pPr>
                        <w:r>
                          <w:t xml:space="preserve">Source</w:t>
                        </w:r>
                      </w:p>
                    </w:tc>
                    <w:tc>
                      <w:tcPr/>
                      <w:p>
                        <w:pPr>
                          <w:pStyle w:val="Compact"/>
                          <w:jc w:val="left"/>
                          <w:jc w:val="center"/>
                        </w:pPr>
                        <w:r>
                          <w:t xml:space="preserve">How to compute AF</w:t>
                        </w:r>
                      </w:p>
                    </w:tc>
                    <w:tc>
                      <w:tcPr/>
                      <w:p>
                        <w:pPr>
                          <w:pStyle w:val="Compact"/>
                          <w:jc w:val="left"/>
                          <w:jc w:val="center"/>
                        </w:pPr>
                        <w:r>
                          <w:t xml:space="preserve">Then MAF</w:t>
                        </w:r>
                      </w:p>
                    </w:tc>
                  </w:tr>
                  <w:tr>
                    <w:tc>
                      <w:tcPr/>
                      <w:p>
                        <w:pPr>
                          <w:pStyle w:val="Compact"/>
                          <w:jc w:val="left"/>
                          <w:jc w:val="center"/>
                        </w:pPr>
                        <w:r>
                          <w:t xml:space="preserve">DS</w:t>
                        </w:r>
                      </w:p>
                    </w:tc>
                    <w:tc>
                      <w:tcPr/>
                      <w:p>
                        <w:pPr>
                          <w:pStyle w:val="Compact"/>
                          <w:jc w:val="left"/>
                          <w:jc w:val="center"/>
                        </w:pPr>
                        <m:oMath>
                          <m:f>
                            <m:fPr>
                              <m:type m:val="bar"/>
                            </m:fPr>
                            <m:num>
                              <m:r>
                                <m:rPr>
                                  <m:sty m:val="p"/>
                                </m:rPr>
                                <m:t>∑</m:t>
                              </m:r>
                              <m:r>
                                <m:t>D</m:t>
                              </m:r>
                              <m:r>
                                <m:t>S</m:t>
                              </m:r>
                            </m:num>
                            <m:den>
                              <m:r>
                                <m:t>2</m:t>
                              </m:r>
                              <m:r>
                                <m:t>N</m:t>
                              </m:r>
                            </m:den>
                          </m:f>
                        </m:oMath>
                      </w:p>
                    </w:tc>
                    <w:tc>
                      <w:tcPr/>
                      <w:p>
                        <w:pPr>
                          <w:pStyle w:val="Compact"/>
                          <w:jc w:val="left"/>
                          <w:jc w:val="center"/>
                        </w:pPr>
                        <m:oMath>
                          <m:r>
                            <m:rPr>
                              <m:sty m:val="p"/>
                            </m:rPr>
                            <m:t>min</m:t>
                          </m:r>
                          <m:d>
                            <m:dPr>
                              <m:begChr m:val="("/>
                              <m:endChr m:val=")"/>
                              <m:sepChr m:val=""/>
                              <m:grow/>
                            </m:dPr>
                            <m:e>
                              <m:r>
                                <m:t>A</m:t>
                              </m:r>
                              <m:r>
                                <m:t>F</m:t>
                              </m:r>
                              <m:r>
                                <m:rPr>
                                  <m:sty m:val="p"/>
                                </m:rPr>
                                <m:t>,</m:t>
                              </m:r>
                              <m:r>
                                <m:t>1</m:t>
                              </m:r>
                              <m:r>
                                <m:rPr>
                                  <m:sty m:val="p"/>
                                </m:rPr>
                                <m:t>−</m:t>
                              </m:r>
                              <m:r>
                                <m:t>A</m:t>
                              </m:r>
                              <m:r>
                                <m:t>F</m:t>
                              </m:r>
                            </m:e>
                          </m:d>
                        </m:oMath>
                      </w:p>
                    </w:tc>
                  </w:tr>
                  <w:tr>
                    <w:tc>
                      <w:tcPr/>
                      <w:p>
                        <w:pPr>
                          <w:pStyle w:val="Compact"/>
                          <w:jc w:val="left"/>
                          <w:jc w:val="center"/>
                        </w:pPr>
                        <w:r>
                          <w:t xml:space="preserve">HDS</w:t>
                        </w:r>
                      </w:p>
                    </w:tc>
                    <w:tc>
                      <w:tcPr/>
                      <w:p>
                        <w:pPr>
                          <w:pStyle w:val="Compact"/>
                          <w:jc w:val="left"/>
                          <w:jc w:val="center"/>
                        </w:pPr>
                        <m:oMath>
                          <m:f>
                            <m:fPr>
                              <m:type m:val="bar"/>
                            </m:fPr>
                            <m:num>
                              <m:r>
                                <m:rPr>
                                  <m:sty m:val="p"/>
                                </m:rPr>
                                <m:t>∑</m:t>
                              </m:r>
                              <m:r>
                                <m:t>H</m:t>
                              </m:r>
                              <m:r>
                                <m:t>D</m:t>
                              </m:r>
                              <m:r>
                                <m:t>S</m:t>
                              </m:r>
                            </m:num>
                            <m:den>
                              <m:r>
                                <m:t>2</m:t>
                              </m:r>
                              <m:r>
                                <m:t>N</m:t>
                              </m:r>
                            </m:den>
                          </m:f>
                        </m:oMath>
                      </w:p>
                    </w:tc>
                    <w:tc>
                      <w:tcPr/>
                      <w:p>
                        <w:pPr>
                          <w:pStyle w:val="Compact"/>
                          <w:jc w:val="left"/>
                          <w:jc w:val="center"/>
                        </w:pPr>
                        <m:oMath>
                          <m:r>
                            <m:rPr>
                              <m:sty m:val="p"/>
                            </m:rPr>
                            <m:t>min</m:t>
                          </m:r>
                          <m:d>
                            <m:dPr>
                              <m:begChr m:val="("/>
                              <m:endChr m:val=")"/>
                              <m:sepChr m:val=""/>
                              <m:grow/>
                            </m:dPr>
                            <m:e>
                              <m:r>
                                <m:t>A</m:t>
                              </m:r>
                              <m:r>
                                <m:t>F</m:t>
                              </m:r>
                              <m:r>
                                <m:rPr>
                                  <m:sty m:val="p"/>
                                </m:rPr>
                                <m:t>,</m:t>
                              </m:r>
                              <m:r>
                                <m:t>1</m:t>
                              </m:r>
                              <m:r>
                                <m:rPr>
                                  <m:sty m:val="p"/>
                                </m:rPr>
                                <m:t>−</m:t>
                              </m:r>
                              <m:r>
                                <m:t>A</m:t>
                              </m:r>
                              <m:r>
                                <m:t>F</m:t>
                              </m:r>
                            </m:e>
                          </m:d>
                        </m:oMath>
                      </w:p>
                    </w:tc>
                  </w:tr>
                  <w:tr>
                    <w:tc>
                      <w:tcPr/>
                      <w:p>
                        <w:pPr>
                          <w:pStyle w:val="Compact"/>
                          <w:jc w:val="left"/>
                          <w:jc w:val="center"/>
                        </w:pPr>
                        <w:r>
                          <w:t xml:space="preserve">GP</w:t>
                        </w:r>
                      </w:p>
                    </w:tc>
                    <w:tc>
                      <w:tcPr/>
                      <w:p>
                        <w:pPr>
                          <w:pStyle w:val="Compact"/>
                          <w:jc w:val="left"/>
                          <w:jc w:val="center"/>
                        </w:pPr>
                        <m:oMath>
                          <m:f>
                            <m:fPr>
                              <m:type m:val="bar"/>
                            </m:fPr>
                            <m:num>
                              <m:r>
                                <m:rPr>
                                  <m:sty m:val="p"/>
                                </m:rPr>
                                <m:t>∑</m:t>
                              </m:r>
                              <m:d>
                                <m:dPr>
                                  <m:begChr m:val="("/>
                                  <m:endChr m:val=")"/>
                                  <m:sepChr m:val=""/>
                                  <m:grow/>
                                </m:dPr>
                                <m:e>
                                  <m:r>
                                    <m:t>P</m:t>
                                  </m:r>
                                  <m:d>
                                    <m:dPr>
                                      <m:begChr m:val="("/>
                                      <m:endChr m:val=")"/>
                                      <m:sepChr m:val=""/>
                                      <m:grow/>
                                    </m:dPr>
                                    <m:e>
                                      <m:r>
                                        <m:t>0</m:t>
                                      </m:r>
                                      <m:r>
                                        <m:rPr>
                                          <m:sty m:val="p"/>
                                        </m:rPr>
                                        <m:t>/</m:t>
                                      </m:r>
                                      <m:r>
                                        <m:t>1</m:t>
                                      </m:r>
                                    </m:e>
                                  </m:d>
                                  <m:r>
                                    <m:rPr>
                                      <m:sty m:val="p"/>
                                    </m:rPr>
                                    <m:t>+</m:t>
                                  </m:r>
                                  <m:r>
                                    <m:t>2</m:t>
                                  </m:r>
                                  <m:r>
                                    <m:rPr>
                                      <m:sty m:val="p"/>
                                    </m:rPr>
                                    <m:t>×</m:t>
                                  </m:r>
                                  <m:r>
                                    <m:t>P</m:t>
                                  </m:r>
                                  <m:d>
                                    <m:dPr>
                                      <m:begChr m:val="("/>
                                      <m:endChr m:val=")"/>
                                      <m:sepChr m:val=""/>
                                      <m:grow/>
                                    </m:dPr>
                                    <m:e>
                                      <m:r>
                                        <m:t>1</m:t>
                                      </m:r>
                                      <m:r>
                                        <m:rPr>
                                          <m:sty m:val="p"/>
                                        </m:rPr>
                                        <m:t>/</m:t>
                                      </m:r>
                                      <m:r>
                                        <m:t>1</m:t>
                                      </m:r>
                                    </m:e>
                                  </m:d>
                                </m:e>
                              </m:d>
                            </m:num>
                            <m:den>
                              <m:r>
                                <m:t>2</m:t>
                              </m:r>
                              <m:r>
                                <m:t>N</m:t>
                              </m:r>
                            </m:den>
                          </m:f>
                        </m:oMath>
                      </w:p>
                    </w:tc>
                    <w:tc>
                      <w:tcPr/>
                      <w:p>
                        <w:pPr>
                          <w:pStyle w:val="Compact"/>
                          <w:jc w:val="left"/>
                          <w:jc w:val="center"/>
                        </w:pPr>
                        <m:oMath>
                          <m:r>
                            <m:rPr>
                              <m:sty m:val="p"/>
                            </m:rPr>
                            <m:t>min</m:t>
                          </m:r>
                          <m:d>
                            <m:dPr>
                              <m:begChr m:val="("/>
                              <m:endChr m:val=")"/>
                              <m:sepChr m:val=""/>
                              <m:grow/>
                            </m:dPr>
                            <m:e>
                              <m:r>
                                <m:t>A</m:t>
                              </m:r>
                              <m:r>
                                <m:t>F</m:t>
                              </m:r>
                              <m:r>
                                <m:rPr>
                                  <m:sty m:val="p"/>
                                </m:rPr>
                                <m:t>,</m:t>
                              </m:r>
                              <m:r>
                                <m:t>1</m:t>
                              </m:r>
                              <m:r>
                                <m:rPr>
                                  <m:sty m:val="p"/>
                                </m:rPr>
                                <m:t>−</m:t>
                              </m:r>
                              <m:r>
                                <m:t>A</m:t>
                              </m:r>
                              <m:r>
                                <m:t>F</m:t>
                              </m:r>
                            </m:e>
                          </m:d>
                        </m:oMath>
                      </w:p>
                    </w:tc>
                  </w:tr>
                </w:tbl>
                <w:p>
                  <w:pPr>
                    <w:jc w:val="center"/>
                  </w:pPr>
                  <w:pPr>
                    <w:jc w:val="start"/>
                    <w:spacing w:before="200"/>
                    <w:pStyle w:val="ImageCaption"/>
                  </w:pPr>
                  <w:r>
                    <w:t xml:space="preserve">Table 2.2: Infer MAF formulas</w:t>
                  </w:r>
                </w:p>
                <w:bookmarkEnd w:id="204"/>
              </w:tc>
            </w:tr>
          </w:tbl>
        </w:tc>
      </w:tr>
    </w:tbl>
    <w:p>
      <w:pPr>
        <w:pStyle w:val="SourceCode"/>
      </w:pPr>
      <w:r>
        <w:rPr>
          <w:rStyle w:val="NormalTok"/>
        </w:rPr>
        <w:t xml:space="preserve">vcf_variants_counts </w:t>
      </w:r>
      <w:r>
        <w:rPr>
          <w:rStyle w:val="OtherTok"/>
        </w:rPr>
        <w:t xml:space="preserve">&lt;-</w:t>
      </w:r>
      <w:r>
        <w:rPr>
          <w:rStyle w:val="NormalTok"/>
        </w:rPr>
        <w:t xml:space="preserve"> vcf_tidy</w:t>
      </w:r>
      <w:r>
        <w:rPr>
          <w:rStyle w:val="SpecialCharTok"/>
        </w:rPr>
        <w:t xml:space="preserve">$</w:t>
      </w:r>
      <w:r>
        <w:rPr>
          <w:rStyle w:val="NormalTok"/>
        </w:rPr>
        <w:t xml:space="preserve">gt</w:t>
      </w:r>
      <w:r>
        <w:br/>
      </w:r>
      <w:r>
        <w:rPr>
          <w:rStyle w:val="NormalTok"/>
        </w:rPr>
        <w:t xml:space="preserve">N_indiv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(vcf_variants_counts</w:t>
      </w:r>
      <w:r>
        <w:rPr>
          <w:rStyle w:val="SpecialCharTok"/>
        </w:rPr>
        <w:t xml:space="preserve">$</w:t>
      </w:r>
      <w:r>
        <w:rPr>
          <w:rStyle w:val="NormalTok"/>
        </w:rPr>
        <w:t xml:space="preserve">Indiv))</w:t>
      </w:r>
      <w:r>
        <w:br/>
      </w:r>
      <w:r>
        <w:br/>
      </w:r>
      <w:r>
        <w:rPr>
          <w:rStyle w:val="CommentTok"/>
        </w:rPr>
        <w:t xml:space="preserve"># Compute MAF from  DS (Estimated Alternate Allele Dosage)</w:t>
      </w:r>
      <w:r>
        <w:br/>
      </w:r>
      <w:r>
        <w:rPr>
          <w:rStyle w:val="NormalTok"/>
        </w:rPr>
        <w:t xml:space="preserve">vcf_maf_distributions </w:t>
      </w:r>
      <w:r>
        <w:rPr>
          <w:rStyle w:val="OtherTok"/>
        </w:rPr>
        <w:t xml:space="preserve">&lt;-</w:t>
      </w:r>
      <w:r>
        <w:rPr>
          <w:rStyle w:val="NormalTok"/>
        </w:rPr>
        <w:t xml:space="preserve"> vcf_variants_counts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group_by</w:t>
      </w:r>
      <w:r>
        <w:rPr>
          <w:rStyle w:val="NormalTok"/>
        </w:rPr>
        <w:t xml:space="preserve">(POS)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summarise</w:t>
      </w:r>
      <w:r>
        <w:rPr>
          <w:rStyle w:val="NormalTok"/>
        </w:rPr>
        <w:t xml:space="preserve">(</w:t>
      </w:r>
      <w:r>
        <w:rPr>
          <w:rStyle w:val="AttributeTok"/>
        </w:rPr>
        <w:t xml:space="preserve">AF  =</w:t>
      </w:r>
      <w:r>
        <w:rPr>
          <w:rStyle w:val="NormalTok"/>
        </w:rPr>
        <w:t xml:space="preserve"> </w:t>
      </w:r>
      <w:r>
        <w:rPr>
          <w:rStyle w:val="FunctionTok"/>
        </w:rPr>
        <w:t xml:space="preserve">sum</w:t>
      </w:r>
      <w:r>
        <w:rPr>
          <w:rStyle w:val="NormalTok"/>
        </w:rPr>
        <w:t xml:space="preserve">(gt_DS,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n</w:t>
      </w:r>
      <w:r>
        <w:rPr>
          <w:rStyle w:val="NormalTok"/>
        </w:rPr>
        <w:t xml:space="preserve">()), </w:t>
      </w:r>
      <w:r>
        <w:rPr>
          <w:rStyle w:val="CommentTok"/>
        </w:rPr>
        <w:t xml:space="preserve"># alternate allele frequency</w:t>
      </w:r>
      <w:r>
        <w:br/>
      </w:r>
      <w:r>
        <w:rPr>
          <w:rStyle w:val="NormalTok"/>
        </w:rPr>
        <w:t xml:space="preserve">    </w:t>
      </w:r>
      <w:r>
        <w:rPr>
          <w:rStyle w:val="AttributeTok"/>
        </w:rPr>
        <w:t xml:space="preserve">MAF =</w:t>
      </w:r>
      <w:r>
        <w:rPr>
          <w:rStyle w:val="NormalTok"/>
        </w:rPr>
        <w:t xml:space="preserve"> </w:t>
      </w:r>
      <w:r>
        <w:rPr>
          <w:rStyle w:val="FunctionTok"/>
        </w:rPr>
        <w:t xml:space="preserve">pmin</w:t>
      </w:r>
      <w:r>
        <w:rPr>
          <w:rStyle w:val="NormalTok"/>
        </w:rPr>
        <w:t xml:space="preserve">(AF, </w:t>
      </w:r>
      <w:r>
        <w:rPr>
          <w:rStyle w:val="DecValTok"/>
        </w:rPr>
        <w:t xml:space="preserve">1</w:t>
      </w:r>
      <w:r>
        <w:rPr>
          <w:rStyle w:val="NormalTok"/>
        </w:rPr>
        <w:t xml:space="preserve"> </w:t>
      </w:r>
      <w:r>
        <w:rPr>
          <w:rStyle w:val="SpecialCharTok"/>
        </w:rPr>
        <w:t xml:space="preserve">-</w:t>
      </w:r>
      <w:r>
        <w:rPr>
          <w:rStyle w:val="NormalTok"/>
        </w:rPr>
        <w:t xml:space="preserve"> AF),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CommentTok"/>
        </w:rPr>
        <w:t xml:space="preserve"># minor allele frequency</w:t>
      </w:r>
      <w:r>
        <w:br/>
      </w:r>
      <w:r>
        <w:br/>
      </w:r>
      <w:r>
        <w:rPr>
          <w:rStyle w:val="CommentTok"/>
        </w:rPr>
        <w:t xml:space="preserve"># alternative computation, similar outputs (by default, return the minor allele)</w:t>
      </w:r>
      <w:r>
        <w:br/>
      </w:r>
      <w:r>
        <w:rPr>
          <w:rStyle w:val="NormalTok"/>
        </w:rPr>
        <w:t xml:space="preserve">vcf_maf_distributions_alt </w:t>
      </w:r>
      <w:r>
        <w:rPr>
          <w:rStyle w:val="OtherTok"/>
        </w:rPr>
        <w:t xml:space="preserve">&lt;-</w:t>
      </w:r>
      <w:r>
        <w:rPr>
          <w:rStyle w:val="NormalTok"/>
        </w:rPr>
        <w:t xml:space="preserve"> vcfR</w:t>
      </w:r>
      <w:r>
        <w:rPr>
          <w:rStyle w:val="SpecialCharTok"/>
        </w:rPr>
        <w:t xml:space="preserve">::</w:t>
      </w:r>
      <w:r>
        <w:rPr>
          <w:rStyle w:val="FunctionTok"/>
        </w:rPr>
        <w:t xml:space="preserve">maf</w:t>
      </w:r>
      <w:r>
        <w:rPr>
          <w:rStyle w:val="NormalTok"/>
        </w:rPr>
        <w:t xml:space="preserve">(vcf, </w:t>
      </w:r>
      <w:r>
        <w:rPr>
          <w:rStyle w:val="AttributeTok"/>
        </w:rPr>
        <w:t xml:space="preserve">element =</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tibble</w:t>
      </w:r>
      <w:r>
        <w:rPr>
          <w:rStyle w:val="SpecialCharTok"/>
        </w:rPr>
        <w:t xml:space="preserve">::</w:t>
      </w:r>
      <w:r>
        <w:rPr>
          <w:rStyle w:val="FunctionTok"/>
        </w:rPr>
        <w:t xml:space="preserve">as_tibble</w:t>
      </w:r>
      <w:r>
        <w:rPr>
          <w:rStyle w:val="NormalTok"/>
        </w:rPr>
        <w:t xml:space="preserve">(</w:t>
      </w:r>
      <w:r>
        <w:rPr>
          <w:rStyle w:val="AttributeTok"/>
        </w:rPr>
        <w:t xml:space="preserve">rownames =</w:t>
      </w:r>
      <w:r>
        <w:rPr>
          <w:rStyle w:val="NormalTok"/>
        </w:rPr>
        <w:t xml:space="preserve"> </w:t>
      </w:r>
      <w:r>
        <w:rPr>
          <w:rStyle w:val="StringTok"/>
        </w:rPr>
        <w:t xml:space="preserve">"SNP_ID"</w:t>
      </w:r>
      <w:r>
        <w:rPr>
          <w:rStyle w:val="NormalTok"/>
        </w:rPr>
        <w:t xml:space="preserve">)</w:t>
      </w:r>
      <w:r>
        <w:br/>
      </w:r>
      <w:r>
        <w:br/>
      </w:r>
      <w:r>
        <w:rPr>
          <w:rStyle w:val="FunctionTok"/>
        </w:rPr>
        <w:t xml:space="preserve">flextable</w:t>
      </w:r>
      <w:r>
        <w:rPr>
          <w:rStyle w:val="NormalTok"/>
        </w:rPr>
        <w:t xml:space="preserve">(</w:t>
      </w:r>
      <w:r>
        <w:rPr>
          <w:rStyle w:val="FunctionTok"/>
        </w:rPr>
        <w:t xml:space="preserve">head</w:t>
      </w:r>
      <w:r>
        <w:rPr>
          <w:rStyle w:val="NormalTok"/>
        </w:rPr>
        <w:t xml:space="preserve">(vcf_maf_distributions_alt)) </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br/>
      </w:r>
      <w:r>
        <w:rPr>
          <w:rStyle w:val="FunctionTok"/>
        </w:rPr>
        <w:t xml:space="preserve">flextable</w:t>
      </w:r>
      <w:r>
        <w:rPr>
          <w:rStyle w:val="NormalTok"/>
        </w:rPr>
        <w:t xml:space="preserve">(vcf_maf_distributions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(POS, MAF)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SpecialCharTok"/>
        </w:rPr>
        <w:t xml:space="preserve">-</w:t>
      </w:r>
      <w:r>
        <w:rPr>
          <w:rStyle w:val="NormalTok"/>
        </w:rPr>
        <w:t xml:space="preserve">MAF) </w:t>
      </w:r>
      <w:r>
        <w:rPr>
          <w:rStyle w:val="SpecialCharTok"/>
        </w:rPr>
        <w:t xml:space="preserve">|&gt;</w:t>
      </w:r>
      <w:r>
        <w:rPr>
          <w:rStyle w:val="NormalTok"/>
        </w:rPr>
        <w:t xml:space="preserve"> </w:t>
      </w:r>
      <w:r>
        <w:br/>
      </w:r>
      <w:r>
        <w:rPr>
          <w:rStyle w:val="NormalTok"/>
        </w:rPr>
        <w:t xml:space="preserve">  </w:t>
      </w:r>
      <w:r>
        <w:rPr>
          <w:rStyle w:val="FunctionTok"/>
        </w:rPr>
        <w:t xml:space="preserve">head</w:t>
      </w:r>
      <w:r>
        <w:rPr>
          <w:rStyle w:val="NormalTok"/>
        </w:rPr>
        <w:t xml:space="preserve">()) </w:t>
      </w:r>
      <w:r>
        <w:rPr>
          <w:rStyle w:val="SpecialCharTok"/>
        </w:rPr>
        <w:t xml:space="preserve">|&gt;</w:t>
      </w:r>
      <w:r>
        <w:rPr>
          <w:rStyle w:val="NormalTok"/>
        </w:rPr>
        <w:t xml:space="preserve"> </w:t>
      </w:r>
      <w:r>
        <w:br/>
      </w:r>
      <w:r>
        <w:rPr>
          <w:rStyle w:val="NormalTok"/>
        </w:rPr>
        <w:t xml:space="preserve">  flextable</w:t>
      </w:r>
      <w:r>
        <w:rPr>
          <w:rStyle w:val="SpecialCharTok"/>
        </w:rPr>
        <w:t xml:space="preserve">::</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w:t>
      </w:r>
    </w:p>
    <w:bookmarkStart w:id="207" w:name="tbl-MAF-estimation"/>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205" w:name="tbl-MAF-estimation-1"/>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SNP_ID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nAllele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Count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Frequency</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chr7:18087100:T:A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58,674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1,024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0.01745236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chr7:18087117:T:A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58,674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0.02638307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chr7:18087870:T:C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58,674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0.01477656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chr7:18088625:A:G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58,674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24,666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0.42039063</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chr7:18089395:A:G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58,674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0.01066912</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chr7:18089923:TTTTG:T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58,674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16,876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0.28762314</w:t>
                        </w:r>
                      </w:p>
                    </w:tc>
                  </w:tr>
                </w:tbl>
                <w:p>
                  <w:pPr>
                    <w:jc w:val="center"/>
                  </w:pPr>
                  <w:pPr>
                    <w:jc w:val="start"/>
                    <w:spacing w:before="200"/>
                    <w:pStyle w:val="ImageCaption"/>
                  </w:pPr>
                  <w:r>
                    <w:t xml:space="preserve">(a) Result from calling the</w:t>
                  </w:r>
                  <w:r>
                    <w:t xml:space="preserve"> </w:t>
                  </w:r>
                  <w:r>
                    <w:rPr>
                      <w:rStyle w:val="VerbatimChar"/>
                    </w:rPr>
                    <w:t xml:space="preserve">vcfR::maf</w:t>
                  </w:r>
                  <w:r>
                    <w:t xml:space="preserve"> </w:t>
                  </w:r>
                  <w:r>
                    <w:t xml:space="preserve">function on a</w:t>
                  </w:r>
                  <w:r>
                    <w:t xml:space="preserve"> </w:t>
                  </w:r>
                  <w:r>
                    <w:rPr>
                      <w:rStyle w:val="VerbatimChar"/>
                    </w:rPr>
                    <w:t xml:space="preserve">vcf</w:t>
                  </w:r>
                  <w:r>
                    <w:t xml:space="preserve">object. The</w:t>
                  </w:r>
                  <w:r>
                    <w:t xml:space="preserve"> </w:t>
                  </w:r>
                  <w:r>
                    <w:rPr>
                      <w:rStyle w:val="VerbatimChar"/>
                    </w:rPr>
                    <w:t xml:space="preserve">row.names</w:t>
                  </w:r>
                  <w:r>
                    <w:t xml:space="preserve"> </w:t>
                  </w:r>
                  <w:r>
                    <w:t xml:space="preserve">report the ID of the mutation (</w:t>
                  </w:r>
                  <w:r>
                    <w:rPr>
                      <w:rStyle w:val="VerbatimChar"/>
                    </w:rPr>
                    <w:t xml:space="preserve">chromosome:position:SNP</w:t>
                  </w:r>
                  <w:r>
                    <w:t xml:space="preserve">), the first column the total number of alleles identified in the cohort, the third is the count and fourth the frequency (you have to divide by 2 the</w:t>
                  </w:r>
                  <w:r>
                    <w:t xml:space="preserve"> </w:t>
                  </w:r>
                  <w:r>
                    <w:rPr>
                      <w:rStyle w:val="VerbatimChar"/>
                    </w:rPr>
                    <w:t xml:space="preserve">Counts</w:t>
                  </w:r>
                  <w:r>
                    <w:t xml:space="preserve"> </w:t>
                  </w:r>
                  <w:r>
                    <w:t xml:space="preserve">with diploid organisms).</w:t>
                  </w:r>
                </w:p>
                <w:bookmarkEnd w:id="205"/>
              </w:tc>
            </w:tr>
          </w:tbl>
          <w:p/>
        </w:tc>
        <w:tc>
          <w:tcPr/>
          <w:p>
            <w:pPr>
              <w:jc w:val="center"/>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206" w:name="tbl-MAF-estimation-2"/>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POS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MAF</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18,773,294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0.4989486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18,769,554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0.4980236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18,104,245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0.4958051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18,092,439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0.4942534</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18,775,850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0.4941757</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18,770,620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0.4934447</w:t>
                        </w:r>
                      </w:p>
                    </w:tc>
                  </w:tr>
                </w:tbl>
                <w:p>
                  <w:pPr>
                    <w:jc w:val="center"/>
                  </w:pPr>
                  <w:pPr>
                    <w:jc w:val="start"/>
                    <w:spacing w:before="200"/>
                    <w:pStyle w:val="ImageCaption"/>
                  </w:pPr>
                  <w:r>
                    <w:t xml:space="preserve">(b) Header</w:t>
                  </w:r>
                  <w:r>
                    <w:t xml:space="preserve"> </w:t>
                  </w:r>
                  <w:r>
                    <w:rPr>
                      <w:rStyle w:val="VerbatimChar"/>
                    </w:rPr>
                    <w:t xml:space="preserve">FORMAT</w:t>
                  </w:r>
                  <w:r>
                    <w:t xml:space="preserve"> </w:t>
                  </w:r>
                  <w:r>
                    <w:t xml:space="preserve">and Description for the VCF file.</w:t>
                  </w:r>
                </w:p>
                <w:bookmarkEnd w:id="206"/>
              </w:tc>
            </w:tr>
          </w:tbl>
          <w:p/>
        </w:tc>
      </w:tr>
    </w:tbl>
    <w:p>
      <w:pPr>
        <w:pStyle w:val="BodyText"/>
      </w:pPr>
      <w:pPr>
        <w:spacing w:before="200"/>
        <w:pStyle w:val="ImageCaption"/>
      </w:pPr>
      <w:r>
        <w:t xml:space="preserve">Table 2.3</w:t>
      </w:r>
    </w:p>
    <w:bookmarkEnd w:id="207"/>
    <w:p>
      <w:pPr>
        <w:pStyle w:val="SourceCode"/>
      </w:pPr>
      <w:r>
        <w:rPr>
          <w:rStyle w:val="FunctionTok"/>
        </w:rPr>
        <w:t xml:space="preserve">ggplot</w:t>
      </w:r>
      <w:r>
        <w:rPr>
          <w:rStyle w:val="NormalTok"/>
        </w:rPr>
        <w:t xml:space="preserve">(vcf_maf_distributions, </w:t>
      </w:r>
      <w:r>
        <w:rPr>
          <w:rStyle w:val="FunctionTok"/>
        </w:rPr>
        <w:t xml:space="preserve">aes</w:t>
      </w:r>
      <w:r>
        <w:rPr>
          <w:rStyle w:val="NormalTok"/>
        </w:rPr>
        <w:t xml:space="preserve">(</w:t>
      </w:r>
      <w:r>
        <w:rPr>
          <w:rStyle w:val="AttributeTok"/>
        </w:rPr>
        <w:t xml:space="preserve">x =</w:t>
      </w:r>
      <w:r>
        <w:rPr>
          <w:rStyle w:val="NormalTok"/>
        </w:rPr>
        <w:t xml:space="preserve"> MAF))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FloatTok"/>
        </w:rPr>
        <w:t xml:space="preserve">0.02</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adjust =</w:t>
      </w:r>
      <w:r>
        <w:rPr>
          <w:rStyle w:val="NormalTok"/>
        </w:rPr>
        <w:t xml:space="preserve"> </w:t>
      </w:r>
      <w:r>
        <w:rPr>
          <w:rStyle w:val="FloatTok"/>
        </w:rPr>
        <w:t xml:space="preserve">0.5</w:t>
      </w:r>
      <w:r>
        <w:rPr>
          <w:rStyle w:val="NormalTok"/>
        </w:rPr>
        <w:t xml:space="preserve">, </w:t>
      </w:r>
      <w:r>
        <w:rPr>
          <w:rStyle w:val="AttributeTok"/>
        </w:rPr>
        <w:t xml:space="preserve">linewidth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by =</w:t>
      </w:r>
      <w:r>
        <w:rPr>
          <w:rStyle w:val="NormalTok"/>
        </w:rPr>
        <w:t xml:space="preserve"> </w:t>
      </w:r>
      <w:r>
        <w:rPr>
          <w:rStyle w:val="FloatTok"/>
        </w:rPr>
        <w:t xml:space="preserve">0.05</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211" w:name="fig-MAF-distribution"/>
          <w:p>
            <w:pPr>
              <w:pStyle w:val="Compact"/>
              <w:jc w:val="center"/>
            </w:pPr>
            <w:r>
              <w:drawing>
                <wp:inline>
                  <wp:extent cx="4620126" cy="3696101"/>
                  <wp:effectExtent b="0" l="0" r="0" t="0"/>
                  <wp:docPr descr="" title="" id="209" name="Picture"/>
                  <a:graphic>
                    <a:graphicData uri="http://schemas.openxmlformats.org/drawingml/2006/picture">
                      <pic:pic>
                        <pic:nvPicPr>
                          <pic:cNvPr descr="CARTaGENE-sample-size_files/figure-docx/fig-MAF-distribution-1.png" id="210" name="Picture"/>
                          <pic:cNvPicPr>
                            <a:picLocks noChangeArrowheads="1" noChangeAspect="1"/>
                          </pic:cNvPicPr>
                        </pic:nvPicPr>
                        <pic:blipFill>
                          <a:blip r:embed="rId208"/>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2.3: Distribution of MAF (minor allele frequency values)</w:t>
            </w:r>
          </w:p>
          <w:bookmarkEnd w:id="211"/>
        </w:tc>
      </w:tr>
    </w:tbl>
    <w:bookmarkEnd w:id="212"/>
    <w:bookmarkEnd w:id="213"/>
    <w:bookmarkStart w:id="261" w:name="sec-sample-size"/>
    <w:p>
      <w:pPr>
        <w:pStyle w:val="Heading2"/>
      </w:pPr>
      <w:r>
        <w:t xml:space="preserve">2.3 Sample Size Calculation</w:t>
      </w:r>
    </w:p>
    <w:p>
      <w:pPr>
        <w:numPr>
          <w:ilvl w:val="0"/>
          <w:numId w:val="1056"/>
        </w:numPr>
      </w:pPr>
      <w:hyperlink r:id="rId214">
        <w:r>
          <w:rPr>
            <w:rStyle w:val="Hyperlink"/>
          </w:rPr>
          <w:t xml:space="preserve">Sample Size Calculation in Genetic Association Studies: A Practical Approach</w:t>
        </w:r>
      </w:hyperlink>
      <w:r>
        <w:t xml:space="preserve">, from</w:t>
      </w:r>
      <w:r>
        <w:t xml:space="preserve"> </w:t>
      </w:r>
      <w:r>
        <w:t xml:space="preserve">Politi et al. (</w:t>
      </w:r>
      <w:hyperlink w:anchor="ref-politi2023l">
        <w:r>
          <w:rPr>
            <w:rStyle w:val="Hyperlink"/>
          </w:rPr>
          <w:t xml:space="preserve">2023</w:t>
        </w:r>
      </w:hyperlink>
      <w:r>
        <w:t xml:space="preserve">)</w:t>
      </w:r>
      <w:r>
        <w:t xml:space="preserve">, notably listing the following tools:</w:t>
      </w:r>
    </w:p>
    <w:p>
      <w:pPr>
        <w:numPr>
          <w:ilvl w:val="1"/>
          <w:numId w:val="1057"/>
        </w:numPr>
      </w:pPr>
      <w:hyperlink r:id="rId215">
        <w:r>
          <w:rPr>
            <w:rStyle w:val="VerbatimChar"/>
          </w:rPr>
          <w:t xml:space="preserve">GENPWR</w:t>
        </w:r>
        <w:r>
          <w:rPr>
            <w:rStyle w:val="Hyperlink"/>
          </w:rPr>
          <w:t xml:space="preserve">: Power and Sample Size Calculations for Genetic Association Studies in the Presence of Genetic Model Mis-Specification</w:t>
        </w:r>
      </w:hyperlink>
      <w:r>
        <w:t xml:space="preserve">, from</w:t>
      </w:r>
      <w:r>
        <w:t xml:space="preserve"> </w:t>
      </w:r>
      <w:r>
        <w:t xml:space="preserve">Moore, Jacobso, and Fingerlin (</w:t>
      </w:r>
      <w:hyperlink w:anchor="ref-moore2019hh">
        <w:r>
          <w:rPr>
            <w:rStyle w:val="Hyperlink"/>
          </w:rPr>
          <w:t xml:space="preserve">2019</w:t>
        </w:r>
      </w:hyperlink>
      <w:r>
        <w:t xml:space="preserve">)</w:t>
      </w:r>
      <w:r>
        <w:t xml:space="preserve"> </w:t>
      </w:r>
      <w:r>
        <w:t xml:space="preserve">and available as a</w:t>
      </w:r>
      <w:r>
        <w:t xml:space="preserve"> </w:t>
      </w:r>
      <w:hyperlink r:id="rId216">
        <w:r>
          <w:rPr>
            <w:rStyle w:val="Hyperlink"/>
          </w:rPr>
          <w:t xml:space="preserve">R package</w:t>
        </w:r>
      </w:hyperlink>
      <w:r>
        <w:t xml:space="preserve">, is able to compute the sample size for dichotomous or continuous outcomes in gene-only studies, implementing additive, dominant and recessive models (see</w:t>
      </w:r>
      <w:r>
        <w:t xml:space="preserve"> </w:t>
      </w:r>
      <w:hyperlink w:anchor="tip-genetic-model">
        <w:r>
          <w:rPr>
            <w:rStyle w:val="Hyperlink"/>
          </w:rPr>
          <w:t xml:space="preserve">Tip 2.2</w:t>
        </w:r>
      </w:hyperlink>
      <w:r>
        <w:t xml:space="preserve"> </w:t>
      </w:r>
      <w:r>
        <w:t xml:space="preserve">for details). Report to</w:t>
      </w:r>
      <w:r>
        <w:t xml:space="preserve"> </w:t>
      </w:r>
      <w:hyperlink w:anchor="sec-GENPWR">
        <w:r>
          <w:rPr>
            <w:rStyle w:val="Hyperlink"/>
          </w:rPr>
          <w:t xml:space="preserve">Section 2.3.1</w:t>
        </w:r>
      </w:hyperlink>
      <w:r>
        <w:t xml:space="preserve"> </w:t>
      </w:r>
      <w:r>
        <w:t xml:space="preserve">for a practical illustration.</w:t>
      </w:r>
    </w:p>
    <w:p>
      <w:pPr>
        <w:numPr>
          <w:ilvl w:val="1"/>
          <w:numId w:val="1057"/>
        </w:numPr>
      </w:pPr>
      <w:hyperlink r:id="rId217">
        <w:r>
          <w:rPr>
            <w:rStyle w:val="VerbatimChar"/>
          </w:rPr>
          <w:t xml:space="preserve">PGA</w:t>
        </w:r>
        <w:r>
          <w:rPr>
            <w:rStyle w:val="Hyperlink"/>
          </w:rPr>
          <w:t xml:space="preserve">: Power for Genetic Association</w:t>
        </w:r>
      </w:hyperlink>
      <w:r>
        <w:t xml:space="preserve">, from</w:t>
      </w:r>
      <w:r>
        <w:t xml:space="preserve"> </w:t>
      </w:r>
      <w:r>
        <w:t xml:space="preserve">Menashe, Rosenberg, and Chen (</w:t>
      </w:r>
      <w:hyperlink w:anchor="ref-menashe2008bg">
        <w:r>
          <w:rPr>
            <w:rStyle w:val="Hyperlink"/>
          </w:rPr>
          <w:t xml:space="preserve">2008</w:t>
        </w:r>
      </w:hyperlink>
      <w:r>
        <w:t xml:space="preserve">)</w:t>
      </w:r>
      <w:r>
        <w:t xml:space="preserve"> </w:t>
      </w:r>
      <w:r>
        <w:t xml:space="preserve">is able to adjust for</w:t>
      </w:r>
      <w:r>
        <w:t xml:space="preserve"> </w:t>
      </w:r>
      <w:r>
        <w:rPr>
          <w:b/>
          <w:bCs/>
        </w:rPr>
        <w:t xml:space="preserve">multiple comparisons</w:t>
      </w:r>
      <w:r>
        <w:t xml:space="preserve">, in contrast with</w:t>
      </w:r>
      <w:r>
        <w:t xml:space="preserve"> </w:t>
      </w:r>
      <w:r>
        <w:rPr>
          <w:rStyle w:val="VerbatimChar"/>
        </w:rPr>
        <w:t xml:space="preserve">GENPWR</w:t>
      </w:r>
      <w:r>
        <w:t xml:space="preserve">, and LD between the marker and the disease allele.</w:t>
      </w:r>
      <w:r>
        <w:t xml:space="preserve"> </w:t>
      </w:r>
      <w:r>
        <w:rPr>
          <w:color w:val="red"/>
        </w:rPr>
        <w:t>
          <w:r>
            <w:t xml:space="preserve">Seems not available anymore</w:t>
          </w:r>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8" name="Picture"/>
                  <a:graphic>
                    <a:graphicData uri="http://schemas.openxmlformats.org/drawingml/2006/picture">
                      <pic:pic>
                        <pic:nvPicPr>
                          <pic:cNvPr descr="/opt/quarto/share/formats/docx/tip.png" id="219" name="Picture"/>
                          <pic:cNvPicPr>
                            <a:picLocks noChangeArrowheads="1" noChangeAspect="1"/>
                          </pic:cNvPicPr>
                        </pic:nvPicPr>
                        <pic:blipFill>
                          <a:blip r:embed="rId20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 2.2: Genetic models</w:t>
            </w:r>
          </w:p>
        </w:tc>
      </w:tr>
      <w:tr>
        <w:trPr>
          <w:cantSplit/>
        </w:trPr>
        <w:tc>
          <w:tcPr>
            <w:tcMar>
              <w:top w:w="108" w:type="dxa"/>
              <w:bottom w:w="108" w:type="dxa"/>
            </w:tcMar>
          </w:tcPr>
          <w:p>
            <w:pPr>
              <w:numPr>
                <w:ilvl w:val="0"/>
                <w:numId w:val="1058"/>
              </w:numPr>
            </w:pPr>
            <w:r>
              <w:rPr>
                <w:b/>
                <w:bCs/>
              </w:rPr>
              <w:t xml:space="preserve">Genotype</w:t>
            </w:r>
            <w:r>
              <w:t xml:space="preserve">: At a given SNP with alleles</w:t>
            </w:r>
            <w:r>
              <w:t xml:space="preserve"> </w:t>
            </w:r>
            <w:r>
              <w:rPr>
                <w:b/>
                <w:bCs/>
              </w:rPr>
              <w:t xml:space="preserve">A</w:t>
            </w:r>
            <w:r>
              <w:t xml:space="preserve"> </w:t>
            </w:r>
            <w:r>
              <w:t xml:space="preserve">(major) and</w:t>
            </w:r>
            <w:r>
              <w:t xml:space="preserve"> </w:t>
            </w:r>
            <w:r>
              <w:rPr>
                <w:b/>
                <w:bCs/>
              </w:rPr>
              <w:t xml:space="preserve">a</w:t>
            </w:r>
            <w:r>
              <w:t xml:space="preserve"> </w:t>
            </w:r>
            <w:r>
              <w:t xml:space="preserve">(minor), the genotypes are:</w:t>
            </w:r>
          </w:p>
          <w:p>
            <w:pPr>
              <w:pStyle w:val="Compact"/>
              <w:numPr>
                <w:ilvl w:val="1"/>
                <w:numId w:val="1059"/>
              </w:numPr>
            </w:pPr>
            <w:r>
              <w:rPr>
                <w:b/>
                <w:bCs/>
              </w:rPr>
              <w:t xml:space="preserve">AA</w:t>
            </w:r>
            <w:r>
              <w:t xml:space="preserve"> </w:t>
            </w:r>
            <w:r>
              <w:t xml:space="preserve">(homozygous</w:t>
            </w:r>
            <w:r>
              <w:t xml:space="preserve"> </w:t>
            </w:r>
            <w:r>
              <w:rPr>
                <w:i/>
                <w:iCs/>
              </w:rPr>
              <w:t xml:space="preserve">major</w:t>
            </w:r>
            <w:r>
              <w:t xml:space="preserve">)</w:t>
            </w:r>
          </w:p>
          <w:p>
            <w:pPr>
              <w:pStyle w:val="Compact"/>
              <w:numPr>
                <w:ilvl w:val="1"/>
                <w:numId w:val="1059"/>
              </w:numPr>
            </w:pPr>
            <w:r>
              <w:rPr>
                <w:b/>
                <w:bCs/>
              </w:rPr>
              <w:t xml:space="preserve">Aa</w:t>
            </w:r>
            <w:r>
              <w:t xml:space="preserve"> </w:t>
            </w:r>
            <w:r>
              <w:t xml:space="preserve">(</w:t>
            </w:r>
            <w:r>
              <w:rPr>
                <w:i/>
                <w:iCs/>
              </w:rPr>
              <w:t xml:space="preserve">heterozygous</w:t>
            </w:r>
            <w:r>
              <w:t xml:space="preserve">)</w:t>
            </w:r>
          </w:p>
          <w:p>
            <w:pPr>
              <w:pStyle w:val="Compact"/>
              <w:numPr>
                <w:ilvl w:val="1"/>
                <w:numId w:val="1059"/>
              </w:numPr>
            </w:pPr>
            <w:r>
              <w:rPr>
                <w:b/>
                <w:bCs/>
              </w:rPr>
              <w:t xml:space="preserve">aa</w:t>
            </w:r>
            <w:r>
              <w:t xml:space="preserve"> </w:t>
            </w:r>
            <w:r>
              <w:t xml:space="preserve">(homozygous</w:t>
            </w:r>
            <w:r>
              <w:t xml:space="preserve"> </w:t>
            </w:r>
            <w:r>
              <w:rPr>
                <w:i/>
                <w:iCs/>
              </w:rPr>
              <w:t xml:space="preserve">minor</w:t>
            </w:r>
            <w:r>
              <w:t xml:space="preserve">)</w:t>
            </w:r>
          </w:p>
          <w:p>
            <w:pPr>
              <w:numPr>
                <w:ilvl w:val="0"/>
                <w:numId w:val="1058"/>
              </w:numPr>
            </w:pPr>
            <w:r>
              <w:rPr>
                <w:b/>
                <w:bCs/>
              </w:rPr>
              <w:t xml:space="preserve">Phenotype</w:t>
            </w:r>
            <w:r>
              <w:t xml:space="preserve">: A continuous or binary outcome (e.g., height, disease status)</w:t>
            </w:r>
          </w:p>
          <w:p>
            <w:pPr>
              <w:numPr>
                <w:ilvl w:val="0"/>
                <w:numId w:val="1058"/>
              </w:numPr>
            </w:pPr>
            <w:r>
              <w:rPr>
                <w:b/>
                <w:bCs/>
              </w:rPr>
              <w:t xml:space="preserve">Notations</w:t>
            </w:r>
            <w:r>
              <w:t xml:space="preserve">:</w:t>
            </w:r>
            <w:r>
              <w:t xml:space="preserve"> </w:t>
            </w:r>
            <m:oMath>
              <m:r>
                <m:t>Y</m:t>
              </m:r>
            </m:oMath>
            <w:r>
              <w:t xml:space="preserve">: phenotype,</w:t>
            </w:r>
            <w:r>
              <w:t xml:space="preserve"> </w:t>
            </w:r>
            <m:oMath>
              <m:r>
                <m:t>G</m:t>
              </m:r>
            </m:oMath>
            <w:r>
              <w:t xml:space="preserve">: genotype,</w:t>
            </w:r>
            <w:r>
              <w:t xml:space="preserve"> </w:t>
            </w:r>
            <m:oMath>
              <m:r>
                <m:t>β</m:t>
              </m:r>
            </m:oMath>
            <w:r>
              <w:t xml:space="preserve">: effect size,</w:t>
            </w:r>
            <w:r>
              <w:t xml:space="preserve"> </w:t>
            </w:r>
            <m:oMath>
              <m:r>
                <m:t>X</m:t>
              </m:r>
            </m:oMath>
            <w:r>
              <w:t xml:space="preserve">: covariates (e.g., age, sex, PCs) and</w:t>
            </w:r>
            <w:r>
              <w:t xml:space="preserve"> </w:t>
            </w:r>
            <m:oMath>
              <m:r>
                <m:t>ϵ</m:t>
              </m:r>
            </m:oMath>
            <w:r>
              <w:t xml:space="preserve">: error term.</w:t>
            </w:r>
          </w:p>
          <w:p>
            <w:r>
              <w:pict>
                <v:rect style="width:0;height:1.5pt" o:hralign="center" o:hrstd="t" o:hr="t"/>
              </w:pict>
            </w:r>
          </w:p>
          <w:p>
            <w:pPr>
              <w:pStyle w:val="FirstParagraph"/>
            </w:pPr>
            <w:r>
              <w:t xml:space="preserve">🧬 Genetic Models in GWAS</w:t>
            </w:r>
          </w:p>
          <w:p>
            <w:pPr>
              <w:numPr>
                <w:ilvl w:val="0"/>
                <w:numId w:val="1060"/>
              </w:numPr>
            </w:pPr>
            <w:r>
              <w:rPr>
                <w:b/>
                <w:bCs/>
              </w:rPr>
              <w:t xml:space="preserve">Additive model</w:t>
            </w:r>
            <w:r>
              <w:t xml:space="preserve">: in</w:t>
            </w:r>
            <w:r>
              <w:t xml:space="preserve"> </w:t>
            </w:r>
            <w:hyperlink w:anchor="eq-genetic-model">
              <w:r>
                <w:rPr>
                  <w:rStyle w:val="Hyperlink"/>
                </w:rPr>
                <w:t xml:space="preserve">Equation 2.1</w:t>
              </w:r>
            </w:hyperlink>
            <w:r>
              <w:t xml:space="preserve">,</w:t>
            </w:r>
            <w:r>
              <w:t xml:space="preserve"> </w:t>
            </w:r>
            <w:r>
              <w:t xml:space="preserve">‘gene cat’</w:t>
            </w:r>
            <w:r>
              <w:t xml:space="preserve"> </w:t>
            </w:r>
            <w:r>
              <w:t xml:space="preserve">is converted as</w:t>
            </w:r>
            <w:r>
              <w:t xml:space="preserve"> </w:t>
            </w:r>
            <w:r>
              <w:rPr>
                <w:rStyle w:val="VerbatimChar"/>
              </w:rPr>
              <w:t xml:space="preserve">AA = 0</w:t>
            </w:r>
            <w:r>
              <w:t xml:space="preserve">,</w:t>
            </w:r>
            <w:r>
              <w:t xml:space="preserve"> </w:t>
            </w:r>
            <w:r>
              <w:rPr>
                <w:rStyle w:val="VerbatimChar"/>
              </w:rPr>
              <w:t xml:space="preserve">Aa = 1</w:t>
            </w:r>
            <w:r>
              <w:t xml:space="preserve"> </w:t>
            </w:r>
            <w:r>
              <w:t xml:space="preserve">and</w:t>
            </w:r>
            <w:r>
              <w:t xml:space="preserve"> </w:t>
            </w:r>
            <w:r>
              <w:rPr>
                <w:rStyle w:val="VerbatimChar"/>
              </w:rPr>
              <w:t xml:space="preserve">aa = 2</w:t>
            </w:r>
            <w:r>
              <w:t xml:space="preserve">. Each additional copy of the minor allele increases the trait linearly.</w:t>
            </w:r>
          </w:p>
          <w:p>
            <w:pPr>
              <w:numPr>
                <w:ilvl w:val="0"/>
                <w:numId w:val="1060"/>
              </w:numPr>
            </w:pPr>
            <w:r>
              <w:rPr>
                <w:b/>
                <w:bCs/>
              </w:rPr>
              <w:t xml:space="preserve">Dominant model</w:t>
            </w:r>
            <w:r>
              <w:t xml:space="preserve">: in</w:t>
            </w:r>
            <w:r>
              <w:t xml:space="preserve"> </w:t>
            </w:r>
            <w:hyperlink w:anchor="eq-genetic-model">
              <w:r>
                <w:rPr>
                  <w:rStyle w:val="Hyperlink"/>
                </w:rPr>
                <w:t xml:space="preserve">Equation 2.1</w:t>
              </w:r>
            </w:hyperlink>
            <w:r>
              <w:t xml:space="preserve">,</w:t>
            </w:r>
            <w:r>
              <w:t xml:space="preserve"> </w:t>
            </w:r>
            <w:r>
              <w:t xml:space="preserve">‘gene cat’</w:t>
            </w:r>
            <w:r>
              <w:t xml:space="preserve"> </w:t>
            </w:r>
            <w:r>
              <w:t xml:space="preserve">is converted as</w:t>
            </w:r>
            <w:r>
              <w:t xml:space="preserve"> </w:t>
            </w:r>
            <w:r>
              <w:rPr>
                <w:rStyle w:val="VerbatimChar"/>
              </w:rPr>
              <w:t xml:space="preserve">AA = 0</w:t>
            </w:r>
            <w:r>
              <w:t xml:space="preserve">,</w:t>
            </w:r>
            <w:r>
              <w:t xml:space="preserve"> </w:t>
            </w:r>
            <w:r>
              <w:rPr>
                <w:rStyle w:val="VerbatimChar"/>
              </w:rPr>
              <w:t xml:space="preserve">Aa = 1</w:t>
            </w:r>
            <w:r>
              <w:t xml:space="preserve"> </w:t>
            </w:r>
            <w:r>
              <w:t xml:space="preserve">and</w:t>
            </w:r>
            <w:r>
              <w:t xml:space="preserve"> </w:t>
            </w:r>
            <w:r>
              <w:rPr>
                <w:rStyle w:val="VerbatimChar"/>
              </w:rPr>
              <w:t xml:space="preserve">aa = 1</w:t>
            </w:r>
            <w:r>
              <w:t xml:space="preserve">. Presence of</w:t>
            </w:r>
            <w:r>
              <w:t xml:space="preserve"> </w:t>
            </w:r>
            <w:r>
              <w:rPr>
                <w:b/>
                <w:bCs/>
              </w:rPr>
              <w:t xml:space="preserve">at least one</w:t>
            </w:r>
            <w:r>
              <w:t xml:space="preserve"> </w:t>
            </w:r>
            <w:r>
              <w:t xml:space="preserve">minor allele confers full effect (no dose response).</w:t>
            </w:r>
          </w:p>
          <w:p>
            <w:pPr>
              <w:numPr>
                <w:ilvl w:val="0"/>
                <w:numId w:val="1060"/>
              </w:numPr>
            </w:pPr>
            <w:r>
              <w:rPr>
                <w:b/>
                <w:bCs/>
              </w:rPr>
              <w:t xml:space="preserve">Recessive model</w:t>
            </w:r>
            <w:r>
              <w:t xml:space="preserve">: in</w:t>
            </w:r>
            <w:r>
              <w:t xml:space="preserve"> </w:t>
            </w:r>
            <w:hyperlink w:anchor="eq-genetic-model">
              <w:r>
                <w:rPr>
                  <w:rStyle w:val="Hyperlink"/>
                </w:rPr>
                <w:t xml:space="preserve">Equation 2.1</w:t>
              </w:r>
            </w:hyperlink>
            <w:r>
              <w:t xml:space="preserve">,</w:t>
            </w:r>
            <w:r>
              <w:t xml:space="preserve"> </w:t>
            </w:r>
            <w:r>
              <w:t xml:space="preserve">‘gene cat’</w:t>
            </w:r>
            <w:r>
              <w:t xml:space="preserve"> </w:t>
            </w:r>
            <w:r>
              <w:t xml:space="preserve">is converted as</w:t>
            </w:r>
            <w:r>
              <w:t xml:space="preserve"> </w:t>
            </w:r>
            <w:r>
              <w:rPr>
                <w:rStyle w:val="VerbatimChar"/>
              </w:rPr>
              <w:t xml:space="preserve">AA = 0</w:t>
            </w:r>
            <w:r>
              <w:t xml:space="preserve">,</w:t>
            </w:r>
            <w:r>
              <w:t xml:space="preserve"> </w:t>
            </w:r>
            <w:r>
              <w:rPr>
                <w:rStyle w:val="VerbatimChar"/>
              </w:rPr>
              <w:t xml:space="preserve">Aa = 0</w:t>
            </w:r>
            <w:r>
              <w:t xml:space="preserve"> </w:t>
            </w:r>
            <w:r>
              <w:t xml:space="preserve">and</w:t>
            </w:r>
            <w:r>
              <w:t xml:space="preserve"> </w:t>
            </w:r>
            <w:r>
              <w:rPr>
                <w:rStyle w:val="VerbatimChar"/>
              </w:rPr>
              <w:t xml:space="preserve">aa = 1</w:t>
            </w:r>
            <w:r>
              <w:t xml:space="preserve">. Only</w:t>
            </w:r>
            <w:r>
              <w:t xml:space="preserve"> </w:t>
            </w:r>
            <w:r>
              <w:rPr>
                <w:b/>
                <w:bCs/>
              </w:rPr>
              <w:t xml:space="preserve">homozygous minor</w:t>
            </w:r>
            <w:r>
              <w:t xml:space="preserve"> </w:t>
            </w:r>
            <w:r>
              <w:t xml:space="preserve">genotype has an effect.</w:t>
            </w:r>
          </w:p>
          <w:p>
            <w:pPr>
              <w:pStyle w:val="FirstParagraph"/>
            </w:pPr>
            <w:bookmarkStart w:id="220" w:name="eq-genetic-model"/>
            <m:oMathPara>
              <m:oMathParaPr>
                <m:jc m:val="center"/>
              </m:oMathParaPr>
              <m:oMath>
                <m:r>
                  <m:t>Y</m:t>
                </m:r>
                <m:r>
                  <m:rPr>
                    <m:sty m:val="p"/>
                  </m:rPr>
                  <m:t>=</m:t>
                </m:r>
                <m:sSub>
                  <m:e>
                    <m:r>
                      <m:t>β</m:t>
                    </m:r>
                  </m:e>
                  <m:sub>
                    <m:r>
                      <m:t>0</m:t>
                    </m:r>
                  </m:sub>
                </m:sSub>
                <m:r>
                  <m:rPr>
                    <m:sty m:val="p"/>
                  </m:rPr>
                  <m:t>+</m:t>
                </m:r>
                <m:sSub>
                  <m:e>
                    <m:r>
                      <m:t>β</m:t>
                    </m:r>
                  </m:e>
                  <m:sub>
                    <m:r>
                      <m:t>1</m:t>
                    </m:r>
                  </m:sub>
                </m:sSub>
                <m:sSub>
                  <m:e>
                    <m:r>
                      <m:t>G</m:t>
                    </m:r>
                  </m:e>
                  <m:sub>
                    <m:r>
                      <m:rPr>
                        <m:nor/>
                        <m:sty m:val="p"/>
                      </m:rPr>
                      <m:t>gene cat</m:t>
                    </m:r>
                  </m:sub>
                </m:sSub>
                <m:r>
                  <m:rPr>
                    <m:sty m:val="p"/>
                  </m:rPr>
                  <m:t>+</m:t>
                </m:r>
                <m:sSub>
                  <m:e>
                    <m:r>
                      <m:t>β</m:t>
                    </m:r>
                  </m:e>
                  <m:sub>
                    <m:r>
                      <m:t>2</m:t>
                    </m:r>
                  </m:sub>
                </m:sSub>
                <m:r>
                  <m:t>X</m:t>
                </m:r>
                <m:r>
                  <m:rPr>
                    <m:sty m:val="p"/>
                  </m:rPr>
                  <m:t>+</m:t>
                </m:r>
                <m:r>
                  <m:t>ϵ</m:t>
                </m:r>
                <m:r>
                  <m:t>  </m:t>
                </m:r>
                <m:d>
                  <m:dPr>
                    <m:begChr m:val="("/>
                    <m:endChr m:val=")"/>
                    <m:sepChr m:val=""/>
                    <m:grow/>
                  </m:dPr>
                  <m:e>
                    <m:r>
                      <m:t>2.1</m:t>
                    </m:r>
                  </m:e>
                </m:d>
              </m:oMath>
            </m:oMathPara>
            <w:bookmarkEnd w:id="220"/>
          </w:p>
          <w:p>
            <w:r>
              <w:pict>
                <v:rect style="width:0;height:1.5pt" o:hralign="center" o:hrstd="t" o:hr="t"/>
              </w:pict>
            </w:r>
          </w:p>
          <w:p>
            <w:pPr>
              <w:pStyle w:val="TableCaption"/>
            </w:pPr>
            <w:r>
              <w:t xml:space="preserve">Main Genetic Models. In conclusion, use</w:t>
            </w:r>
            <w:r>
              <w:t xml:space="preserve"> </w:t>
            </w:r>
            <w:r>
              <w:rPr>
                <w:b/>
                <w:bCs/>
              </w:rPr>
              <w:t xml:space="preserve">additive</w:t>
            </w:r>
            <w:r>
              <w:t xml:space="preserve"> </w:t>
            </w:r>
            <w:r>
              <w:t xml:space="preserve">by default (most comprehensive), and explore</w:t>
            </w:r>
            <w:r>
              <w:t xml:space="preserve"> </w:t>
            </w:r>
            <w:r>
              <w:rPr>
                <w:b/>
                <w:bCs/>
              </w:rPr>
              <w:t xml:space="preserve">dominant/recessive</w:t>
            </w:r>
            <w:r>
              <w:t xml:space="preserve"> </w:t>
            </w:r>
            <w:r>
              <w:t xml:space="preserve">in</w:t>
            </w:r>
            <w:r>
              <w:t xml:space="preserve"> </w:t>
            </w:r>
            <w:r>
              <w:rPr>
                <w:b/>
                <w:bCs/>
              </w:rPr>
              <w:t xml:space="preserve">post-GWAS</w:t>
            </w:r>
            <w:r>
              <w:t xml:space="preserve"> </w:t>
            </w:r>
            <w:r>
              <w:t xml:space="preserve">or when you have strong biological priors (e.g., loss-of-function){#tbl-genetic-model}</w:t>
            </w:r>
          </w:p>
          <w:tbl>
            <w:tblPr>
              <w:tblStyle w:val="Table"/>
              <w:tblW w:type="pct" w:w="5000"/>
              <w:tblLayout w:type="fixed"/>
              <w:tblLook w:firstRow="1" w:lastRow="0" w:firstColumn="0" w:lastColumn="0" w:noHBand="0" w:noVBand="0" w:val="0020"/>
              <w:tblCaption w:val="Main Genetic Models. In conclusion, use additive by default (most comprehensive), and explore dominant/recessive in post-GWAS or when you have strong biological priors (e.g., loss-of-function){#tbl-genetic-model}"/>
            </w:tblPr>
            <w:tblGrid>
              <w:gridCol w:w="675"/>
              <w:gridCol w:w="920"/>
              <w:gridCol w:w="1780"/>
              <w:gridCol w:w="2271"/>
              <w:gridCol w:w="2271"/>
            </w:tblGrid>
            <w:tr>
              <w:trPr>
                <w:tblHeader w:val="on"/>
              </w:trPr>
              <w:tc>
                <w:tcPr/>
                <w:p>
                  <w:pPr>
                    <w:pStyle w:val="Compact"/>
                  </w:pPr>
                  <w:r>
                    <w:t xml:space="preserve">Model</w:t>
                  </w:r>
                </w:p>
              </w:tc>
              <w:tc>
                <w:tcPr/>
                <w:p>
                  <w:pPr>
                    <w:pStyle w:val="Compact"/>
                  </w:pPr>
                  <w:r>
                    <w:t xml:space="preserve">Coding</w:t>
                  </w:r>
                </w:p>
              </w:tc>
              <w:tc>
                <w:tcPr/>
                <w:p>
                  <w:pPr>
                    <w:pStyle w:val="Compact"/>
                  </w:pPr>
                  <w:r>
                    <w:t xml:space="preserve">Assumes effect from</w:t>
                  </w:r>
                </w:p>
              </w:tc>
              <w:tc>
                <w:tcPr/>
                <w:p>
                  <w:pPr>
                    <w:pStyle w:val="Compact"/>
                  </w:pPr>
                  <w:r>
                    <w:t xml:space="preserve">Pros</w:t>
                  </w:r>
                </w:p>
              </w:tc>
              <w:tc>
                <w:tcPr/>
                <w:p>
                  <w:pPr>
                    <w:pStyle w:val="Compact"/>
                  </w:pPr>
                  <w:r>
                    <w:t xml:space="preserve">Cons</w:t>
                  </w:r>
                </w:p>
              </w:tc>
            </w:tr>
            <w:tr>
              <w:tc>
                <w:tcPr/>
                <w:p>
                  <w:pPr>
                    <w:pStyle w:val="Compact"/>
                  </w:pPr>
                  <w:r>
                    <w:t xml:space="preserve">Additive</w:t>
                  </w:r>
                </w:p>
              </w:tc>
              <w:tc>
                <w:tcPr/>
                <w:p>
                  <w:pPr>
                    <w:pStyle w:val="Compact"/>
                  </w:pPr>
                  <w:r>
                    <w:t xml:space="preserve">0 / 1 / 2</w:t>
                  </w:r>
                </w:p>
              </w:tc>
              <w:tc>
                <w:tcPr/>
                <w:p>
                  <w:pPr>
                    <w:pStyle w:val="Compact"/>
                  </w:pPr>
                  <w:r>
                    <w:t xml:space="preserve">Per additional allele</w:t>
                  </w:r>
                </w:p>
              </w:tc>
              <w:tc>
                <w:tcPr/>
                <w:p>
                  <w:pPr>
                    <w:pStyle w:val="Compact"/>
                  </w:pPr>
                  <w:r>
                    <w:t xml:space="preserve">High power, interpretable</w:t>
                  </w:r>
                </w:p>
              </w:tc>
              <w:tc>
                <w:tcPr/>
                <w:p>
                  <w:pPr>
                    <w:pStyle w:val="Compact"/>
                  </w:pPr>
                  <w:r>
                    <w:t xml:space="preserve">May miss non-linear effects</w:t>
                  </w:r>
                </w:p>
              </w:tc>
            </w:tr>
            <w:tr>
              <w:tc>
                <w:tcPr/>
                <w:p>
                  <w:pPr>
                    <w:pStyle w:val="Compact"/>
                  </w:pPr>
                  <w:r>
                    <w:t xml:space="preserve">Dominant</w:t>
                  </w:r>
                </w:p>
              </w:tc>
              <w:tc>
                <w:tcPr/>
                <w:p>
                  <w:pPr>
                    <w:pStyle w:val="Compact"/>
                  </w:pPr>
                  <w:r>
                    <w:t xml:space="preserve">0 / 1 / 1</w:t>
                  </w:r>
                </w:p>
              </w:tc>
              <w:tc>
                <w:tcPr/>
                <w:p>
                  <w:pPr>
                    <w:pStyle w:val="Compact"/>
                  </w:pPr>
                  <w:r>
                    <w:t xml:space="preserve">Any copy of minor allele</w:t>
                  </w:r>
                </w:p>
              </w:tc>
              <w:tc>
                <w:tcPr/>
                <w:p>
                  <w:pPr>
                    <w:pStyle w:val="Compact"/>
                  </w:pPr>
                  <w:r>
                    <w:t xml:space="preserve">Fits some Mendelian patterns</w:t>
                  </w:r>
                </w:p>
              </w:tc>
              <w:tc>
                <w:tcPr/>
                <w:p>
                  <w:pPr>
                    <w:pStyle w:val="Compact"/>
                  </w:pPr>
                  <w:r>
                    <w:t xml:space="preserve">Oversimplifies if dose-response</w:t>
                  </w:r>
                </w:p>
              </w:tc>
            </w:tr>
            <w:tr>
              <w:tc>
                <w:tcPr/>
                <w:p>
                  <w:pPr>
                    <w:pStyle w:val="Compact"/>
                  </w:pPr>
                  <w:r>
                    <w:t xml:space="preserve">Recessive</w:t>
                  </w:r>
                </w:p>
              </w:tc>
              <w:tc>
                <w:tcPr/>
                <w:p>
                  <w:pPr>
                    <w:pStyle w:val="Compact"/>
                  </w:pPr>
                  <w:r>
                    <w:t xml:space="preserve">0 / 0 / 1</w:t>
                  </w:r>
                </w:p>
              </w:tc>
              <w:tc>
                <w:tcPr/>
                <w:p>
                  <w:pPr>
                    <w:pStyle w:val="Compact"/>
                  </w:pPr>
                  <w:r>
                    <w:t xml:space="preserve">Two copies of minor allele</w:t>
                  </w:r>
                </w:p>
              </w:tc>
              <w:tc>
                <w:tcPr/>
                <w:p>
                  <w:pPr>
                    <w:pStyle w:val="Compact"/>
                  </w:pPr>
                  <w:r>
                    <w:t xml:space="preserve">Fits true recessive traits</w:t>
                  </w:r>
                </w:p>
              </w:tc>
              <w:tc>
                <w:tcPr/>
                <w:p>
                  <w:pPr>
                    <w:pStyle w:val="Compact"/>
                  </w:pPr>
                  <w:r>
                    <w:t xml:space="preserve">Low power with rare alleles</w:t>
                  </w:r>
                </w:p>
              </w:tc>
            </w:tr>
          </w:tbl>
          <w:p>
            <w:r>
              <w:pict>
                <v:rect style="width:0;height:1.5pt" o:hralign="center" o:hrstd="t" o:hr="t"/>
              </w:pict>
            </w:r>
          </w:p>
          <w:p>
            <w:pPr>
              <w:pStyle w:val="FirstParagraph"/>
            </w:pPr>
            <w:pPr>
              <w:spacing w:after="16"/>
            </w:pPr>
            <w:r>
              <w:t xml:space="preserve">Other less Frequent Models include</w:t>
            </w:r>
            <w:r>
              <w:t xml:space="preserve"> </w:t>
            </w:r>
            <w:r>
              <w:rPr>
                <w:b/>
                <w:bCs/>
              </w:rPr>
              <w:t xml:space="preserve">Overdominant</w:t>
            </w:r>
            <w:r>
              <w:t xml:space="preserve">, in which the effect only occurs in</w:t>
            </w:r>
            <w:r>
              <w:t xml:space="preserve"> </w:t>
            </w:r>
            <w:r>
              <w:rPr>
                <w:b/>
                <w:bCs/>
              </w:rPr>
              <w:t xml:space="preserve">heterozygotes</w:t>
            </w:r>
            <w:r>
              <w:t xml:space="preserve">. Rarely used in GWAS, but relevant for</w:t>
            </w:r>
            <w:r>
              <w:t xml:space="preserve"> </w:t>
            </w:r>
            <w:r>
              <w:rPr>
                <w:b/>
                <w:bCs/>
              </w:rPr>
              <w:t xml:space="preserve">heterozygous</w:t>
            </w:r>
            <w:r>
              <w:t xml:space="preserve"> </w:t>
            </w:r>
            <w:r>
              <w:t xml:space="preserve">scenarios (e.g., sickle cell and malaria).</w:t>
            </w:r>
          </w:p>
        </w:tc>
      </w:tr>
    </w:tbl>
    <w:bookmarkStart w:id="260" w:name="sec-GENPWR"/>
    <w:p>
      <w:pPr>
        <w:pStyle w:val="Heading3"/>
      </w:pPr>
      <w:r>
        <w:t xml:space="preserve">2.3.1</w:t>
      </w:r>
      <w:r>
        <w:t xml:space="preserve"> </w:t>
      </w:r>
      <w:r>
        <w:rPr>
          <w:rStyle w:val="VerbatimChar"/>
        </w:rPr>
        <w:t xml:space="preserve">GENPWR</w:t>
      </w:r>
      <w:r>
        <w:t xml:space="preserve"> </w:t>
      </w:r>
      <w:r>
        <w:t xml:space="preserve">Sample Size estimation</w:t>
      </w:r>
    </w:p>
    <w:p>
      <w:pPr>
        <w:numPr>
          <w:ilvl w:val="0"/>
          <w:numId w:val="1061"/>
        </w:numPr>
      </w:pPr>
      <w:r>
        <w:rPr>
          <w:color w:val="red"/>
        </w:rPr>
        <w:t>
          <w:r>
            <w:t xml:space="preserve">Noted out some bugs for</w:t>
          </w:r>
          <w:r>
            <w:t xml:space="preserve"> </w:t>
          </w:r>
          <w:r>
            <w:rPr>
              <w:rStyle w:val="VerbatimChar"/>
            </w:rPr>
            <w:t xml:space="preserve">GENPWR</w:t>
          </w:r>
          <w:r>
            <w:t xml:space="preserve"> </w:t>
          </w:r>
          <w:r>
            <w:t xml:space="preserve">in extreme scenarios, like negative estimation of sample sizes, or sample sizes not increasing monotonically with decreasing</w:t>
          </w:r>
          <w:r>
            <w:t xml:space="preserve"> </w:t>
          </w:r>
          <m:oMath>
            <m:r>
              <m:t>p</m:t>
            </m:r>
            <m:r>
              <m:rPr>
                <m:sty m:val="p"/>
              </m:rPr>
              <m:t>−</m:t>
            </m:r>
          </m:oMath>
          <w:r>
            <w:t xml:space="preserve"> </w:t>
          </w:r>
          <w:r>
            <w:t xml:space="preserve">value.</w:t>
          </w:r>
        </w:t>
      </w:r>
    </w:p>
    <w:p>
      <w:pPr>
        <w:numPr>
          <w:ilvl w:val="0"/>
          <w:numId w:val="1061"/>
        </w:numPr>
      </w:pPr>
      <w:r>
        <w:t xml:space="preserve">Fadista et al. (</w:t>
      </w:r>
      <w:hyperlink w:anchor="ref-fadista2016ejhg">
        <w:r>
          <w:rPr>
            <w:rStyle w:val="Hyperlink"/>
          </w:rPr>
          <w:t xml:space="preserve">2016</w:t>
        </w:r>
      </w:hyperlink>
      <w:r>
        <w:t xml:space="preserve">)</w:t>
      </w:r>
      <w:r>
        <w:t xml:space="preserve"> </w:t>
      </w:r>
      <w:r>
        <w:t xml:space="preserve">estimates the following thresholds:</w:t>
      </w:r>
    </w:p>
    <w:p>
      <w:pPr>
        <w:pStyle w:val="Compact"/>
        <w:numPr>
          <w:ilvl w:val="1"/>
          <w:numId w:val="1062"/>
        </w:numPr>
      </w:pPr>
      <m:oMath>
        <m:r>
          <m:t>5</m:t>
        </m:r>
        <m:r>
          <m:rPr>
            <m:sty m:val="p"/>
          </m:rPr>
          <m:t>×</m:t>
        </m:r>
        <m:sSup>
          <m:e>
            <m:r>
              <m:t>10</m:t>
            </m:r>
          </m:e>
          <m:sup>
            <m:r>
              <m:rPr>
                <m:sty m:val="p"/>
              </m:rPr>
              <m:t>−</m:t>
            </m:r>
            <m:r>
              <m:t>8</m:t>
            </m:r>
          </m:sup>
        </m:sSup>
      </m:oMath>
      <w:r>
        <w:t xml:space="preserve"> </w:t>
      </w:r>
      <m:oMath>
        <m:r>
          <m:t>p</m:t>
        </m:r>
      </m:oMath>
      <w:r>
        <w:t xml:space="preserve">-value threshold for WGS for common genetic variations in the European population (</w:t>
      </w:r>
      <m:oMath>
        <m:r>
          <m:rPr>
            <m:nor/>
            <m:sty m:val="p"/>
          </m:rPr>
          <m:t>MAF</m:t>
        </m:r>
        <m:r>
          <m:rPr>
            <m:sty m:val="p"/>
          </m:rPr>
          <m:t>≥</m:t>
        </m:r>
        <m:r>
          <m:t>5</m:t>
        </m:r>
        <m:r>
          <m:rPr>
            <m:sty m:val="p"/>
          </m:rPr>
          <m:t>%</m:t>
        </m:r>
      </m:oMath>
      <w:r>
        <w:t xml:space="preserve">).</w:t>
      </w:r>
    </w:p>
    <w:p>
      <w:pPr>
        <w:pStyle w:val="Compact"/>
        <w:numPr>
          <w:ilvl w:val="1"/>
          <w:numId w:val="1062"/>
        </w:numPr>
      </w:pPr>
      <m:oMath>
        <m:r>
          <m:t>3</m:t>
        </m:r>
        <m:r>
          <m:rPr>
            <m:sty m:val="p"/>
          </m:rPr>
          <m:t>×</m:t>
        </m:r>
        <m:sSup>
          <m:e>
            <m:r>
              <m:t>10</m:t>
            </m:r>
          </m:e>
          <m:sup>
            <m:r>
              <m:rPr>
                <m:sty m:val="p"/>
              </m:rPr>
              <m:t>−</m:t>
            </m:r>
            <m:r>
              <m:t>8</m:t>
            </m:r>
          </m:sup>
        </m:sSup>
      </m:oMath>
      <w:r>
        <w:t xml:space="preserve"> </w:t>
      </w:r>
      <w:r>
        <w:t xml:space="preserve">for</w:t>
      </w:r>
      <w:r>
        <w:t xml:space="preserve"> </w:t>
      </w:r>
      <m:oMath>
        <m:r>
          <m:rPr>
            <m:nor/>
            <m:sty m:val="p"/>
          </m:rPr>
          <m:t>MAF</m:t>
        </m:r>
        <m:r>
          <m:rPr>
            <m:sty m:val="p"/>
          </m:rPr>
          <m:t>≥</m:t>
        </m:r>
        <m:r>
          <m:t>1</m:t>
        </m:r>
        <m:r>
          <m:rPr>
            <m:sty m:val="p"/>
          </m:rPr>
          <m:t>%</m:t>
        </m:r>
      </m:oMath>
    </w:p>
    <w:p>
      <w:pPr>
        <w:pStyle w:val="Compact"/>
        <w:numPr>
          <w:ilvl w:val="1"/>
          <w:numId w:val="1062"/>
        </w:numPr>
      </w:pPr>
      <m:oMath>
        <m:r>
          <m:t>1</m:t>
        </m:r>
        <m:r>
          <m:rPr>
            <m:sty m:val="p"/>
          </m:rPr>
          <m:t>×</m:t>
        </m:r>
        <m:sSup>
          <m:e>
            <m:r>
              <m:t>10</m:t>
            </m:r>
          </m:e>
          <m:sup>
            <m:r>
              <m:rPr>
                <m:sty m:val="p"/>
              </m:rPr>
              <m:t>−</m:t>
            </m:r>
          </m:sup>
        </m:sSup>
        <m:r>
          <m:t>8</m:t>
        </m:r>
      </m:oMath>
      <w:r>
        <w:t xml:space="preserve"> </w:t>
      </w:r>
      <w:r>
        <w:t xml:space="preserve">for rare variants with</w:t>
      </w:r>
      <w:r>
        <w:t xml:space="preserve"> </w:t>
      </w:r>
      <m:oMath>
        <m:r>
          <m:rPr>
            <m:nor/>
            <m:sty m:val="p"/>
          </m:rPr>
          <m:t>MAF</m:t>
        </m:r>
        <m:r>
          <m:rPr>
            <m:sty m:val="p"/>
          </m:rPr>
          <m:t>≥</m:t>
        </m:r>
        <m:r>
          <m:t>0.1</m:t>
        </m:r>
        <m:r>
          <m:rPr>
            <m:sty m:val="p"/>
          </m:rPr>
          <m:t>%</m:t>
        </m:r>
      </m:oMath>
      <w:r>
        <w:t xml:space="preserve">.</w:t>
      </w:r>
    </w:p>
    <w:p>
      <w:pPr>
        <w:pStyle w:val="Compact"/>
        <w:numPr>
          <w:ilvl w:val="1"/>
          <w:numId w:val="1062"/>
        </w:numPr>
      </w:pPr>
      <w:r>
        <w:t xml:space="preserve">From the</w:t>
      </w:r>
      <w:r>
        <w:t xml:space="preserve"> </w:t>
      </w:r>
      <w:r>
        <w:rPr>
          <w:b/>
          <w:bCs/>
        </w:rPr>
        <w:t xml:space="preserve">Conclusion section</w:t>
      </w:r>
      <w:r>
        <w:t xml:space="preserve">, for WES, it turns out that these thresholds can be softened by several orders of magnitude.</w:t>
      </w:r>
    </w:p>
    <w:p>
      <w:pPr>
        <w:numPr>
          <w:ilvl w:val="0"/>
          <w:numId w:val="1061"/>
        </w:numPr>
      </w:pPr>
      <w:r>
        <w:t xml:space="preserve">David (</w:t>
      </w:r>
      <w:hyperlink w:anchor="ref-david2021tig">
        <w:r>
          <w:rPr>
            <w:rStyle w:val="Hyperlink"/>
          </w:rPr>
          <w:t xml:space="preserve">2021</w:t>
        </w:r>
      </w:hyperlink>
      <w:r>
        <w:t xml:space="preserve">)</w:t>
      </w:r>
      <w:r>
        <w:t xml:space="preserve"> </w:t>
      </w:r>
      <w:r>
        <w:t xml:space="preserve">determines that:</w:t>
      </w:r>
    </w:p>
    <w:p>
      <w:pPr>
        <w:pStyle w:val="Compact"/>
        <w:numPr>
          <w:ilvl w:val="1"/>
          <w:numId w:val="1063"/>
        </w:numPr>
      </w:pPr>
      <w:r>
        <w:t xml:space="preserve">The odds-ratio was on average below 2 for frequent variants.</w:t>
      </w:r>
    </w:p>
    <w:p>
      <w:pPr>
        <w:pStyle w:val="Compact"/>
        <w:numPr>
          <w:ilvl w:val="1"/>
          <w:numId w:val="1063"/>
        </w:numPr>
      </w:pPr>
      <w:r>
        <w:t xml:space="preserve">And around 4 for rare variants,</w:t>
      </w:r>
      <w:r>
        <w:t xml:space="preserve"> </w:t>
      </w:r>
      <m:oMath>
        <m:r>
          <m:rPr>
            <m:nor/>
            <m:sty m:val="p"/>
          </m:rPr>
          <m:t>MAF</m:t>
        </m:r>
        <m:r>
          <m:rPr>
            <m:sty m:val="p"/>
          </m:rPr>
          <m:t>&lt;</m:t>
        </m:r>
        <m:r>
          <m:t>0.1</m:t>
        </m:r>
      </m:oMath>
    </w:p>
    <w:p>
      <w:pPr>
        <w:numPr>
          <w:ilvl w:val="0"/>
          <w:numId w:val="1061"/>
        </w:numPr>
      </w:pPr>
      <w:r>
        <w:rPr>
          <w:rStyle w:val="VerbatimChar"/>
        </w:rPr>
        <w:t xml:space="preserve">2df</w:t>
      </w:r>
      <w:r>
        <w:t xml:space="preserve">stands for two degrees of freedom, in other words, when no inheritance model is assumed.</w:t>
      </w:r>
    </w:p>
    <w:p>
      <w:pPr>
        <w:pStyle w:val="SourceCode"/>
      </w:pPr>
      <w:r>
        <w:rPr>
          <w:rStyle w:val="NormalTok"/>
        </w:rPr>
        <w:t xml:space="preserve">cartagene_phenodata </w:t>
      </w:r>
      <w:r>
        <w:rPr>
          <w:rStyle w:val="OtherTok"/>
        </w:rPr>
        <w:t xml:space="preserve">&lt;-</w:t>
      </w:r>
      <w:r>
        <w:rPr>
          <w:rStyle w:val="NormalTok"/>
        </w:rPr>
        <w:t xml:space="preserve"> readr</w:t>
      </w:r>
      <w:r>
        <w:rPr>
          <w:rStyle w:val="SpecialCharTok"/>
        </w:rPr>
        <w:t xml:space="preserve">::</w:t>
      </w:r>
      <w:r>
        <w:rPr>
          <w:rStyle w:val="FunctionTok"/>
        </w:rPr>
        <w:t xml:space="preserve">read_tsv</w:t>
      </w:r>
      <w:r>
        <w:rPr>
          <w:rStyle w:val="NormalTok"/>
        </w:rPr>
        <w:t xml:space="preserve">(</w:t>
      </w:r>
      <w:r>
        <w:rPr>
          <w:rStyle w:val="StringTok"/>
        </w:rPr>
        <w:t xml:space="preserve">"data/phenotypes/merge_phenos_PCs.txt"</w:t>
      </w:r>
      <w:r>
        <w:rPr>
          <w:rStyle w:val="NormalTok"/>
        </w:rPr>
        <w:t xml:space="preserve">, </w:t>
      </w:r>
      <w:r>
        <w:br/>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w:t>
      </w:r>
      <w:r>
        <w:br/>
      </w:r>
      <w:r>
        <w:br/>
      </w:r>
      <w:r>
        <w:rPr>
          <w:rStyle w:val="NormalTok"/>
        </w:rPr>
        <w:t xml:space="preserve">num_features </w:t>
      </w:r>
      <w:r>
        <w:rPr>
          <w:rStyle w:val="OtherTok"/>
        </w:rPr>
        <w:t xml:space="preserve">&lt;-</w:t>
      </w:r>
      <w:r>
        <w:rPr>
          <w:rStyle w:val="NormalTok"/>
        </w:rPr>
        <w:t xml:space="preserve"> </w:t>
      </w:r>
      <w:r>
        <w:rPr>
          <w:rStyle w:val="DecValTok"/>
        </w:rPr>
        <w:t xml:space="preserve">9</w:t>
      </w:r>
      <w:r>
        <w:br/>
      </w:r>
      <w:r>
        <w:rPr>
          <w:rStyle w:val="NormalTok"/>
        </w:rPr>
        <w:t xml:space="preserve">num_variants </w:t>
      </w:r>
      <w:r>
        <w:rPr>
          <w:rStyle w:val="OtherTok"/>
        </w:rPr>
        <w:t xml:space="preserve">&lt;-</w:t>
      </w:r>
      <w:r>
        <w:rPr>
          <w:rStyle w:val="NormalTok"/>
        </w:rPr>
        <w:t xml:space="preserve"> </w:t>
      </w:r>
      <w:r>
        <w:rPr>
          <w:rStyle w:val="FunctionTok"/>
        </w:rPr>
        <w:t xml:space="preserve">nrow</w:t>
      </w:r>
      <w:r>
        <w:rPr>
          <w:rStyle w:val="NormalTok"/>
        </w:rPr>
        <w:t xml:space="preserve">(vcf_tidy</w:t>
      </w:r>
      <w:r>
        <w:rPr>
          <w:rStyle w:val="SpecialCharTok"/>
        </w:rPr>
        <w:t xml:space="preserve">$</w:t>
      </w:r>
      <w:r>
        <w:rPr>
          <w:rStyle w:val="NormalTok"/>
        </w:rPr>
        <w:t xml:space="preserve">fix)</w:t>
      </w:r>
      <w:r>
        <w:br/>
      </w:r>
      <w:r>
        <w:rPr>
          <w:rStyle w:val="NormalTok"/>
        </w:rPr>
        <w:t xml:space="preserve">  </w:t>
      </w:r>
      <w:r>
        <w:br/>
      </w:r>
      <w:r>
        <w:rPr>
          <w:rStyle w:val="NormalTok"/>
        </w:rPr>
        <w:t xml:space="preserve">case_rate_tbl </w:t>
      </w:r>
      <w:r>
        <w:rPr>
          <w:rStyle w:val="OtherTok"/>
        </w:rPr>
        <w:t xml:space="preserve">&lt;-</w:t>
      </w:r>
      <w:r>
        <w:rPr>
          <w:rStyle w:val="NormalTok"/>
        </w:rPr>
        <w:t xml:space="preserve"> </w:t>
      </w:r>
      <w:r>
        <w:rPr>
          <w:rStyle w:val="FunctionTok"/>
        </w:rPr>
        <w:t xml:space="preserve">table</w:t>
      </w:r>
      <w:r>
        <w:rPr>
          <w:rStyle w:val="NormalTok"/>
        </w:rPr>
        <w:t xml:space="preserve">(cartagene_phenodata</w:t>
      </w:r>
      <w:r>
        <w:rPr>
          <w:rStyle w:val="SpecialCharTok"/>
        </w:rPr>
        <w:t xml:space="preserve">$</w:t>
      </w:r>
      <w:r>
        <w:rPr>
          <w:rStyle w:val="NormalTok"/>
        </w:rPr>
        <w:t xml:space="preserve">OSTEOPONIA)</w:t>
      </w:r>
      <w:r>
        <w:br/>
      </w:r>
      <w:r>
        <w:rPr>
          <w:rStyle w:val="NormalTok"/>
        </w:rPr>
        <w:t xml:space="preserve">case_rate </w:t>
      </w:r>
      <w:r>
        <w:rPr>
          <w:rStyle w:val="OtherTok"/>
        </w:rPr>
        <w:t xml:space="preserve">&lt;-</w:t>
      </w:r>
      <w:r>
        <w:rPr>
          <w:rStyle w:val="NormalTok"/>
        </w:rPr>
        <w:t xml:space="preserve"> stats</w:t>
      </w:r>
      <w:r>
        <w:rPr>
          <w:rStyle w:val="SpecialCharTok"/>
        </w:rPr>
        <w:t xml:space="preserve">::</w:t>
      </w:r>
      <w:r>
        <w:rPr>
          <w:rStyle w:val="FunctionTok"/>
        </w:rPr>
        <w:t xml:space="preserve">setNames</w:t>
      </w:r>
      <w:r>
        <w:rPr>
          <w:rStyle w:val="NormalTok"/>
        </w:rPr>
        <w:t xml:space="preserve">(case_rate_tbl, </w:t>
      </w:r>
      <w:r>
        <w:rPr>
          <w:rStyle w:val="FunctionTok"/>
        </w:rPr>
        <w:t xml:space="preserve">names</w:t>
      </w:r>
      <w:r>
        <w:rPr>
          <w:rStyle w:val="NormalTok"/>
        </w:rPr>
        <w:t xml:space="preserve">(case_rate_tbl))</w:t>
      </w:r>
      <w:r>
        <w:br/>
      </w:r>
      <w:r>
        <w:rPr>
          <w:rStyle w:val="NormalTok"/>
        </w:rPr>
        <w:t xml:space="preserve">case_rate </w:t>
      </w:r>
      <w:r>
        <w:rPr>
          <w:rStyle w:val="OtherTok"/>
        </w:rPr>
        <w:t xml:space="preserve">&lt;-</w:t>
      </w:r>
      <w:r>
        <w:rPr>
          <w:rStyle w:val="NormalTok"/>
        </w:rPr>
        <w:t xml:space="preserve"> case_rate_tbl[</w:t>
      </w:r>
      <w:r>
        <w:rPr>
          <w:rStyle w:val="StringTok"/>
        </w:rPr>
        <w:t xml:space="preserve">"2"</w:t>
      </w:r>
      <w:r>
        <w:rPr>
          <w:rStyle w:val="NormalTok"/>
        </w:rPr>
        <w:t xml:space="preserve">]</w:t>
      </w:r>
      <w:r>
        <w:rPr>
          <w:rStyle w:val="SpecialCharTok"/>
        </w:rPr>
        <w:t xml:space="preserve">/</w:t>
      </w:r>
      <w:r>
        <w:rPr>
          <w:rStyle w:val="FunctionTok"/>
        </w:rPr>
        <w:t xml:space="preserve">sum</w:t>
      </w:r>
      <w:r>
        <w:rPr>
          <w:rStyle w:val="NormalTok"/>
        </w:rPr>
        <w:t xml:space="preserve">(case_rate)</w:t>
      </w:r>
      <w:r>
        <w:br/>
      </w:r>
      <w:r>
        <w:rPr>
          <w:rStyle w:val="NormalTok"/>
        </w:rPr>
        <w:t xml:space="preserve">case_rate </w:t>
      </w:r>
      <w:r>
        <w:rPr>
          <w:rStyle w:val="OtherTok"/>
        </w:rPr>
        <w:t xml:space="preserve">&lt;-</w:t>
      </w:r>
      <w:r>
        <w:rPr>
          <w:rStyle w:val="NormalTok"/>
        </w:rPr>
        <w:t xml:space="preserve"> case_rate[[</w:t>
      </w:r>
      <w:r>
        <w:rPr>
          <w:rStyle w:val="StringTok"/>
        </w:rPr>
        <w:t xml:space="preserve">"2"</w:t>
      </w:r>
      <w:r>
        <w:rPr>
          <w:rStyle w:val="NormalTok"/>
        </w:rPr>
        <w:t xml:space="preserve">]]</w:t>
      </w:r>
    </w:p>
    <w:p>
      <w:pPr>
        <w:pStyle w:val="Heading4"/>
      </w:pPr>
      <w:r>
        <w:t xml:space="preserve">Without adjustement</w:t>
      </w:r>
    </w:p>
    <w:p>
      <w:pPr>
        <w:pStyle w:val="SourceCode"/>
      </w:pPr>
      <w:r>
        <w:rPr>
          <w:rStyle w:val="NormalTok"/>
        </w:rPr>
        <w:t xml:space="preserve">pval_free </w:t>
      </w:r>
      <w:r>
        <w:rPr>
          <w:rStyle w:val="OtherTok"/>
        </w:rPr>
        <w:t xml:space="preserve">&lt;-</w:t>
      </w:r>
      <w:r>
        <w:rPr>
          <w:rStyle w:val="NormalTok"/>
        </w:rPr>
        <w:t xml:space="preserve"> </w:t>
      </w:r>
      <w:r>
        <w:rPr>
          <w:rStyle w:val="FloatTok"/>
        </w:rPr>
        <w:t xml:space="preserve">0.05</w:t>
      </w:r>
      <w:r>
        <w:br/>
      </w:r>
      <w:r>
        <w:rPr>
          <w:rStyle w:val="NormalTok"/>
        </w:rPr>
        <w:t xml:space="preserve">ss_not_adjusted </w:t>
      </w:r>
      <w:r>
        <w:rPr>
          <w:rStyle w:val="OtherTok"/>
        </w:rPr>
        <w:t xml:space="preserve">&lt;-</w:t>
      </w:r>
      <w:r>
        <w:rPr>
          <w:rStyle w:val="NormalTok"/>
        </w:rPr>
        <w:t xml:space="preserve"> </w:t>
      </w:r>
      <w:r>
        <w:rPr>
          <w:rStyle w:val="FunctionTok"/>
        </w:rPr>
        <w:t xml:space="preserve">genpwr.calc</w:t>
      </w:r>
      <w:r>
        <w:rPr>
          <w:rStyle w:val="NormalTok"/>
        </w:rPr>
        <w:t xml:space="preserve">(</w:t>
      </w:r>
      <w:r>
        <w:rPr>
          <w:rStyle w:val="AttributeTok"/>
        </w:rPr>
        <w:t xml:space="preserve">calc =</w:t>
      </w:r>
      <w:r>
        <w:rPr>
          <w:rStyle w:val="NormalTok"/>
        </w:rPr>
        <w:t xml:space="preserve"> </w:t>
      </w:r>
      <w:r>
        <w:rPr>
          <w:rStyle w:val="StringTok"/>
        </w:rPr>
        <w:t xml:space="preserve">"ss"</w:t>
      </w:r>
      <w:r>
        <w:rPr>
          <w:rStyle w:val="NormalTok"/>
        </w:rPr>
        <w:t xml:space="preserve">,</w:t>
      </w:r>
      <w:r>
        <w:br/>
      </w:r>
      <w:r>
        <w:rPr>
          <w:rStyle w:val="NormalTok"/>
        </w:rPr>
        <w:t xml:space="preserve">                  </w:t>
      </w:r>
      <w:r>
        <w:rPr>
          <w:rStyle w:val="AttributeTok"/>
        </w:rPr>
        <w:t xml:space="preserve">model =</w:t>
      </w:r>
      <w:r>
        <w:rPr>
          <w:rStyle w:val="NormalTok"/>
        </w:rPr>
        <w:t xml:space="preserve"> </w:t>
      </w:r>
      <w:r>
        <w:rPr>
          <w:rStyle w:val="StringTok"/>
        </w:rPr>
        <w:t xml:space="preserve">"logistic"</w:t>
      </w:r>
      <w:r>
        <w:rPr>
          <w:rStyle w:val="NormalTok"/>
        </w:rPr>
        <w:t xml:space="preserve">, </w:t>
      </w:r>
      <w:r>
        <w:br/>
      </w:r>
      <w:r>
        <w:rPr>
          <w:rStyle w:val="NormalTok"/>
        </w:rPr>
        <w:t xml:space="preserve">                  </w:t>
      </w:r>
      <w:r>
        <w:rPr>
          <w:rStyle w:val="AttributeTok"/>
        </w:rPr>
        <w:t xml:space="preserve">ge.interaction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OR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AttributeTok"/>
        </w:rPr>
        <w:t xml:space="preserve">Case.Rate =</w:t>
      </w:r>
      <w:r>
        <w:rPr>
          <w:rStyle w:val="NormalTok"/>
        </w:rPr>
        <w:t xml:space="preserve"> case_rate, </w:t>
      </w:r>
      <w:r>
        <w:br/>
      </w:r>
      <w:r>
        <w:rPr>
          <w:rStyle w:val="NormalTok"/>
        </w:rPr>
        <w:t xml:space="preserve">                  </w:t>
      </w:r>
      <w:r>
        <w:rPr>
          <w:rStyle w:val="AttributeTok"/>
        </w:rPr>
        <w:t xml:space="preserve">Power =</w:t>
      </w:r>
      <w:r>
        <w:rPr>
          <w:rStyle w:val="NormalTok"/>
        </w:rPr>
        <w:t xml:space="preserve"> </w:t>
      </w:r>
      <w:r>
        <w:rPr>
          <w:rStyle w:val="FloatTok"/>
        </w:rPr>
        <w:t xml:space="preserve">0.8</w:t>
      </w:r>
      <w:r>
        <w:rPr>
          <w:rStyle w:val="NormalTok"/>
        </w:rPr>
        <w:t xml:space="preserve">,</w:t>
      </w:r>
      <w:r>
        <w:br/>
      </w:r>
      <w:r>
        <w:rPr>
          <w:rStyle w:val="NormalTok"/>
        </w:rPr>
        <w:t xml:space="preserve">                  </w:t>
      </w:r>
      <w:r>
        <w:rPr>
          <w:rStyle w:val="AttributeTok"/>
        </w:rPr>
        <w:t xml:space="preserve">MAF =</w:t>
      </w:r>
      <w:r>
        <w:rPr>
          <w:rStyle w:val="NormalTok"/>
        </w:rPr>
        <w:t xml:space="preserve"> </w:t>
      </w:r>
      <w:r>
        <w:rPr>
          <w:rStyle w:val="FunctionTok"/>
        </w:rPr>
        <w:t xml:space="preserve">c</w:t>
      </w:r>
      <w:r>
        <w:rPr>
          <w:rStyle w:val="NormalTok"/>
        </w:rPr>
        <w:t xml:space="preserve">(</w:t>
      </w:r>
      <w:r>
        <w:rPr>
          <w:rStyle w:val="FloatTok"/>
        </w:rPr>
        <w:t xml:space="preserve">0.01</w:t>
      </w:r>
      <w:r>
        <w:rPr>
          <w:rStyle w:val="NormalTok"/>
        </w:rPr>
        <w:t xml:space="preserve">, </w:t>
      </w:r>
      <w:r>
        <w:rPr>
          <w:rStyle w:val="FloatTok"/>
        </w:rPr>
        <w:t xml:space="preserve">0.02</w:t>
      </w:r>
      <w:r>
        <w:rPr>
          <w:rStyle w:val="NormalTok"/>
        </w:rPr>
        <w:t xml:space="preserve">, </w:t>
      </w:r>
      <w:r>
        <w:rPr>
          <w:rStyle w:val="FloatTok"/>
        </w:rPr>
        <w:t xml:space="preserve">0.05</w:t>
      </w:r>
      <w:r>
        <w:rPr>
          <w:rStyle w:val="NormalTok"/>
        </w:rPr>
        <w:t xml:space="preserve">, </w:t>
      </w:r>
      <w:r>
        <w:rPr>
          <w:rStyle w:val="FloatTok"/>
        </w:rPr>
        <w:t xml:space="preserve">0.10</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pval_free,</w:t>
      </w:r>
      <w:r>
        <w:br/>
      </w:r>
      <w:r>
        <w:rPr>
          <w:rStyle w:val="NormalTok"/>
        </w:rPr>
        <w:t xml:space="preserve">                  </w:t>
      </w:r>
      <w:r>
        <w:rPr>
          <w:rStyle w:val="AttributeTok"/>
        </w:rPr>
        <w:t xml:space="preserve">True.Model =</w:t>
      </w:r>
      <w:r>
        <w:rPr>
          <w:rStyle w:val="NormalTok"/>
        </w:rPr>
        <w:t xml:space="preserve"> </w:t>
      </w:r>
      <w:r>
        <w:rPr>
          <w:rStyle w:val="StringTok"/>
        </w:rPr>
        <w:t xml:space="preserve">"All"</w:t>
      </w:r>
      <w:r>
        <w:rPr>
          <w:rStyle w:val="NormalTok"/>
        </w:rPr>
        <w:t xml:space="preserve">, </w:t>
      </w:r>
      <w:r>
        <w:br/>
      </w:r>
      <w:r>
        <w:rPr>
          <w:rStyle w:val="NormalTok"/>
        </w:rPr>
        <w:t xml:space="preserve">                  </w:t>
      </w:r>
      <w:r>
        <w:rPr>
          <w:rStyle w:val="AttributeTok"/>
        </w:rPr>
        <w:t xml:space="preserve">Test.Model =</w:t>
      </w:r>
      <w:r>
        <w:rPr>
          <w:rStyle w:val="NormalTok"/>
        </w:rPr>
        <w:t xml:space="preserve"> </w:t>
      </w:r>
      <w:r>
        <w:rPr>
          <w:rStyle w:val="FunctionTok"/>
        </w:rPr>
        <w:t xml:space="preserve">c</w:t>
      </w:r>
      <w:r>
        <w:rPr>
          <w:rStyle w:val="NormalTok"/>
        </w:rPr>
        <w:t xml:space="preserve">(</w:t>
      </w:r>
      <w:r>
        <w:rPr>
          <w:rStyle w:val="StringTok"/>
        </w:rPr>
        <w:t xml:space="preserve">"Additive"</w:t>
      </w:r>
      <w:r>
        <w:rPr>
          <w:rStyle w:val="NormalTok"/>
        </w:rPr>
        <w:t xml:space="preserve">))</w:t>
      </w:r>
      <w:r>
        <w:br/>
      </w:r>
      <w:r>
        <w:br/>
      </w:r>
      <w:r>
        <w:rPr>
          <w:rStyle w:val="FunctionTok"/>
        </w:rPr>
        <w:t xml:space="preserve">ss.plot</w:t>
      </w:r>
      <w:r>
        <w:rPr>
          <w:rStyle w:val="NormalTok"/>
        </w:rPr>
        <w:t xml:space="preserve">(ss_not_adjusted)</w:t>
      </w:r>
      <w:r>
        <w:br/>
      </w:r>
      <w:r>
        <w:br/>
      </w:r>
      <w:r>
        <w:rPr>
          <w:rStyle w:val="NormalTok"/>
        </w:rPr>
        <w:t xml:space="preserve">ss_not_adjusted </w:t>
      </w:r>
      <w:r>
        <w:rPr>
          <w:rStyle w:val="OtherTok"/>
        </w:rPr>
        <w:t xml:space="preserve">&lt;-</w:t>
      </w:r>
      <w:r>
        <w:rPr>
          <w:rStyle w:val="NormalTok"/>
        </w:rPr>
        <w:t xml:space="preserve"> ss_not_adjusted </w:t>
      </w:r>
      <w:r>
        <w:rPr>
          <w:rStyle w:val="SpecialCharTok"/>
        </w:rPr>
        <w:t xml:space="preserve">|&gt;</w:t>
      </w:r>
      <w:r>
        <w:rPr>
          <w:rStyle w:val="NormalTok"/>
        </w:rPr>
        <w:t xml:space="preserve"> </w:t>
      </w:r>
      <w:r>
        <w:br/>
      </w:r>
      <w:r>
        <w:rPr>
          <w:rStyle w:val="NormalTok"/>
        </w:rPr>
        <w:t xml:space="preserve">  </w:t>
      </w:r>
      <w:r>
        <w:rPr>
          <w:rStyle w:val="FunctionTok"/>
        </w:rPr>
        <w:t xml:space="preserve">rename_with</w:t>
      </w:r>
      <w:r>
        <w:rPr>
          <w:rStyle w:val="NormalTok"/>
        </w:rPr>
        <w:t xml:space="preserve">( </w:t>
      </w:r>
      <w:r>
        <w:rPr>
          <w:rStyle w:val="SpecialCharTok"/>
        </w:rPr>
        <w:t xml:space="preserve">~</w:t>
      </w:r>
      <w:r>
        <w:rPr>
          <w:rStyle w:val="NormalTok"/>
        </w:rPr>
        <w:t xml:space="preserve"> </w:t>
      </w:r>
      <w:r>
        <w:rPr>
          <w:rStyle w:val="StringTok"/>
        </w:rPr>
        <w:t xml:space="preserve">"Pval"</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StringTok"/>
        </w:rPr>
        <w:t xml:space="preserve">"N_total_at_Alpha"</w:t>
      </w:r>
      <w:r>
        <w:rPr>
          <w:rStyle w:val="NormalTok"/>
        </w:rPr>
        <w:t xml:space="preserve">))</w:t>
      </w:r>
      <w:r>
        <w:br/>
      </w:r>
      <w:r>
        <w:br/>
      </w:r>
      <w:r>
        <w:rPr>
          <w:rStyle w:val="NormalTok"/>
        </w:rPr>
        <w:t xml:space="preserve">best_scenario </w:t>
      </w:r>
      <w:r>
        <w:rPr>
          <w:rStyle w:val="OtherTok"/>
        </w:rPr>
        <w:t xml:space="preserve">&lt;-</w:t>
      </w:r>
      <w:r>
        <w:rPr>
          <w:rStyle w:val="NormalTok"/>
        </w:rPr>
        <w:t xml:space="preserve"> ss_not_adjusted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(Pval </w:t>
      </w:r>
      <w:r>
        <w:rPr>
          <w:rStyle w:val="SpecialCharTok"/>
        </w:rPr>
        <w:t xml:space="preserve">==</w:t>
      </w:r>
      <w:r>
        <w:rPr>
          <w:rStyle w:val="NormalTok"/>
        </w:rPr>
        <w:t xml:space="preserve"> </w:t>
      </w:r>
      <w:r>
        <w:rPr>
          <w:rStyle w:val="FunctionTok"/>
        </w:rPr>
        <w:t xml:space="preserve">min</w:t>
      </w:r>
      <w:r>
        <w:rPr>
          <w:rStyle w:val="NormalTok"/>
        </w:rPr>
        <w:t xml:space="preserve">(Pval)) </w:t>
      </w:r>
      <w:r>
        <w:rPr>
          <w:rStyle w:val="SpecialCharTok"/>
        </w:rPr>
        <w:t xml:space="preserve">|&gt;</w:t>
      </w:r>
      <w:r>
        <w:br/>
      </w:r>
      <w:r>
        <w:rPr>
          <w:rStyle w:val="NormalTok"/>
        </w:rPr>
        <w:t xml:space="preserve">  </w:t>
      </w:r>
      <w:r>
        <w:rPr>
          <w:rStyle w:val="FunctionTok"/>
        </w:rPr>
        <w:t xml:space="preserve">pull</w:t>
      </w:r>
      <w:r>
        <w:rPr>
          <w:rStyle w:val="NormalTok"/>
        </w:rPr>
        <w:t xml:space="preserve">(Pval) </w:t>
      </w:r>
      <w:r>
        <w:rPr>
          <w:rStyle w:val="SpecialCharTok"/>
        </w:rPr>
        <w:t xml:space="preserve">|&gt;</w:t>
      </w:r>
      <w:r>
        <w:rPr>
          <w:rStyle w:val="NormalTok"/>
        </w:rPr>
        <w:t xml:space="preserve"> </w:t>
      </w:r>
      <w:r>
        <w:rPr>
          <w:rStyle w:val="FunctionTok"/>
        </w:rPr>
        <w:t xml:space="preserve">ceiling</w:t>
      </w:r>
      <w:r>
        <w:rPr>
          <w:rStyle w:val="NormalTok"/>
        </w:rPr>
        <w:t xml:space="preserve">()</w:t>
      </w:r>
      <w:r>
        <w:br/>
      </w:r>
      <w:r>
        <w:br/>
      </w:r>
      <w:r>
        <w:rPr>
          <w:rStyle w:val="NormalTok"/>
        </w:rPr>
        <w:t xml:space="preserve">intermediate_scenario </w:t>
      </w:r>
      <w:r>
        <w:rPr>
          <w:rStyle w:val="OtherTok"/>
        </w:rPr>
        <w:t xml:space="preserve">&lt;-</w:t>
      </w:r>
      <w:r>
        <w:rPr>
          <w:rStyle w:val="NormalTok"/>
        </w:rPr>
        <w:t xml:space="preserve"> ss_not_adjusted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(True.Model </w:t>
      </w:r>
      <w:r>
        <w:rPr>
          <w:rStyle w:val="SpecialCharTok"/>
        </w:rPr>
        <w:t xml:space="preserve">==</w:t>
      </w:r>
      <w:r>
        <w:rPr>
          <w:rStyle w:val="NormalTok"/>
        </w:rPr>
        <w:t xml:space="preserve"> </w:t>
      </w:r>
      <w:r>
        <w:rPr>
          <w:rStyle w:val="StringTok"/>
        </w:rPr>
        <w:t xml:space="preserve">"Additive"</w:t>
      </w:r>
      <w:r>
        <w:rPr>
          <w:rStyle w:val="NormalTok"/>
        </w:rPr>
        <w:t xml:space="preserve">  </w:t>
      </w:r>
      <w:r>
        <w:rPr>
          <w:rStyle w:val="SpecialCharTok"/>
        </w:rPr>
        <w:t xml:space="preserve">&amp;</w:t>
      </w:r>
      <w:r>
        <w:rPr>
          <w:rStyle w:val="NormalTok"/>
        </w:rPr>
        <w:t xml:space="preserve"> MAF </w:t>
      </w:r>
      <w:r>
        <w:rPr>
          <w:rStyle w:val="SpecialCharTok"/>
        </w:rPr>
        <w:t xml:space="preserve">==</w:t>
      </w:r>
      <w:r>
        <w:rPr>
          <w:rStyle w:val="NormalTok"/>
        </w:rPr>
        <w:t xml:space="preserve"> </w:t>
      </w:r>
      <w:r>
        <w:rPr>
          <w:rStyle w:val="FloatTok"/>
        </w:rPr>
        <w:t xml:space="preserve">0.05</w:t>
      </w:r>
      <w:r>
        <w:rPr>
          <w:rStyle w:val="NormalTok"/>
        </w:rPr>
        <w:t xml:space="preserve"> </w:t>
      </w:r>
      <w:r>
        <w:rPr>
          <w:rStyle w:val="SpecialCharTok"/>
        </w:rPr>
        <w:t xml:space="preserve">&amp;</w:t>
      </w:r>
      <w:r>
        <w:rPr>
          <w:rStyle w:val="NormalTok"/>
        </w:rPr>
        <w:t xml:space="preserve"> OR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(Pval) </w:t>
      </w:r>
      <w:r>
        <w:rPr>
          <w:rStyle w:val="SpecialCharTok"/>
        </w:rPr>
        <w:t xml:space="preserve">|&gt;</w:t>
      </w:r>
      <w:r>
        <w:rPr>
          <w:rStyle w:val="NormalTok"/>
        </w:rPr>
        <w:t xml:space="preserve"> </w:t>
      </w:r>
      <w:r>
        <w:rPr>
          <w:rStyle w:val="FunctionTok"/>
        </w:rPr>
        <w:t xml:space="preserve">ceiling</w:t>
      </w:r>
      <w:r>
        <w:rPr>
          <w:rStyle w:val="NormalTok"/>
        </w:rPr>
        <w:t xml:space="preserve">()</w:t>
      </w:r>
      <w:r>
        <w:br/>
      </w:r>
      <w:r>
        <w:br/>
      </w:r>
      <w:r>
        <w:rPr>
          <w:rStyle w:val="NormalTok"/>
        </w:rPr>
        <w:t xml:space="preserve">worst_scenario </w:t>
      </w:r>
      <w:r>
        <w:rPr>
          <w:rStyle w:val="OtherTok"/>
        </w:rPr>
        <w:t xml:space="preserve">&lt;-</w:t>
      </w:r>
      <w:r>
        <w:rPr>
          <w:rStyle w:val="NormalTok"/>
        </w:rPr>
        <w:t xml:space="preserve"> ss_not_adjusted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(Pval </w:t>
      </w:r>
      <w:r>
        <w:rPr>
          <w:rStyle w:val="SpecialCharTok"/>
        </w:rPr>
        <w:t xml:space="preserve">==</w:t>
      </w:r>
      <w:r>
        <w:rPr>
          <w:rStyle w:val="NormalTok"/>
        </w:rPr>
        <w:t xml:space="preserve"> </w:t>
      </w:r>
      <w:r>
        <w:rPr>
          <w:rStyle w:val="FunctionTok"/>
        </w:rPr>
        <w:t xml:space="preserve">max</w:t>
      </w:r>
      <w:r>
        <w:rPr>
          <w:rStyle w:val="NormalTok"/>
        </w:rPr>
        <w:t xml:space="preserve">(Pval))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(Pval) </w:t>
      </w:r>
      <w:r>
        <w:rPr>
          <w:rStyle w:val="SpecialCharTok"/>
        </w:rPr>
        <w:t xml:space="preserve">|&gt;</w:t>
      </w:r>
      <w:r>
        <w:rPr>
          <w:rStyle w:val="NormalTok"/>
        </w:rPr>
        <w:t xml:space="preserve"> </w:t>
      </w:r>
      <w:r>
        <w:rPr>
          <w:rStyle w:val="FunctionTok"/>
        </w:rPr>
        <w:t xml:space="preserve">ceiling</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formatC</w:t>
      </w:r>
      <w:r>
        <w:rPr>
          <w:rStyle w:val="NormalTok"/>
        </w:rPr>
        <w:t xml:space="preserve">(</w:t>
      </w:r>
      <w:r>
        <w:rPr>
          <w:rStyle w:val="AttributeTok"/>
        </w:rPr>
        <w:t xml:space="preserve">format =</w:t>
      </w:r>
      <w:r>
        <w:rPr>
          <w:rStyle w:val="NormalTok"/>
        </w:rPr>
        <w:t xml:space="preserve"> </w:t>
      </w:r>
      <w:r>
        <w:rPr>
          <w:rStyle w:val="StringTok"/>
        </w:rPr>
        <w:t xml:space="preserve">"d"</w:t>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w:t>
      </w:r>
      <w:r>
        <w:br/>
      </w:r>
      <w:r>
        <w:br/>
      </w:r>
      <w:r>
        <w:rPr>
          <w:rStyle w:val="FunctionTok"/>
        </w:rPr>
        <w:t xml:space="preserve">message</w:t>
      </w:r>
      <w:r>
        <w:rPr>
          <w:rStyle w:val="NormalTok"/>
        </w:rPr>
        <w:t xml:space="preserve">(</w:t>
      </w:r>
      <w:r>
        <w:rPr>
          <w:rStyle w:val="FunctionTok"/>
        </w:rPr>
        <w:t xml:space="preserve">paste</w:t>
      </w:r>
      <w:r>
        <w:rPr>
          <w:rStyle w:val="NormalTok"/>
        </w:rPr>
        <w:t xml:space="preserve">(</w:t>
      </w:r>
      <w:r>
        <w:rPr>
          <w:rStyle w:val="StringTok"/>
        </w:rPr>
        <w:t xml:space="preserve">"Most optimistic scenario (MAF: 0.3, OR: 4, Real:Recessive vs Tested:Additive) needs "</w:t>
      </w:r>
      <w:r>
        <w:rPr>
          <w:rStyle w:val="NormalTok"/>
        </w:rPr>
        <w:t xml:space="preserve">, best_scenario, </w:t>
      </w:r>
      <w:r>
        <w:rPr>
          <w:rStyle w:val="StringTok"/>
        </w:rPr>
        <w:t xml:space="preserve">"samples.</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StringTok"/>
        </w:rPr>
        <w:t xml:space="preserve">"Intermediate scenario (MAF: 0.05, OR: 3, Real:Additive vs Tested:Additive) needs"</w:t>
      </w:r>
      <w:r>
        <w:rPr>
          <w:rStyle w:val="NormalTok"/>
        </w:rPr>
        <w:t xml:space="preserve">, intermediate_scenario, </w:t>
      </w:r>
      <w:r>
        <w:rPr>
          <w:rStyle w:val="StringTok"/>
        </w:rPr>
        <w:t xml:space="preserve">"samples.</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StringTok"/>
        </w:rPr>
        <w:t xml:space="preserve">"Finally, the worst scenario (MAF: 0.01, OR: 2, Real:Recessive vs Tested:Additive) needs"</w:t>
      </w:r>
      <w:r>
        <w:rPr>
          <w:rStyle w:val="NormalTok"/>
        </w:rPr>
        <w:t xml:space="preserve">, worst_scenario, </w:t>
      </w:r>
      <w:r>
        <w:rPr>
          <w:rStyle w:val="StringTok"/>
        </w:rPr>
        <w:t xml:space="preserve">"samples."</w:t>
      </w:r>
      <w:r>
        <w:rPr>
          <w:rStyle w:val="NormalTok"/>
        </w:rPr>
        <w:t xml:space="preserve">))</w:t>
      </w:r>
    </w:p>
    <w:p>
      <w:pPr>
        <w:pStyle w:val="SourceCode"/>
      </w:pPr>
      <w:r>
        <w:rPr>
          <w:rStyle w:val="VerbatimChar"/>
        </w:rPr>
        <w:t xml:space="preserve">##  Most optimistic scenario (MAF: 0.3, OR: 4, Real:Recessive vs Tested:Additive) needs  157 samples.</w:t>
      </w:r>
      <w:r>
        <w:br/>
      </w:r>
      <w:r>
        <w:rPr>
          <w:rStyle w:val="VerbatimChar"/>
        </w:rPr>
        <w:t xml:space="preserve">##   Intermediate scenario (MAF: 0.05, OR: 3, Real:Additive vs Tested:Additive) needs 725 samples.</w:t>
      </w:r>
      <w:r>
        <w:br/>
      </w:r>
      <w:r>
        <w:rPr>
          <w:rStyle w:val="VerbatimChar"/>
        </w:rPr>
        <w:t xml:space="preserve">##   Finally, the worst scenario (MAF: 0.01, OR: 2, Real:Recessive vs Tested:Additive) needs 86,593,663 samples.</w:t>
      </w:r>
    </w:p>
    <w:bookmarkStart w:id="233" w:name="fig-GENPWR-unadjusted"/>
    <w:tbl>
      <w:tblPr>
        <w:tblStyle w:val="Table"/>
        <w:tblW w:type="pct" w:w="4900"/>
        <w:tblLayout w:type="fixed"/>
        <w:tblLook w:firstRow="0" w:lastRow="0" w:firstColumn="0" w:lastColumn="0" w:noHBand="0" w:noVBand="0" w:val="0000"/>
      </w:tblPr>
      <w:tblGrid>
        <w:gridCol w:w="2587"/>
        <w:gridCol w:w="2587"/>
        <w:gridCol w:w="2587"/>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224" w:name="fig-GENPWR-unadjusted-1"/>
                <w:p>
                  <w:pPr>
                    <w:pStyle w:val="Compact"/>
                    <w:jc w:val="center"/>
                  </w:pPr>
                  <w:r>
                    <w:drawing>
                      <wp:inline>
                        <wp:extent cx="1975104" cy="1580083"/>
                        <wp:effectExtent b="0" l="0" r="0" t="0"/>
                        <wp:docPr descr="" title="" id="222" name="Picture"/>
                        <a:graphic>
                          <a:graphicData uri="http://schemas.openxmlformats.org/drawingml/2006/picture">
                            <pic:pic>
                              <pic:nvPicPr>
                                <pic:cNvPr descr="CARTaGENE-sample-size_files/figure-docx/fig-GENPWR-unadjusted-1.png" id="223" name="Picture"/>
                                <pic:cNvPicPr>
                                  <a:picLocks noChangeArrowheads="1" noChangeAspect="1"/>
                                </pic:cNvPicPr>
                              </pic:nvPicPr>
                              <pic:blipFill>
                                <a:blip r:embed="rId221"/>
                                <a:stretch>
                                  <a:fillRect/>
                                </a:stretch>
                              </pic:blipFill>
                              <pic:spPr bwMode="auto">
                                <a:xfrm>
                                  <a:off x="0" y="0"/>
                                  <a:ext cx="1975104" cy="1580083"/>
                                </a:xfrm>
                                <a:prstGeom prst="rect">
                                  <a:avLst/>
                                </a:prstGeom>
                                <a:noFill/>
                                <a:ln w="9525">
                                  <a:noFill/>
                                  <a:headEnd/>
                                  <a:tailEnd/>
                                </a:ln>
                              </pic:spPr>
                            </pic:pic>
                          </a:graphicData>
                        </a:graphic>
                      </wp:inline>
                    </w:drawing>
                  </w:r>
                </w:p>
                <w:p>
                  <w:pPr>
                    <w:jc w:val="center"/>
                  </w:pPr>
                  <w:pPr>
                    <w:jc w:val="start"/>
                    <w:spacing w:before="200"/>
                    <w:pStyle w:val="ImageCaption"/>
                  </w:pPr>
                  <w:r>
                    <w:t xml:space="preserve">(a) Odds ratio of 2</w:t>
                  </w:r>
                </w:p>
                <w:bookmarkEnd w:id="224"/>
              </w:tc>
            </w:tr>
          </w:tbl>
          <w:p/>
        </w:tc>
        <w:tc>
          <w:tcPr/>
          <w:p>
            <w:pPr>
              <w:pStyle w:val="BodyTex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228" w:name="fig-GENPWR-unadjusted-2"/>
                <w:p>
                  <w:pPr>
                    <w:pStyle w:val="Compact"/>
                    <w:jc w:val="center"/>
                  </w:pPr>
                  <w:r>
                    <w:drawing>
                      <wp:inline>
                        <wp:extent cx="1975104" cy="1580083"/>
                        <wp:effectExtent b="0" l="0" r="0" t="0"/>
                        <wp:docPr descr="" title="" id="226" name="Picture"/>
                        <a:graphic>
                          <a:graphicData uri="http://schemas.openxmlformats.org/drawingml/2006/picture">
                            <pic:pic>
                              <pic:nvPicPr>
                                <pic:cNvPr descr="CARTaGENE-sample-size_files/figure-docx/fig-GENPWR-unadjusted-2.png" id="227" name="Picture"/>
                                <pic:cNvPicPr>
                                  <a:picLocks noChangeArrowheads="1" noChangeAspect="1"/>
                                </pic:cNvPicPr>
                              </pic:nvPicPr>
                              <pic:blipFill>
                                <a:blip r:embed="rId225"/>
                                <a:stretch>
                                  <a:fillRect/>
                                </a:stretch>
                              </pic:blipFill>
                              <pic:spPr bwMode="auto">
                                <a:xfrm>
                                  <a:off x="0" y="0"/>
                                  <a:ext cx="1975104" cy="1580083"/>
                                </a:xfrm>
                                <a:prstGeom prst="rect">
                                  <a:avLst/>
                                </a:prstGeom>
                                <a:noFill/>
                                <a:ln w="9525">
                                  <a:noFill/>
                                  <a:headEnd/>
                                  <a:tailEnd/>
                                </a:ln>
                              </pic:spPr>
                            </pic:pic>
                          </a:graphicData>
                        </a:graphic>
                      </wp:inline>
                    </w:drawing>
                  </w:r>
                </w:p>
                <w:p>
                  <w:pPr>
                    <w:jc w:val="center"/>
                  </w:pPr>
                  <w:pPr>
                    <w:jc w:val="start"/>
                    <w:spacing w:before="200"/>
                    <w:pStyle w:val="ImageCaption"/>
                  </w:pPr>
                  <w:r>
                    <w:t xml:space="preserve">(b) Odds ratio of 3</w:t>
                  </w:r>
                </w:p>
                <w:bookmarkEnd w:id="228"/>
              </w:tc>
            </w:tr>
          </w:tbl>
          <w:p/>
        </w:tc>
        <w:tc>
          <w:tcPr/>
          <w:p>
            <w:pPr>
              <w:pStyle w:val="BodyTex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232" w:name="fig-GENPWR-unadjusted-3"/>
                <w:p>
                  <w:pPr>
                    <w:pStyle w:val="Compact"/>
                    <w:jc w:val="center"/>
                  </w:pPr>
                  <w:r>
                    <w:drawing>
                      <wp:inline>
                        <wp:extent cx="1975104" cy="1580083"/>
                        <wp:effectExtent b="0" l="0" r="0" t="0"/>
                        <wp:docPr descr="" title="" id="230" name="Picture"/>
                        <a:graphic>
                          <a:graphicData uri="http://schemas.openxmlformats.org/drawingml/2006/picture">
                            <pic:pic>
                              <pic:nvPicPr>
                                <pic:cNvPr descr="CARTaGENE-sample-size_files/figure-docx/fig-GENPWR-unadjusted-3.png" id="231" name="Picture"/>
                                <pic:cNvPicPr>
                                  <a:picLocks noChangeArrowheads="1" noChangeAspect="1"/>
                                </pic:cNvPicPr>
                              </pic:nvPicPr>
                              <pic:blipFill>
                                <a:blip r:embed="rId229"/>
                                <a:stretch>
                                  <a:fillRect/>
                                </a:stretch>
                              </pic:blipFill>
                              <pic:spPr bwMode="auto">
                                <a:xfrm>
                                  <a:off x="0" y="0"/>
                                  <a:ext cx="1975104" cy="1580083"/>
                                </a:xfrm>
                                <a:prstGeom prst="rect">
                                  <a:avLst/>
                                </a:prstGeom>
                                <a:noFill/>
                                <a:ln w="9525">
                                  <a:noFill/>
                                  <a:headEnd/>
                                  <a:tailEnd/>
                                </a:ln>
                              </pic:spPr>
                            </pic:pic>
                          </a:graphicData>
                        </a:graphic>
                      </wp:inline>
                    </w:drawing>
                  </w:r>
                </w:p>
                <w:p>
                  <w:pPr>
                    <w:jc w:val="center"/>
                  </w:pPr>
                  <w:pPr>
                    <w:jc w:val="start"/>
                    <w:spacing w:before="200"/>
                    <w:pStyle w:val="ImageCaption"/>
                  </w:pPr>
                  <w:r>
                    <w:t xml:space="preserve">(c) Odds ratio of 4</w:t>
                  </w:r>
                </w:p>
                <w:bookmarkEnd w:id="232"/>
              </w:tc>
            </w:tr>
          </w:tbl>
          <w:p/>
        </w:tc>
      </w:tr>
    </w:tbl>
    <w:p>
      <w:pPr>
        <w:pStyle w:val="BodyText"/>
      </w:pPr>
      <w:pPr>
        <w:spacing w:before="200"/>
        <w:pStyle w:val="ImageCaption"/>
      </w:pPr>
      <w:r>
        <w:t xml:space="preserve">Figure 2.4: Without any adjustement, to be avoided.</w:t>
      </w:r>
    </w:p>
    <w:bookmarkEnd w:id="233"/>
    <w:p>
      <w:pPr>
        <w:pStyle w:val="Heading4"/>
      </w:pPr>
      <w:r>
        <w:t xml:space="preserve">Adjustement specific to the gene</w:t>
      </w:r>
    </w:p>
    <w:p>
      <w:pPr>
        <w:pStyle w:val="SourceCode"/>
      </w:pPr>
      <w:r>
        <w:rPr>
          <w:rStyle w:val="NormalTok"/>
        </w:rPr>
        <w:t xml:space="preserve">pval_adjusted_gene_specific </w:t>
      </w:r>
      <w:r>
        <w:rPr>
          <w:rStyle w:val="OtherTok"/>
        </w:rPr>
        <w:t xml:space="preserve">&lt;-</w:t>
      </w:r>
      <w:r>
        <w:rPr>
          <w:rStyle w:val="NormalTok"/>
        </w:rPr>
        <w:t xml:space="preserve"> </w:t>
      </w:r>
      <w:r>
        <w:rPr>
          <w:rStyle w:val="FloatTok"/>
        </w:rPr>
        <w:t xml:space="preserve">0.05</w:t>
      </w:r>
      <w:r>
        <w:rPr>
          <w:rStyle w:val="SpecialCharTok"/>
        </w:rPr>
        <w:t xml:space="preserve">/</w:t>
      </w:r>
      <w:r>
        <w:rPr>
          <w:rStyle w:val="NormalTok"/>
        </w:rPr>
        <w:t xml:space="preserve">(num_variants</w:t>
      </w:r>
      <w:r>
        <w:rPr>
          <w:rStyle w:val="SpecialCharTok"/>
        </w:rPr>
        <w:t xml:space="preserve">*</w:t>
      </w:r>
      <w:r>
        <w:rPr>
          <w:rStyle w:val="NormalTok"/>
        </w:rPr>
        <w:t xml:space="preserve">num_features)</w:t>
      </w:r>
      <w:r>
        <w:br/>
      </w:r>
      <w:r>
        <w:rPr>
          <w:rStyle w:val="NormalTok"/>
        </w:rPr>
        <w:t xml:space="preserve">ss_gene </w:t>
      </w:r>
      <w:r>
        <w:rPr>
          <w:rStyle w:val="OtherTok"/>
        </w:rPr>
        <w:t xml:space="preserve">&lt;-</w:t>
      </w:r>
      <w:r>
        <w:rPr>
          <w:rStyle w:val="NormalTok"/>
        </w:rPr>
        <w:t xml:space="preserve"> </w:t>
      </w:r>
      <w:r>
        <w:rPr>
          <w:rStyle w:val="FunctionTok"/>
        </w:rPr>
        <w:t xml:space="preserve">genpwr.calc</w:t>
      </w:r>
      <w:r>
        <w:rPr>
          <w:rStyle w:val="NormalTok"/>
        </w:rPr>
        <w:t xml:space="preserve">(</w:t>
      </w:r>
      <w:r>
        <w:rPr>
          <w:rStyle w:val="AttributeTok"/>
        </w:rPr>
        <w:t xml:space="preserve">calc =</w:t>
      </w:r>
      <w:r>
        <w:rPr>
          <w:rStyle w:val="NormalTok"/>
        </w:rPr>
        <w:t xml:space="preserve"> </w:t>
      </w:r>
      <w:r>
        <w:rPr>
          <w:rStyle w:val="StringTok"/>
        </w:rPr>
        <w:t xml:space="preserve">"ss"</w:t>
      </w:r>
      <w:r>
        <w:rPr>
          <w:rStyle w:val="NormalTok"/>
        </w:rPr>
        <w:t xml:space="preserve">,</w:t>
      </w:r>
      <w:r>
        <w:br/>
      </w:r>
      <w:r>
        <w:rPr>
          <w:rStyle w:val="NormalTok"/>
        </w:rPr>
        <w:t xml:space="preserve">                  </w:t>
      </w:r>
      <w:r>
        <w:rPr>
          <w:rStyle w:val="AttributeTok"/>
        </w:rPr>
        <w:t xml:space="preserve">model =</w:t>
      </w:r>
      <w:r>
        <w:rPr>
          <w:rStyle w:val="NormalTok"/>
        </w:rPr>
        <w:t xml:space="preserve"> </w:t>
      </w:r>
      <w:r>
        <w:rPr>
          <w:rStyle w:val="StringTok"/>
        </w:rPr>
        <w:t xml:space="preserve">"logistic"</w:t>
      </w:r>
      <w:r>
        <w:rPr>
          <w:rStyle w:val="NormalTok"/>
        </w:rPr>
        <w:t xml:space="preserve">, </w:t>
      </w:r>
      <w:r>
        <w:br/>
      </w:r>
      <w:r>
        <w:rPr>
          <w:rStyle w:val="NormalTok"/>
        </w:rPr>
        <w:t xml:space="preserve">                  </w:t>
      </w:r>
      <w:r>
        <w:rPr>
          <w:rStyle w:val="AttributeTok"/>
        </w:rPr>
        <w:t xml:space="preserve">ge.interaction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OR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AttributeTok"/>
        </w:rPr>
        <w:t xml:space="preserve">Case.Rate =</w:t>
      </w:r>
      <w:r>
        <w:rPr>
          <w:rStyle w:val="NormalTok"/>
        </w:rPr>
        <w:t xml:space="preserve"> case_rate, </w:t>
      </w:r>
      <w:r>
        <w:br/>
      </w:r>
      <w:r>
        <w:rPr>
          <w:rStyle w:val="NormalTok"/>
        </w:rPr>
        <w:t xml:space="preserve">                  </w:t>
      </w:r>
      <w:r>
        <w:rPr>
          <w:rStyle w:val="AttributeTok"/>
        </w:rPr>
        <w:t xml:space="preserve">Power =</w:t>
      </w:r>
      <w:r>
        <w:rPr>
          <w:rStyle w:val="NormalTok"/>
        </w:rPr>
        <w:t xml:space="preserve"> </w:t>
      </w:r>
      <w:r>
        <w:rPr>
          <w:rStyle w:val="FloatTok"/>
        </w:rPr>
        <w:t xml:space="preserve">0.8</w:t>
      </w:r>
      <w:r>
        <w:rPr>
          <w:rStyle w:val="NormalTok"/>
        </w:rPr>
        <w:t xml:space="preserve">,</w:t>
      </w:r>
      <w:r>
        <w:br/>
      </w:r>
      <w:r>
        <w:rPr>
          <w:rStyle w:val="NormalTok"/>
        </w:rPr>
        <w:t xml:space="preserve">                  </w:t>
      </w:r>
      <w:r>
        <w:rPr>
          <w:rStyle w:val="AttributeTok"/>
        </w:rPr>
        <w:t xml:space="preserve">MAF =</w:t>
      </w:r>
      <w:r>
        <w:rPr>
          <w:rStyle w:val="NormalTok"/>
        </w:rPr>
        <w:t xml:space="preserve"> </w:t>
      </w:r>
      <w:r>
        <w:rPr>
          <w:rStyle w:val="FunctionTok"/>
        </w:rPr>
        <w:t xml:space="preserve">c</w:t>
      </w:r>
      <w:r>
        <w:rPr>
          <w:rStyle w:val="NormalTok"/>
        </w:rPr>
        <w:t xml:space="preserve">(</w:t>
      </w:r>
      <w:r>
        <w:rPr>
          <w:rStyle w:val="FloatTok"/>
        </w:rPr>
        <w:t xml:space="preserve">0.01</w:t>
      </w:r>
      <w:r>
        <w:rPr>
          <w:rStyle w:val="NormalTok"/>
        </w:rPr>
        <w:t xml:space="preserve">, </w:t>
      </w:r>
      <w:r>
        <w:rPr>
          <w:rStyle w:val="FloatTok"/>
        </w:rPr>
        <w:t xml:space="preserve">0.02</w:t>
      </w:r>
      <w:r>
        <w:rPr>
          <w:rStyle w:val="NormalTok"/>
        </w:rPr>
        <w:t xml:space="preserve">, </w:t>
      </w:r>
      <w:r>
        <w:rPr>
          <w:rStyle w:val="FloatTok"/>
        </w:rPr>
        <w:t xml:space="preserve">0.05</w:t>
      </w:r>
      <w:r>
        <w:rPr>
          <w:rStyle w:val="NormalTok"/>
        </w:rPr>
        <w:t xml:space="preserve">, </w:t>
      </w:r>
      <w:r>
        <w:rPr>
          <w:rStyle w:val="FloatTok"/>
        </w:rPr>
        <w:t xml:space="preserve">0.10</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pval_adjusted_gene_specific,</w:t>
      </w:r>
      <w:r>
        <w:br/>
      </w:r>
      <w:r>
        <w:rPr>
          <w:rStyle w:val="NormalTok"/>
        </w:rPr>
        <w:t xml:space="preserve">                  </w:t>
      </w:r>
      <w:r>
        <w:rPr>
          <w:rStyle w:val="AttributeTok"/>
        </w:rPr>
        <w:t xml:space="preserve">True.Model =</w:t>
      </w:r>
      <w:r>
        <w:rPr>
          <w:rStyle w:val="NormalTok"/>
        </w:rPr>
        <w:t xml:space="preserve"> </w:t>
      </w:r>
      <w:r>
        <w:rPr>
          <w:rStyle w:val="StringTok"/>
        </w:rPr>
        <w:t xml:space="preserve">"All"</w:t>
      </w:r>
      <w:r>
        <w:rPr>
          <w:rStyle w:val="NormalTok"/>
        </w:rPr>
        <w:t xml:space="preserve">, </w:t>
      </w:r>
      <w:r>
        <w:br/>
      </w:r>
      <w:r>
        <w:rPr>
          <w:rStyle w:val="NormalTok"/>
        </w:rPr>
        <w:t xml:space="preserve">                  </w:t>
      </w:r>
      <w:r>
        <w:rPr>
          <w:rStyle w:val="AttributeTok"/>
        </w:rPr>
        <w:t xml:space="preserve">Test.Model =</w:t>
      </w:r>
      <w:r>
        <w:rPr>
          <w:rStyle w:val="NormalTok"/>
        </w:rPr>
        <w:t xml:space="preserve"> </w:t>
      </w:r>
      <w:r>
        <w:rPr>
          <w:rStyle w:val="FunctionTok"/>
        </w:rPr>
        <w:t xml:space="preserve">c</w:t>
      </w:r>
      <w:r>
        <w:rPr>
          <w:rStyle w:val="NormalTok"/>
        </w:rPr>
        <w:t xml:space="preserve">(</w:t>
      </w:r>
      <w:r>
        <w:rPr>
          <w:rStyle w:val="StringTok"/>
        </w:rPr>
        <w:t xml:space="preserve">"Additive"</w:t>
      </w:r>
      <w:r>
        <w:rPr>
          <w:rStyle w:val="NormalTok"/>
        </w:rPr>
        <w:t xml:space="preserve">))</w:t>
      </w:r>
      <w:r>
        <w:br/>
      </w:r>
      <w:r>
        <w:br/>
      </w:r>
      <w:r>
        <w:rPr>
          <w:rStyle w:val="FunctionTok"/>
        </w:rPr>
        <w:t xml:space="preserve">ss.plot</w:t>
      </w:r>
      <w:r>
        <w:rPr>
          <w:rStyle w:val="NormalTok"/>
        </w:rPr>
        <w:t xml:space="preserve">(ss_gene)</w:t>
      </w:r>
      <w:r>
        <w:br/>
      </w:r>
      <w:r>
        <w:br/>
      </w:r>
      <w:r>
        <w:rPr>
          <w:rStyle w:val="NormalTok"/>
        </w:rPr>
        <w:t xml:space="preserve">ss_gene </w:t>
      </w:r>
      <w:r>
        <w:rPr>
          <w:rStyle w:val="OtherTok"/>
        </w:rPr>
        <w:t xml:space="preserve">&lt;-</w:t>
      </w:r>
      <w:r>
        <w:rPr>
          <w:rStyle w:val="NormalTok"/>
        </w:rPr>
        <w:t xml:space="preserve"> ss_gene </w:t>
      </w:r>
      <w:r>
        <w:rPr>
          <w:rStyle w:val="SpecialCharTok"/>
        </w:rPr>
        <w:t xml:space="preserve">|&gt;</w:t>
      </w:r>
      <w:r>
        <w:rPr>
          <w:rStyle w:val="NormalTok"/>
        </w:rPr>
        <w:t xml:space="preserve"> </w:t>
      </w:r>
      <w:r>
        <w:br/>
      </w:r>
      <w:r>
        <w:rPr>
          <w:rStyle w:val="NormalTok"/>
        </w:rPr>
        <w:t xml:space="preserve">  </w:t>
      </w:r>
      <w:r>
        <w:rPr>
          <w:rStyle w:val="FunctionTok"/>
        </w:rPr>
        <w:t xml:space="preserve">rename_with</w:t>
      </w:r>
      <w:r>
        <w:rPr>
          <w:rStyle w:val="NormalTok"/>
        </w:rPr>
        <w:t xml:space="preserve">( </w:t>
      </w:r>
      <w:r>
        <w:rPr>
          <w:rStyle w:val="SpecialCharTok"/>
        </w:rPr>
        <w:t xml:space="preserve">~</w:t>
      </w:r>
      <w:r>
        <w:rPr>
          <w:rStyle w:val="NormalTok"/>
        </w:rPr>
        <w:t xml:space="preserve"> </w:t>
      </w:r>
      <w:r>
        <w:rPr>
          <w:rStyle w:val="StringTok"/>
        </w:rPr>
        <w:t xml:space="preserve">"Pval"</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StringTok"/>
        </w:rPr>
        <w:t xml:space="preserve">"N_total_at_Alpha"</w:t>
      </w:r>
      <w:r>
        <w:rPr>
          <w:rStyle w:val="NormalTok"/>
        </w:rPr>
        <w:t xml:space="preserve">))</w:t>
      </w:r>
      <w:r>
        <w:br/>
      </w:r>
      <w:r>
        <w:br/>
      </w:r>
      <w:r>
        <w:rPr>
          <w:rStyle w:val="NormalTok"/>
        </w:rPr>
        <w:t xml:space="preserve">best_scenario </w:t>
      </w:r>
      <w:r>
        <w:rPr>
          <w:rStyle w:val="OtherTok"/>
        </w:rPr>
        <w:t xml:space="preserve">&lt;-</w:t>
      </w:r>
      <w:r>
        <w:rPr>
          <w:rStyle w:val="NormalTok"/>
        </w:rPr>
        <w:t xml:space="preserve"> ss_gene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(Pval </w:t>
      </w:r>
      <w:r>
        <w:rPr>
          <w:rStyle w:val="SpecialCharTok"/>
        </w:rPr>
        <w:t xml:space="preserve">==</w:t>
      </w:r>
      <w:r>
        <w:rPr>
          <w:rStyle w:val="NormalTok"/>
        </w:rPr>
        <w:t xml:space="preserve"> </w:t>
      </w:r>
      <w:r>
        <w:rPr>
          <w:rStyle w:val="FunctionTok"/>
        </w:rPr>
        <w:t xml:space="preserve">min</w:t>
      </w:r>
      <w:r>
        <w:rPr>
          <w:rStyle w:val="NormalTok"/>
        </w:rPr>
        <w:t xml:space="preserve">(Pval)) </w:t>
      </w:r>
      <w:r>
        <w:rPr>
          <w:rStyle w:val="SpecialCharTok"/>
        </w:rPr>
        <w:t xml:space="preserve">|&gt;</w:t>
      </w:r>
      <w:r>
        <w:br/>
      </w:r>
      <w:r>
        <w:rPr>
          <w:rStyle w:val="NormalTok"/>
        </w:rPr>
        <w:t xml:space="preserve">  </w:t>
      </w:r>
      <w:r>
        <w:rPr>
          <w:rStyle w:val="FunctionTok"/>
        </w:rPr>
        <w:t xml:space="preserve">pull</w:t>
      </w:r>
      <w:r>
        <w:rPr>
          <w:rStyle w:val="NormalTok"/>
        </w:rPr>
        <w:t xml:space="preserve">(Pval) </w:t>
      </w:r>
      <w:r>
        <w:rPr>
          <w:rStyle w:val="SpecialCharTok"/>
        </w:rPr>
        <w:t xml:space="preserve">|&gt;</w:t>
      </w:r>
      <w:r>
        <w:rPr>
          <w:rStyle w:val="NormalTok"/>
        </w:rPr>
        <w:t xml:space="preserve"> </w:t>
      </w:r>
      <w:r>
        <w:rPr>
          <w:rStyle w:val="FunctionTok"/>
        </w:rPr>
        <w:t xml:space="preserve">ceiling</w:t>
      </w:r>
      <w:r>
        <w:rPr>
          <w:rStyle w:val="NormalTok"/>
        </w:rPr>
        <w:t xml:space="preserve">()</w:t>
      </w:r>
      <w:r>
        <w:br/>
      </w:r>
      <w:r>
        <w:br/>
      </w:r>
      <w:r>
        <w:rPr>
          <w:rStyle w:val="NormalTok"/>
        </w:rPr>
        <w:t xml:space="preserve">intermediate_scenario </w:t>
      </w:r>
      <w:r>
        <w:rPr>
          <w:rStyle w:val="OtherTok"/>
        </w:rPr>
        <w:t xml:space="preserve">&lt;-</w:t>
      </w:r>
      <w:r>
        <w:rPr>
          <w:rStyle w:val="NormalTok"/>
        </w:rPr>
        <w:t xml:space="preserve"> ss_gene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(True.Model </w:t>
      </w:r>
      <w:r>
        <w:rPr>
          <w:rStyle w:val="SpecialCharTok"/>
        </w:rPr>
        <w:t xml:space="preserve">==</w:t>
      </w:r>
      <w:r>
        <w:rPr>
          <w:rStyle w:val="NormalTok"/>
        </w:rPr>
        <w:t xml:space="preserve"> </w:t>
      </w:r>
      <w:r>
        <w:rPr>
          <w:rStyle w:val="StringTok"/>
        </w:rPr>
        <w:t xml:space="preserve">"Additive"</w:t>
      </w:r>
      <w:r>
        <w:rPr>
          <w:rStyle w:val="NormalTok"/>
        </w:rPr>
        <w:t xml:space="preserve">  </w:t>
      </w:r>
      <w:r>
        <w:rPr>
          <w:rStyle w:val="SpecialCharTok"/>
        </w:rPr>
        <w:t xml:space="preserve">&amp;</w:t>
      </w:r>
      <w:r>
        <w:rPr>
          <w:rStyle w:val="NormalTok"/>
        </w:rPr>
        <w:t xml:space="preserve"> MAF </w:t>
      </w:r>
      <w:r>
        <w:rPr>
          <w:rStyle w:val="SpecialCharTok"/>
        </w:rPr>
        <w:t xml:space="preserve">==</w:t>
      </w:r>
      <w:r>
        <w:rPr>
          <w:rStyle w:val="NormalTok"/>
        </w:rPr>
        <w:t xml:space="preserve"> </w:t>
      </w:r>
      <w:r>
        <w:rPr>
          <w:rStyle w:val="FloatTok"/>
        </w:rPr>
        <w:t xml:space="preserve">0.05</w:t>
      </w:r>
      <w:r>
        <w:rPr>
          <w:rStyle w:val="NormalTok"/>
        </w:rPr>
        <w:t xml:space="preserve"> </w:t>
      </w:r>
      <w:r>
        <w:rPr>
          <w:rStyle w:val="SpecialCharTok"/>
        </w:rPr>
        <w:t xml:space="preserve">&amp;</w:t>
      </w:r>
      <w:r>
        <w:rPr>
          <w:rStyle w:val="NormalTok"/>
        </w:rPr>
        <w:t xml:space="preserve"> OR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(Pval) </w:t>
      </w:r>
      <w:r>
        <w:rPr>
          <w:rStyle w:val="SpecialCharTok"/>
        </w:rPr>
        <w:t xml:space="preserve">|&gt;</w:t>
      </w:r>
      <w:r>
        <w:rPr>
          <w:rStyle w:val="NormalTok"/>
        </w:rPr>
        <w:t xml:space="preserve"> </w:t>
      </w:r>
      <w:r>
        <w:rPr>
          <w:rStyle w:val="FunctionTok"/>
        </w:rPr>
        <w:t xml:space="preserve">ceiling</w:t>
      </w:r>
      <w:r>
        <w:rPr>
          <w:rStyle w:val="NormalTok"/>
        </w:rPr>
        <w:t xml:space="preserve">()</w:t>
      </w:r>
      <w:r>
        <w:br/>
      </w:r>
      <w:r>
        <w:br/>
      </w:r>
      <w:r>
        <w:rPr>
          <w:rStyle w:val="NormalTok"/>
        </w:rPr>
        <w:t xml:space="preserve">worst_scenario </w:t>
      </w:r>
      <w:r>
        <w:rPr>
          <w:rStyle w:val="OtherTok"/>
        </w:rPr>
        <w:t xml:space="preserve">&lt;-</w:t>
      </w:r>
      <w:r>
        <w:rPr>
          <w:rStyle w:val="NormalTok"/>
        </w:rPr>
        <w:t xml:space="preserve"> ss_gene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(Pval </w:t>
      </w:r>
      <w:r>
        <w:rPr>
          <w:rStyle w:val="SpecialCharTok"/>
        </w:rPr>
        <w:t xml:space="preserve">==</w:t>
      </w:r>
      <w:r>
        <w:rPr>
          <w:rStyle w:val="NormalTok"/>
        </w:rPr>
        <w:t xml:space="preserve"> </w:t>
      </w:r>
      <w:r>
        <w:rPr>
          <w:rStyle w:val="FunctionTok"/>
        </w:rPr>
        <w:t xml:space="preserve">max</w:t>
      </w:r>
      <w:r>
        <w:rPr>
          <w:rStyle w:val="NormalTok"/>
        </w:rPr>
        <w:t xml:space="preserve">(Pval))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(Pval) </w:t>
      </w:r>
      <w:r>
        <w:rPr>
          <w:rStyle w:val="SpecialCharTok"/>
        </w:rPr>
        <w:t xml:space="preserve">|&gt;</w:t>
      </w:r>
      <w:r>
        <w:rPr>
          <w:rStyle w:val="NormalTok"/>
        </w:rPr>
        <w:t xml:space="preserve"> </w:t>
      </w:r>
      <w:r>
        <w:rPr>
          <w:rStyle w:val="FunctionTok"/>
        </w:rPr>
        <w:t xml:space="preserve">ceiling</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formatC</w:t>
      </w:r>
      <w:r>
        <w:rPr>
          <w:rStyle w:val="NormalTok"/>
        </w:rPr>
        <w:t xml:space="preserve">(</w:t>
      </w:r>
      <w:r>
        <w:rPr>
          <w:rStyle w:val="AttributeTok"/>
        </w:rPr>
        <w:t xml:space="preserve">format =</w:t>
      </w:r>
      <w:r>
        <w:rPr>
          <w:rStyle w:val="NormalTok"/>
        </w:rPr>
        <w:t xml:space="preserve"> </w:t>
      </w:r>
      <w:r>
        <w:rPr>
          <w:rStyle w:val="StringTok"/>
        </w:rPr>
        <w:t xml:space="preserve">"d"</w:t>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w:t>
      </w:r>
      <w:r>
        <w:br/>
      </w:r>
      <w:r>
        <w:br/>
      </w:r>
      <w:r>
        <w:rPr>
          <w:rStyle w:val="FunctionTok"/>
        </w:rPr>
        <w:t xml:space="preserve">message</w:t>
      </w:r>
      <w:r>
        <w:rPr>
          <w:rStyle w:val="NormalTok"/>
        </w:rPr>
        <w:t xml:space="preserve">(</w:t>
      </w:r>
      <w:r>
        <w:rPr>
          <w:rStyle w:val="FunctionTok"/>
        </w:rPr>
        <w:t xml:space="preserve">paste</w:t>
      </w:r>
      <w:r>
        <w:rPr>
          <w:rStyle w:val="NormalTok"/>
        </w:rPr>
        <w:t xml:space="preserve">(</w:t>
      </w:r>
      <w:r>
        <w:rPr>
          <w:rStyle w:val="StringTok"/>
        </w:rPr>
        <w:t xml:space="preserve">"Most optimistic scenario (MAF: 0.3, OR: 4, Real:Recessive vs Tested:Additive) needs "</w:t>
      </w:r>
      <w:r>
        <w:rPr>
          <w:rStyle w:val="NormalTok"/>
        </w:rPr>
        <w:t xml:space="preserve">, best_scenario, </w:t>
      </w:r>
      <w:r>
        <w:rPr>
          <w:rStyle w:val="StringTok"/>
        </w:rPr>
        <w:t xml:space="preserve">"samples.</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StringTok"/>
        </w:rPr>
        <w:t xml:space="preserve">"Intermediate scenario (MAF: 0.05, OR: 3, Real:Additive vs Tested:Additive) needs"</w:t>
      </w:r>
      <w:r>
        <w:rPr>
          <w:rStyle w:val="NormalTok"/>
        </w:rPr>
        <w:t xml:space="preserve">, intermediate_scenario, </w:t>
      </w:r>
      <w:r>
        <w:rPr>
          <w:rStyle w:val="StringTok"/>
        </w:rPr>
        <w:t xml:space="preserve">"samples.</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StringTok"/>
        </w:rPr>
        <w:t xml:space="preserve">"Finally, the worst scenario (MAF: 0.01, OR: 2, Real:Recessive vs Tested:Additive) needs"</w:t>
      </w:r>
      <w:r>
        <w:rPr>
          <w:rStyle w:val="NormalTok"/>
        </w:rPr>
        <w:t xml:space="preserve">, worst_scenario, </w:t>
      </w:r>
      <w:r>
        <w:rPr>
          <w:rStyle w:val="StringTok"/>
        </w:rPr>
        <w:t xml:space="preserve">"samples."</w:t>
      </w:r>
      <w:r>
        <w:rPr>
          <w:rStyle w:val="NormalTok"/>
        </w:rPr>
        <w:t xml:space="preserve">))</w:t>
      </w:r>
    </w:p>
    <w:p>
      <w:pPr>
        <w:pStyle w:val="SourceCode"/>
      </w:pPr>
      <w:r>
        <w:rPr>
          <w:rStyle w:val="VerbatimChar"/>
        </w:rPr>
        <w:t xml:space="preserve">##  Most optimistic scenario (MAF: 0.3, OR: 4, Real:Recessive vs Tested:Additive) needs  622 samples.</w:t>
      </w:r>
      <w:r>
        <w:br/>
      </w:r>
      <w:r>
        <w:rPr>
          <w:rStyle w:val="VerbatimChar"/>
        </w:rPr>
        <w:t xml:space="preserve">##   Intermediate scenario (MAF: 0.05, OR: 3, Real:Additive vs Tested:Additive) needs 2877 samples.</w:t>
      </w:r>
      <w:r>
        <w:br/>
      </w:r>
      <w:r>
        <w:rPr>
          <w:rStyle w:val="VerbatimChar"/>
        </w:rPr>
        <w:t xml:space="preserve">##   Finally, the worst scenario (MAF: 0.01, OR: 2, Real:Recessive vs Tested:Additive) needs 343,931,663 samples.</w:t>
      </w:r>
    </w:p>
    <w:bookmarkStart w:id="246" w:name="fig-GENPWR-gene-specific"/>
    <w:tbl>
      <w:tblPr>
        <w:tblStyle w:val="Table"/>
        <w:tblW w:type="pct" w:w="4900"/>
        <w:tblLayout w:type="fixed"/>
        <w:tblLook w:firstRow="0" w:lastRow="0" w:firstColumn="0" w:lastColumn="0" w:noHBand="0" w:noVBand="0" w:val="0000"/>
      </w:tblPr>
      <w:tblGrid>
        <w:gridCol w:w="2587"/>
        <w:gridCol w:w="2587"/>
        <w:gridCol w:w="2587"/>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237" w:name="fig-GENPWR-gene-specific-1"/>
                <w:p>
                  <w:pPr>
                    <w:pStyle w:val="Compact"/>
                    <w:jc w:val="center"/>
                  </w:pPr>
                  <w:r>
                    <w:drawing>
                      <wp:inline>
                        <wp:extent cx="1975104" cy="1580083"/>
                        <wp:effectExtent b="0" l="0" r="0" t="0"/>
                        <wp:docPr descr="" title="" id="235" name="Picture"/>
                        <a:graphic>
                          <a:graphicData uri="http://schemas.openxmlformats.org/drawingml/2006/picture">
                            <pic:pic>
                              <pic:nvPicPr>
                                <pic:cNvPr descr="CARTaGENE-sample-size_files/figure-docx/fig-GENPWR-gene-specific-1.png" id="236" name="Picture"/>
                                <pic:cNvPicPr>
                                  <a:picLocks noChangeArrowheads="1" noChangeAspect="1"/>
                                </pic:cNvPicPr>
                              </pic:nvPicPr>
                              <pic:blipFill>
                                <a:blip r:embed="rId234"/>
                                <a:stretch>
                                  <a:fillRect/>
                                </a:stretch>
                              </pic:blipFill>
                              <pic:spPr bwMode="auto">
                                <a:xfrm>
                                  <a:off x="0" y="0"/>
                                  <a:ext cx="1975104" cy="1580083"/>
                                </a:xfrm>
                                <a:prstGeom prst="rect">
                                  <a:avLst/>
                                </a:prstGeom>
                                <a:noFill/>
                                <a:ln w="9525">
                                  <a:noFill/>
                                  <a:headEnd/>
                                  <a:tailEnd/>
                                </a:ln>
                              </pic:spPr>
                            </pic:pic>
                          </a:graphicData>
                        </a:graphic>
                      </wp:inline>
                    </w:drawing>
                  </w:r>
                </w:p>
                <w:p>
                  <w:pPr>
                    <w:jc w:val="center"/>
                  </w:pPr>
                  <w:pPr>
                    <w:jc w:val="start"/>
                    <w:spacing w:before="200"/>
                    <w:pStyle w:val="ImageCaption"/>
                  </w:pPr>
                  <w:r>
                    <w:t xml:space="preserve">(a) Odds ratio of 2</w:t>
                  </w:r>
                </w:p>
                <w:bookmarkEnd w:id="237"/>
              </w:tc>
            </w:tr>
          </w:tbl>
          <w:p/>
        </w:tc>
        <w:tc>
          <w:tcPr/>
          <w:p>
            <w:pPr>
              <w:pStyle w:val="BodyTex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241" w:name="fig-GENPWR-gene-specific-2"/>
                <w:p>
                  <w:pPr>
                    <w:pStyle w:val="Compact"/>
                    <w:jc w:val="center"/>
                  </w:pPr>
                  <w:r>
                    <w:drawing>
                      <wp:inline>
                        <wp:extent cx="1975104" cy="1580083"/>
                        <wp:effectExtent b="0" l="0" r="0" t="0"/>
                        <wp:docPr descr="" title="" id="239" name="Picture"/>
                        <a:graphic>
                          <a:graphicData uri="http://schemas.openxmlformats.org/drawingml/2006/picture">
                            <pic:pic>
                              <pic:nvPicPr>
                                <pic:cNvPr descr="CARTaGENE-sample-size_files/figure-docx/fig-GENPWR-gene-specific-2.png" id="240" name="Picture"/>
                                <pic:cNvPicPr>
                                  <a:picLocks noChangeArrowheads="1" noChangeAspect="1"/>
                                </pic:cNvPicPr>
                              </pic:nvPicPr>
                              <pic:blipFill>
                                <a:blip r:embed="rId238"/>
                                <a:stretch>
                                  <a:fillRect/>
                                </a:stretch>
                              </pic:blipFill>
                              <pic:spPr bwMode="auto">
                                <a:xfrm>
                                  <a:off x="0" y="0"/>
                                  <a:ext cx="1975104" cy="1580083"/>
                                </a:xfrm>
                                <a:prstGeom prst="rect">
                                  <a:avLst/>
                                </a:prstGeom>
                                <a:noFill/>
                                <a:ln w="9525">
                                  <a:noFill/>
                                  <a:headEnd/>
                                  <a:tailEnd/>
                                </a:ln>
                              </pic:spPr>
                            </pic:pic>
                          </a:graphicData>
                        </a:graphic>
                      </wp:inline>
                    </w:drawing>
                  </w:r>
                </w:p>
                <w:p>
                  <w:pPr>
                    <w:jc w:val="center"/>
                  </w:pPr>
                  <w:pPr>
                    <w:jc w:val="start"/>
                    <w:spacing w:before="200"/>
                    <w:pStyle w:val="ImageCaption"/>
                  </w:pPr>
                  <w:r>
                    <w:t xml:space="preserve">(b) Odds ratio of 3</w:t>
                  </w:r>
                </w:p>
                <w:bookmarkEnd w:id="241"/>
              </w:tc>
            </w:tr>
          </w:tbl>
          <w:p/>
        </w:tc>
        <w:tc>
          <w:tcPr/>
          <w:p>
            <w:pPr>
              <w:pStyle w:val="BodyTex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245" w:name="fig-GENPWR-gene-specific-3"/>
                <w:p>
                  <w:pPr>
                    <w:pStyle w:val="Compact"/>
                    <w:jc w:val="center"/>
                  </w:pPr>
                  <w:r>
                    <w:drawing>
                      <wp:inline>
                        <wp:extent cx="1975104" cy="1580083"/>
                        <wp:effectExtent b="0" l="0" r="0" t="0"/>
                        <wp:docPr descr="" title="" id="243" name="Picture"/>
                        <a:graphic>
                          <a:graphicData uri="http://schemas.openxmlformats.org/drawingml/2006/picture">
                            <pic:pic>
                              <pic:nvPicPr>
                                <pic:cNvPr descr="CARTaGENE-sample-size_files/figure-docx/fig-GENPWR-gene-specific-3.png" id="244" name="Picture"/>
                                <pic:cNvPicPr>
                                  <a:picLocks noChangeArrowheads="1" noChangeAspect="1"/>
                                </pic:cNvPicPr>
                              </pic:nvPicPr>
                              <pic:blipFill>
                                <a:blip r:embed="rId242"/>
                                <a:stretch>
                                  <a:fillRect/>
                                </a:stretch>
                              </pic:blipFill>
                              <pic:spPr bwMode="auto">
                                <a:xfrm>
                                  <a:off x="0" y="0"/>
                                  <a:ext cx="1975104" cy="1580083"/>
                                </a:xfrm>
                                <a:prstGeom prst="rect">
                                  <a:avLst/>
                                </a:prstGeom>
                                <a:noFill/>
                                <a:ln w="9525">
                                  <a:noFill/>
                                  <a:headEnd/>
                                  <a:tailEnd/>
                                </a:ln>
                              </pic:spPr>
                            </pic:pic>
                          </a:graphicData>
                        </a:graphic>
                      </wp:inline>
                    </w:drawing>
                  </w:r>
                </w:p>
                <w:p>
                  <w:pPr>
                    <w:jc w:val="center"/>
                  </w:pPr>
                  <w:pPr>
                    <w:jc w:val="start"/>
                    <w:spacing w:before="200"/>
                    <w:pStyle w:val="ImageCaption"/>
                  </w:pPr>
                  <w:r>
                    <w:t xml:space="preserve">(c) Odds ratio of 4</w:t>
                  </w:r>
                </w:p>
                <w:bookmarkEnd w:id="245"/>
              </w:tc>
            </w:tr>
          </w:tbl>
          <w:p/>
        </w:tc>
      </w:tr>
    </w:tbl>
    <w:p>
      <w:pPr>
        <w:pStyle w:val="BodyText"/>
      </w:pPr>
      <w:pPr>
        <w:spacing w:before="200"/>
        <w:pStyle w:val="ImageCaption"/>
      </w:pPr>
      <w:r>
        <w:t xml:space="preserve">Figure 2.5: With an</w:t>
      </w:r>
      <w:r>
        <w:t xml:space="preserve"> </w:t>
      </w:r>
      <m:oMath>
        <m:r>
          <m:t>α</m:t>
        </m:r>
      </m:oMath>
      <w:r>
        <w:t xml:space="preserve">-threshold adjusted to the gene-candidate context.</w:t>
      </w:r>
    </w:p>
    <w:bookmarkEnd w:id="246"/>
    <w:p>
      <w:pPr>
        <w:pStyle w:val="Heading4"/>
      </w:pPr>
      <w:r>
        <w:t xml:space="preserve">Recommended GWAS adjustement</w:t>
      </w:r>
    </w:p>
    <w:p>
      <w:pPr>
        <w:pStyle w:val="SourceCode"/>
      </w:pPr>
      <w:r>
        <w:rPr>
          <w:rStyle w:val="NormalTok"/>
        </w:rPr>
        <w:t xml:space="preserve">pval_adjusted_gwas </w:t>
      </w:r>
      <w:r>
        <w:rPr>
          <w:rStyle w:val="OtherTok"/>
        </w:rPr>
        <w:t xml:space="preserve">&lt;-</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DecValTok"/>
        </w:rPr>
        <w:t xml:space="preserve">10</w:t>
      </w:r>
      <w:r>
        <w:rPr>
          <w:rStyle w:val="SpecialCharTok"/>
        </w:rPr>
        <w:t xml:space="preserve">^-</w:t>
      </w:r>
      <w:r>
        <w:rPr>
          <w:rStyle w:val="DecValTok"/>
        </w:rPr>
        <w:t xml:space="preserve">8</w:t>
      </w:r>
      <w:r>
        <w:br/>
      </w:r>
      <w:r>
        <w:rPr>
          <w:rStyle w:val="NormalTok"/>
        </w:rPr>
        <w:t xml:space="preserve">ss_GWAS </w:t>
      </w:r>
      <w:r>
        <w:rPr>
          <w:rStyle w:val="OtherTok"/>
        </w:rPr>
        <w:t xml:space="preserve">&lt;-</w:t>
      </w:r>
      <w:r>
        <w:rPr>
          <w:rStyle w:val="NormalTok"/>
        </w:rPr>
        <w:t xml:space="preserve"> </w:t>
      </w:r>
      <w:r>
        <w:rPr>
          <w:rStyle w:val="FunctionTok"/>
        </w:rPr>
        <w:t xml:space="preserve">genpwr.calc</w:t>
      </w:r>
      <w:r>
        <w:rPr>
          <w:rStyle w:val="NormalTok"/>
        </w:rPr>
        <w:t xml:space="preserve">(</w:t>
      </w:r>
      <w:r>
        <w:rPr>
          <w:rStyle w:val="AttributeTok"/>
        </w:rPr>
        <w:t xml:space="preserve">calc =</w:t>
      </w:r>
      <w:r>
        <w:rPr>
          <w:rStyle w:val="NormalTok"/>
        </w:rPr>
        <w:t xml:space="preserve"> </w:t>
      </w:r>
      <w:r>
        <w:rPr>
          <w:rStyle w:val="StringTok"/>
        </w:rPr>
        <w:t xml:space="preserve">"ss"</w:t>
      </w:r>
      <w:r>
        <w:rPr>
          <w:rStyle w:val="NormalTok"/>
        </w:rPr>
        <w:t xml:space="preserve">,</w:t>
      </w:r>
      <w:r>
        <w:br/>
      </w:r>
      <w:r>
        <w:rPr>
          <w:rStyle w:val="NormalTok"/>
        </w:rPr>
        <w:t xml:space="preserve">                  </w:t>
      </w:r>
      <w:r>
        <w:rPr>
          <w:rStyle w:val="AttributeTok"/>
        </w:rPr>
        <w:t xml:space="preserve">model =</w:t>
      </w:r>
      <w:r>
        <w:rPr>
          <w:rStyle w:val="NormalTok"/>
        </w:rPr>
        <w:t xml:space="preserve"> </w:t>
      </w:r>
      <w:r>
        <w:rPr>
          <w:rStyle w:val="StringTok"/>
        </w:rPr>
        <w:t xml:space="preserve">"logistic"</w:t>
      </w:r>
      <w:r>
        <w:rPr>
          <w:rStyle w:val="NormalTok"/>
        </w:rPr>
        <w:t xml:space="preserve">, </w:t>
      </w:r>
      <w:r>
        <w:br/>
      </w:r>
      <w:r>
        <w:rPr>
          <w:rStyle w:val="NormalTok"/>
        </w:rPr>
        <w:t xml:space="preserve">                  </w:t>
      </w:r>
      <w:r>
        <w:rPr>
          <w:rStyle w:val="AttributeTok"/>
        </w:rPr>
        <w:t xml:space="preserve">ge.interaction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OR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AttributeTok"/>
        </w:rPr>
        <w:t xml:space="preserve">Case.Rate =</w:t>
      </w:r>
      <w:r>
        <w:rPr>
          <w:rStyle w:val="NormalTok"/>
        </w:rPr>
        <w:t xml:space="preserve"> </w:t>
      </w:r>
      <w:r>
        <w:rPr>
          <w:rStyle w:val="FloatTok"/>
        </w:rPr>
        <w:t xml:space="preserve">0.1</w:t>
      </w:r>
      <w:r>
        <w:rPr>
          <w:rStyle w:val="NormalTok"/>
        </w:rPr>
        <w:t xml:space="preserve">, </w:t>
      </w:r>
      <w:r>
        <w:br/>
      </w:r>
      <w:r>
        <w:rPr>
          <w:rStyle w:val="NormalTok"/>
        </w:rPr>
        <w:t xml:space="preserve">                  </w:t>
      </w:r>
      <w:r>
        <w:rPr>
          <w:rStyle w:val="AttributeTok"/>
        </w:rPr>
        <w:t xml:space="preserve">Power =</w:t>
      </w:r>
      <w:r>
        <w:rPr>
          <w:rStyle w:val="NormalTok"/>
        </w:rPr>
        <w:t xml:space="preserve"> </w:t>
      </w:r>
      <w:r>
        <w:rPr>
          <w:rStyle w:val="FloatTok"/>
        </w:rPr>
        <w:t xml:space="preserve">0.8</w:t>
      </w:r>
      <w:r>
        <w:rPr>
          <w:rStyle w:val="NormalTok"/>
        </w:rPr>
        <w:t xml:space="preserve">,</w:t>
      </w:r>
      <w:r>
        <w:br/>
      </w:r>
      <w:r>
        <w:rPr>
          <w:rStyle w:val="NormalTok"/>
        </w:rPr>
        <w:t xml:space="preserve">                  </w:t>
      </w:r>
      <w:r>
        <w:rPr>
          <w:rStyle w:val="AttributeTok"/>
        </w:rPr>
        <w:t xml:space="preserve">MAF =</w:t>
      </w:r>
      <w:r>
        <w:rPr>
          <w:rStyle w:val="NormalTok"/>
        </w:rPr>
        <w:t xml:space="preserve"> </w:t>
      </w:r>
      <w:r>
        <w:rPr>
          <w:rStyle w:val="FunctionTok"/>
        </w:rPr>
        <w:t xml:space="preserve">c</w:t>
      </w:r>
      <w:r>
        <w:rPr>
          <w:rStyle w:val="NormalTok"/>
        </w:rPr>
        <w:t xml:space="preserve">(</w:t>
      </w:r>
      <w:r>
        <w:rPr>
          <w:rStyle w:val="FloatTok"/>
        </w:rPr>
        <w:t xml:space="preserve">0.01</w:t>
      </w:r>
      <w:r>
        <w:rPr>
          <w:rStyle w:val="NormalTok"/>
        </w:rPr>
        <w:t xml:space="preserve">, </w:t>
      </w:r>
      <w:r>
        <w:rPr>
          <w:rStyle w:val="FloatTok"/>
        </w:rPr>
        <w:t xml:space="preserve">0.02</w:t>
      </w:r>
      <w:r>
        <w:rPr>
          <w:rStyle w:val="NormalTok"/>
        </w:rPr>
        <w:t xml:space="preserve">, </w:t>
      </w:r>
      <w:r>
        <w:rPr>
          <w:rStyle w:val="FloatTok"/>
        </w:rPr>
        <w:t xml:space="preserve">0.05</w:t>
      </w:r>
      <w:r>
        <w:rPr>
          <w:rStyle w:val="NormalTok"/>
        </w:rPr>
        <w:t xml:space="preserve">, </w:t>
      </w:r>
      <w:r>
        <w:rPr>
          <w:rStyle w:val="FloatTok"/>
        </w:rPr>
        <w:t xml:space="preserve">0.10</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pval_adjusted_gwas,</w:t>
      </w:r>
      <w:r>
        <w:br/>
      </w:r>
      <w:r>
        <w:rPr>
          <w:rStyle w:val="NormalTok"/>
        </w:rPr>
        <w:t xml:space="preserve">                  </w:t>
      </w:r>
      <w:r>
        <w:rPr>
          <w:rStyle w:val="AttributeTok"/>
        </w:rPr>
        <w:t xml:space="preserve">True.Model =</w:t>
      </w:r>
      <w:r>
        <w:rPr>
          <w:rStyle w:val="NormalTok"/>
        </w:rPr>
        <w:t xml:space="preserve"> </w:t>
      </w:r>
      <w:r>
        <w:rPr>
          <w:rStyle w:val="StringTok"/>
        </w:rPr>
        <w:t xml:space="preserve">"All"</w:t>
      </w:r>
      <w:r>
        <w:rPr>
          <w:rStyle w:val="NormalTok"/>
        </w:rPr>
        <w:t xml:space="preserve">, </w:t>
      </w:r>
      <w:r>
        <w:br/>
      </w:r>
      <w:r>
        <w:rPr>
          <w:rStyle w:val="NormalTok"/>
        </w:rPr>
        <w:t xml:space="preserve">                  </w:t>
      </w:r>
      <w:r>
        <w:rPr>
          <w:rStyle w:val="AttributeTok"/>
        </w:rPr>
        <w:t xml:space="preserve">Test.Model =</w:t>
      </w:r>
      <w:r>
        <w:rPr>
          <w:rStyle w:val="NormalTok"/>
        </w:rPr>
        <w:t xml:space="preserve"> </w:t>
      </w:r>
      <w:r>
        <w:rPr>
          <w:rStyle w:val="FunctionTok"/>
        </w:rPr>
        <w:t xml:space="preserve">c</w:t>
      </w:r>
      <w:r>
        <w:rPr>
          <w:rStyle w:val="NormalTok"/>
        </w:rPr>
        <w:t xml:space="preserve">(</w:t>
      </w:r>
      <w:r>
        <w:rPr>
          <w:rStyle w:val="StringTok"/>
        </w:rPr>
        <w:t xml:space="preserve">"Additive"</w:t>
      </w:r>
      <w:r>
        <w:rPr>
          <w:rStyle w:val="NormalTok"/>
        </w:rPr>
        <w:t xml:space="preserve">))</w:t>
      </w:r>
      <w:r>
        <w:br/>
      </w:r>
      <w:r>
        <w:br/>
      </w:r>
      <w:r>
        <w:rPr>
          <w:rStyle w:val="FunctionTok"/>
        </w:rPr>
        <w:t xml:space="preserve">ss.plot</w:t>
      </w:r>
      <w:r>
        <w:rPr>
          <w:rStyle w:val="NormalTok"/>
        </w:rPr>
        <w:t xml:space="preserve">(ss_GWAS)</w:t>
      </w:r>
      <w:r>
        <w:br/>
      </w:r>
      <w:r>
        <w:br/>
      </w:r>
      <w:r>
        <w:rPr>
          <w:rStyle w:val="NormalTok"/>
        </w:rPr>
        <w:t xml:space="preserve">ss_GWAS </w:t>
      </w:r>
      <w:r>
        <w:rPr>
          <w:rStyle w:val="OtherTok"/>
        </w:rPr>
        <w:t xml:space="preserve">&lt;-</w:t>
      </w:r>
      <w:r>
        <w:rPr>
          <w:rStyle w:val="NormalTok"/>
        </w:rPr>
        <w:t xml:space="preserve"> ss_GWAS </w:t>
      </w:r>
      <w:r>
        <w:rPr>
          <w:rStyle w:val="SpecialCharTok"/>
        </w:rPr>
        <w:t xml:space="preserve">|&gt;</w:t>
      </w:r>
      <w:r>
        <w:rPr>
          <w:rStyle w:val="NormalTok"/>
        </w:rPr>
        <w:t xml:space="preserve"> </w:t>
      </w:r>
      <w:r>
        <w:br/>
      </w:r>
      <w:r>
        <w:rPr>
          <w:rStyle w:val="NormalTok"/>
        </w:rPr>
        <w:t xml:space="preserve">  </w:t>
      </w:r>
      <w:r>
        <w:rPr>
          <w:rStyle w:val="FunctionTok"/>
        </w:rPr>
        <w:t xml:space="preserve">rename_with</w:t>
      </w:r>
      <w:r>
        <w:rPr>
          <w:rStyle w:val="NormalTok"/>
        </w:rPr>
        <w:t xml:space="preserve">( </w:t>
      </w:r>
      <w:r>
        <w:rPr>
          <w:rStyle w:val="SpecialCharTok"/>
        </w:rPr>
        <w:t xml:space="preserve">~</w:t>
      </w:r>
      <w:r>
        <w:rPr>
          <w:rStyle w:val="NormalTok"/>
        </w:rPr>
        <w:t xml:space="preserve"> </w:t>
      </w:r>
      <w:r>
        <w:rPr>
          <w:rStyle w:val="StringTok"/>
        </w:rPr>
        <w:t xml:space="preserve">"Pval"</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StringTok"/>
        </w:rPr>
        <w:t xml:space="preserve">"N_total_at_Alpha"</w:t>
      </w:r>
      <w:r>
        <w:rPr>
          <w:rStyle w:val="NormalTok"/>
        </w:rPr>
        <w:t xml:space="preserve">))</w:t>
      </w:r>
      <w:r>
        <w:br/>
      </w:r>
      <w:r>
        <w:br/>
      </w:r>
      <w:r>
        <w:rPr>
          <w:rStyle w:val="NormalTok"/>
        </w:rPr>
        <w:t xml:space="preserve">best_scenario </w:t>
      </w:r>
      <w:r>
        <w:rPr>
          <w:rStyle w:val="OtherTok"/>
        </w:rPr>
        <w:t xml:space="preserve">&lt;-</w:t>
      </w:r>
      <w:r>
        <w:rPr>
          <w:rStyle w:val="NormalTok"/>
        </w:rPr>
        <w:t xml:space="preserve"> ss_GWAS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(Pval </w:t>
      </w:r>
      <w:r>
        <w:rPr>
          <w:rStyle w:val="SpecialCharTok"/>
        </w:rPr>
        <w:t xml:space="preserve">==</w:t>
      </w:r>
      <w:r>
        <w:rPr>
          <w:rStyle w:val="NormalTok"/>
        </w:rPr>
        <w:t xml:space="preserve"> </w:t>
      </w:r>
      <w:r>
        <w:rPr>
          <w:rStyle w:val="FunctionTok"/>
        </w:rPr>
        <w:t xml:space="preserve">min</w:t>
      </w:r>
      <w:r>
        <w:rPr>
          <w:rStyle w:val="NormalTok"/>
        </w:rPr>
        <w:t xml:space="preserve">(Pval)) </w:t>
      </w:r>
      <w:r>
        <w:rPr>
          <w:rStyle w:val="SpecialCharTok"/>
        </w:rPr>
        <w:t xml:space="preserve">|&gt;</w:t>
      </w:r>
      <w:r>
        <w:br/>
      </w:r>
      <w:r>
        <w:rPr>
          <w:rStyle w:val="NormalTok"/>
        </w:rPr>
        <w:t xml:space="preserve">  </w:t>
      </w:r>
      <w:r>
        <w:rPr>
          <w:rStyle w:val="FunctionTok"/>
        </w:rPr>
        <w:t xml:space="preserve">pull</w:t>
      </w:r>
      <w:r>
        <w:rPr>
          <w:rStyle w:val="NormalTok"/>
        </w:rPr>
        <w:t xml:space="preserve">(Pval) </w:t>
      </w:r>
      <w:r>
        <w:rPr>
          <w:rStyle w:val="SpecialCharTok"/>
        </w:rPr>
        <w:t xml:space="preserve">|&gt;</w:t>
      </w:r>
      <w:r>
        <w:rPr>
          <w:rStyle w:val="NormalTok"/>
        </w:rPr>
        <w:t xml:space="preserve"> </w:t>
      </w:r>
      <w:r>
        <w:rPr>
          <w:rStyle w:val="FunctionTok"/>
        </w:rPr>
        <w:t xml:space="preserve">ceiling</w:t>
      </w:r>
      <w:r>
        <w:rPr>
          <w:rStyle w:val="NormalTok"/>
        </w:rPr>
        <w:t xml:space="preserve">()</w:t>
      </w:r>
      <w:r>
        <w:br/>
      </w:r>
      <w:r>
        <w:br/>
      </w:r>
      <w:r>
        <w:rPr>
          <w:rStyle w:val="NormalTok"/>
        </w:rPr>
        <w:t xml:space="preserve">intermediate_scenario </w:t>
      </w:r>
      <w:r>
        <w:rPr>
          <w:rStyle w:val="OtherTok"/>
        </w:rPr>
        <w:t xml:space="preserve">&lt;-</w:t>
      </w:r>
      <w:r>
        <w:rPr>
          <w:rStyle w:val="NormalTok"/>
        </w:rPr>
        <w:t xml:space="preserve"> ss_GWAS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(True.Model </w:t>
      </w:r>
      <w:r>
        <w:rPr>
          <w:rStyle w:val="SpecialCharTok"/>
        </w:rPr>
        <w:t xml:space="preserve">==</w:t>
      </w:r>
      <w:r>
        <w:rPr>
          <w:rStyle w:val="NormalTok"/>
        </w:rPr>
        <w:t xml:space="preserve"> </w:t>
      </w:r>
      <w:r>
        <w:rPr>
          <w:rStyle w:val="StringTok"/>
        </w:rPr>
        <w:t xml:space="preserve">"Additive"</w:t>
      </w:r>
      <w:r>
        <w:rPr>
          <w:rStyle w:val="NormalTok"/>
        </w:rPr>
        <w:t xml:space="preserve">  </w:t>
      </w:r>
      <w:r>
        <w:rPr>
          <w:rStyle w:val="SpecialCharTok"/>
        </w:rPr>
        <w:t xml:space="preserve">&amp;</w:t>
      </w:r>
      <w:r>
        <w:rPr>
          <w:rStyle w:val="NormalTok"/>
        </w:rPr>
        <w:t xml:space="preserve"> MAF </w:t>
      </w:r>
      <w:r>
        <w:rPr>
          <w:rStyle w:val="SpecialCharTok"/>
        </w:rPr>
        <w:t xml:space="preserve">==</w:t>
      </w:r>
      <w:r>
        <w:rPr>
          <w:rStyle w:val="NormalTok"/>
        </w:rPr>
        <w:t xml:space="preserve"> </w:t>
      </w:r>
      <w:r>
        <w:rPr>
          <w:rStyle w:val="FloatTok"/>
        </w:rPr>
        <w:t xml:space="preserve">0.05</w:t>
      </w:r>
      <w:r>
        <w:rPr>
          <w:rStyle w:val="NormalTok"/>
        </w:rPr>
        <w:t xml:space="preserve"> </w:t>
      </w:r>
      <w:r>
        <w:rPr>
          <w:rStyle w:val="SpecialCharTok"/>
        </w:rPr>
        <w:t xml:space="preserve">&amp;</w:t>
      </w:r>
      <w:r>
        <w:rPr>
          <w:rStyle w:val="NormalTok"/>
        </w:rPr>
        <w:t xml:space="preserve"> OR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(Pval) </w:t>
      </w:r>
      <w:r>
        <w:rPr>
          <w:rStyle w:val="SpecialCharTok"/>
        </w:rPr>
        <w:t xml:space="preserve">|&gt;</w:t>
      </w:r>
      <w:r>
        <w:rPr>
          <w:rStyle w:val="NormalTok"/>
        </w:rPr>
        <w:t xml:space="preserve"> </w:t>
      </w:r>
      <w:r>
        <w:rPr>
          <w:rStyle w:val="FunctionTok"/>
        </w:rPr>
        <w:t xml:space="preserve">ceiling</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formatC</w:t>
      </w:r>
      <w:r>
        <w:rPr>
          <w:rStyle w:val="NormalTok"/>
        </w:rPr>
        <w:t xml:space="preserve">(</w:t>
      </w:r>
      <w:r>
        <w:rPr>
          <w:rStyle w:val="AttributeTok"/>
        </w:rPr>
        <w:t xml:space="preserve">format =</w:t>
      </w:r>
      <w:r>
        <w:rPr>
          <w:rStyle w:val="NormalTok"/>
        </w:rPr>
        <w:t xml:space="preserve"> </w:t>
      </w:r>
      <w:r>
        <w:rPr>
          <w:rStyle w:val="StringTok"/>
        </w:rPr>
        <w:t xml:space="preserve">"d"</w:t>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w:t>
      </w:r>
      <w:r>
        <w:br/>
      </w:r>
      <w:r>
        <w:br/>
      </w:r>
      <w:r>
        <w:rPr>
          <w:rStyle w:val="NormalTok"/>
        </w:rPr>
        <w:t xml:space="preserve">worst_scenario </w:t>
      </w:r>
      <w:r>
        <w:rPr>
          <w:rStyle w:val="OtherTok"/>
        </w:rPr>
        <w:t xml:space="preserve">&lt;-</w:t>
      </w:r>
      <w:r>
        <w:rPr>
          <w:rStyle w:val="NormalTok"/>
        </w:rPr>
        <w:t xml:space="preserve"> ss_GWAS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(Pval </w:t>
      </w:r>
      <w:r>
        <w:rPr>
          <w:rStyle w:val="SpecialCharTok"/>
        </w:rPr>
        <w:t xml:space="preserve">==</w:t>
      </w:r>
      <w:r>
        <w:rPr>
          <w:rStyle w:val="NormalTok"/>
        </w:rPr>
        <w:t xml:space="preserve"> </w:t>
      </w:r>
      <w:r>
        <w:rPr>
          <w:rStyle w:val="FunctionTok"/>
        </w:rPr>
        <w:t xml:space="preserve">max</w:t>
      </w:r>
      <w:r>
        <w:rPr>
          <w:rStyle w:val="NormalTok"/>
        </w:rPr>
        <w:t xml:space="preserve">(Pval))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(Pval) </w:t>
      </w:r>
      <w:r>
        <w:rPr>
          <w:rStyle w:val="SpecialCharTok"/>
        </w:rPr>
        <w:t xml:space="preserve">|&gt;</w:t>
      </w:r>
      <w:r>
        <w:rPr>
          <w:rStyle w:val="NormalTok"/>
        </w:rPr>
        <w:t xml:space="preserve"> </w:t>
      </w:r>
      <w:r>
        <w:rPr>
          <w:rStyle w:val="FunctionTok"/>
        </w:rPr>
        <w:t xml:space="preserve">ceiling</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formatC</w:t>
      </w:r>
      <w:r>
        <w:rPr>
          <w:rStyle w:val="NormalTok"/>
        </w:rPr>
        <w:t xml:space="preserve">(</w:t>
      </w:r>
      <w:r>
        <w:rPr>
          <w:rStyle w:val="AttributeTok"/>
        </w:rPr>
        <w:t xml:space="preserve">format =</w:t>
      </w:r>
      <w:r>
        <w:rPr>
          <w:rStyle w:val="NormalTok"/>
        </w:rPr>
        <w:t xml:space="preserve"> </w:t>
      </w:r>
      <w:r>
        <w:rPr>
          <w:rStyle w:val="StringTok"/>
        </w:rPr>
        <w:t xml:space="preserve">"d"</w:t>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w:t>
      </w:r>
      <w:r>
        <w:br/>
      </w:r>
      <w:r>
        <w:br/>
      </w:r>
      <w:r>
        <w:rPr>
          <w:rStyle w:val="FunctionTok"/>
        </w:rPr>
        <w:t xml:space="preserve">message</w:t>
      </w:r>
      <w:r>
        <w:rPr>
          <w:rStyle w:val="NormalTok"/>
        </w:rPr>
        <w:t xml:space="preserve">(</w:t>
      </w:r>
      <w:r>
        <w:rPr>
          <w:rStyle w:val="FunctionTok"/>
        </w:rPr>
        <w:t xml:space="preserve">paste</w:t>
      </w:r>
      <w:r>
        <w:rPr>
          <w:rStyle w:val="NormalTok"/>
        </w:rPr>
        <w:t xml:space="preserve">(</w:t>
      </w:r>
      <w:r>
        <w:rPr>
          <w:rStyle w:val="StringTok"/>
        </w:rPr>
        <w:t xml:space="preserve">"Most optimistic scenario (MAF: 0.3, OR: 4, Real:Recessive vs Tested:Additive) needs "</w:t>
      </w:r>
      <w:r>
        <w:rPr>
          <w:rStyle w:val="NormalTok"/>
        </w:rPr>
        <w:t xml:space="preserve">, best_scenario, </w:t>
      </w:r>
      <w:r>
        <w:rPr>
          <w:rStyle w:val="StringTok"/>
        </w:rPr>
        <w:t xml:space="preserve">"samples.</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StringTok"/>
        </w:rPr>
        <w:t xml:space="preserve">"Intermediate scenario (MAF: 0.05, OR: 3, Real:Additive vs Tested:Additive) needs"</w:t>
      </w:r>
      <w:r>
        <w:rPr>
          <w:rStyle w:val="NormalTok"/>
        </w:rPr>
        <w:t xml:space="preserve">, intermediate_scenario, </w:t>
      </w:r>
      <w:r>
        <w:rPr>
          <w:rStyle w:val="StringTok"/>
        </w:rPr>
        <w:t xml:space="preserve">"samples.</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StringTok"/>
        </w:rPr>
        <w:t xml:space="preserve">"Finally, the worst scenario (MAF: 0.01, OR: 2, Real:Recessive vs Tested:Additive) needs"</w:t>
      </w:r>
      <w:r>
        <w:rPr>
          <w:rStyle w:val="NormalTok"/>
        </w:rPr>
        <w:t xml:space="preserve">, worst_scenario, </w:t>
      </w:r>
      <w:r>
        <w:rPr>
          <w:rStyle w:val="StringTok"/>
        </w:rPr>
        <w:t xml:space="preserve">"samples."</w:t>
      </w:r>
      <w:r>
        <w:rPr>
          <w:rStyle w:val="NormalTok"/>
        </w:rPr>
        <w:t xml:space="preserve">))</w:t>
      </w:r>
    </w:p>
    <w:p>
      <w:pPr>
        <w:pStyle w:val="SourceCode"/>
      </w:pPr>
      <w:r>
        <w:rPr>
          <w:rStyle w:val="VerbatimChar"/>
        </w:rPr>
        <w:t xml:space="preserve">##  Most optimistic scenario (MAF: 0.3, OR: 4, Real:Recessive vs Tested:Additive) needs  517 samples.</w:t>
      </w:r>
      <w:r>
        <w:br/>
      </w:r>
      <w:r>
        <w:rPr>
          <w:rStyle w:val="VerbatimChar"/>
        </w:rPr>
        <w:t xml:space="preserve">##   Intermediate scenario (MAF: 0.05, OR: 3, Real:Additive vs Tested:Additive) needs 2,478 samples.</w:t>
      </w:r>
      <w:r>
        <w:br/>
      </w:r>
      <w:r>
        <w:rPr>
          <w:rStyle w:val="VerbatimChar"/>
        </w:rPr>
        <w:t xml:space="preserve">##   Finally, the worst scenario (MAF: 0.01, OR: 2, Real:Recessive vs Tested:Additive) needs 287,495,685 samples.</w:t>
      </w:r>
    </w:p>
    <w:bookmarkStart w:id="259" w:name="fig-GENPWR-GWAS"/>
    <w:tbl>
      <w:tblPr>
        <w:tblStyle w:val="Table"/>
        <w:tblW w:type="pct" w:w="4900"/>
        <w:tblLayout w:type="fixed"/>
        <w:tblLook w:firstRow="0" w:lastRow="0" w:firstColumn="0" w:lastColumn="0" w:noHBand="0" w:noVBand="0" w:val="0000"/>
      </w:tblPr>
      <w:tblGrid>
        <w:gridCol w:w="2587"/>
        <w:gridCol w:w="2587"/>
        <w:gridCol w:w="2587"/>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250" w:name="fig-GENPWR-GWAS-1"/>
                <w:p>
                  <w:pPr>
                    <w:pStyle w:val="Compact"/>
                    <w:jc w:val="center"/>
                  </w:pPr>
                  <w:r>
                    <w:drawing>
                      <wp:inline>
                        <wp:extent cx="1975104" cy="1580083"/>
                        <wp:effectExtent b="0" l="0" r="0" t="0"/>
                        <wp:docPr descr="" title="" id="248" name="Picture"/>
                        <a:graphic>
                          <a:graphicData uri="http://schemas.openxmlformats.org/drawingml/2006/picture">
                            <pic:pic>
                              <pic:nvPicPr>
                                <pic:cNvPr descr="CARTaGENE-sample-size_files/figure-docx/fig-GENPWR-GWAS-1.png" id="249" name="Picture"/>
                                <pic:cNvPicPr>
                                  <a:picLocks noChangeArrowheads="1" noChangeAspect="1"/>
                                </pic:cNvPicPr>
                              </pic:nvPicPr>
                              <pic:blipFill>
                                <a:blip r:embed="rId247"/>
                                <a:stretch>
                                  <a:fillRect/>
                                </a:stretch>
                              </pic:blipFill>
                              <pic:spPr bwMode="auto">
                                <a:xfrm>
                                  <a:off x="0" y="0"/>
                                  <a:ext cx="1975104" cy="1580083"/>
                                </a:xfrm>
                                <a:prstGeom prst="rect">
                                  <a:avLst/>
                                </a:prstGeom>
                                <a:noFill/>
                                <a:ln w="9525">
                                  <a:noFill/>
                                  <a:headEnd/>
                                  <a:tailEnd/>
                                </a:ln>
                              </pic:spPr>
                            </pic:pic>
                          </a:graphicData>
                        </a:graphic>
                      </wp:inline>
                    </w:drawing>
                  </w:r>
                </w:p>
                <w:p>
                  <w:pPr>
                    <w:jc w:val="center"/>
                  </w:pPr>
                  <w:pPr>
                    <w:jc w:val="start"/>
                    <w:spacing w:before="200"/>
                    <w:pStyle w:val="ImageCaption"/>
                  </w:pPr>
                  <w:r>
                    <w:t xml:space="preserve">(a) Odds ratio of 2</w:t>
                  </w:r>
                </w:p>
                <w:bookmarkEnd w:id="250"/>
              </w:tc>
            </w:tr>
          </w:tbl>
          <w:p/>
        </w:tc>
        <w:tc>
          <w:tcPr/>
          <w:p>
            <w:pPr>
              <w:pStyle w:val="BodyTex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254" w:name="fig-GENPWR-GWAS-2"/>
                <w:p>
                  <w:pPr>
                    <w:pStyle w:val="Compact"/>
                    <w:jc w:val="center"/>
                  </w:pPr>
                  <w:r>
                    <w:drawing>
                      <wp:inline>
                        <wp:extent cx="1975104" cy="1580083"/>
                        <wp:effectExtent b="0" l="0" r="0" t="0"/>
                        <wp:docPr descr="" title="" id="252" name="Picture"/>
                        <a:graphic>
                          <a:graphicData uri="http://schemas.openxmlformats.org/drawingml/2006/picture">
                            <pic:pic>
                              <pic:nvPicPr>
                                <pic:cNvPr descr="CARTaGENE-sample-size_files/figure-docx/fig-GENPWR-GWAS-2.png" id="253" name="Picture"/>
                                <pic:cNvPicPr>
                                  <a:picLocks noChangeArrowheads="1" noChangeAspect="1"/>
                                </pic:cNvPicPr>
                              </pic:nvPicPr>
                              <pic:blipFill>
                                <a:blip r:embed="rId251"/>
                                <a:stretch>
                                  <a:fillRect/>
                                </a:stretch>
                              </pic:blipFill>
                              <pic:spPr bwMode="auto">
                                <a:xfrm>
                                  <a:off x="0" y="0"/>
                                  <a:ext cx="1975104" cy="1580083"/>
                                </a:xfrm>
                                <a:prstGeom prst="rect">
                                  <a:avLst/>
                                </a:prstGeom>
                                <a:noFill/>
                                <a:ln w="9525">
                                  <a:noFill/>
                                  <a:headEnd/>
                                  <a:tailEnd/>
                                </a:ln>
                              </pic:spPr>
                            </pic:pic>
                          </a:graphicData>
                        </a:graphic>
                      </wp:inline>
                    </w:drawing>
                  </w:r>
                </w:p>
                <w:p>
                  <w:pPr>
                    <w:jc w:val="center"/>
                  </w:pPr>
                  <w:pPr>
                    <w:jc w:val="start"/>
                    <w:spacing w:before="200"/>
                    <w:pStyle w:val="ImageCaption"/>
                  </w:pPr>
                  <w:r>
                    <w:t xml:space="preserve">(b) Odds ratio of 3</w:t>
                  </w:r>
                </w:p>
                <w:bookmarkEnd w:id="254"/>
              </w:tc>
            </w:tr>
          </w:tbl>
          <w:p/>
        </w:tc>
        <w:tc>
          <w:tcPr/>
          <w:p>
            <w:pPr>
              <w:pStyle w:val="BodyTex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258" w:name="fig-GENPWR-GWAS-3"/>
                <w:p>
                  <w:pPr>
                    <w:pStyle w:val="Compact"/>
                    <w:jc w:val="center"/>
                  </w:pPr>
                  <w:r>
                    <w:drawing>
                      <wp:inline>
                        <wp:extent cx="1975104" cy="1580083"/>
                        <wp:effectExtent b="0" l="0" r="0" t="0"/>
                        <wp:docPr descr="" title="" id="256" name="Picture"/>
                        <a:graphic>
                          <a:graphicData uri="http://schemas.openxmlformats.org/drawingml/2006/picture">
                            <pic:pic>
                              <pic:nvPicPr>
                                <pic:cNvPr descr="CARTaGENE-sample-size_files/figure-docx/fig-GENPWR-GWAS-3.png" id="257" name="Picture"/>
                                <pic:cNvPicPr>
                                  <a:picLocks noChangeArrowheads="1" noChangeAspect="1"/>
                                </pic:cNvPicPr>
                              </pic:nvPicPr>
                              <pic:blipFill>
                                <a:blip r:embed="rId255"/>
                                <a:stretch>
                                  <a:fillRect/>
                                </a:stretch>
                              </pic:blipFill>
                              <pic:spPr bwMode="auto">
                                <a:xfrm>
                                  <a:off x="0" y="0"/>
                                  <a:ext cx="1975104" cy="1580083"/>
                                </a:xfrm>
                                <a:prstGeom prst="rect">
                                  <a:avLst/>
                                </a:prstGeom>
                                <a:noFill/>
                                <a:ln w="9525">
                                  <a:noFill/>
                                  <a:headEnd/>
                                  <a:tailEnd/>
                                </a:ln>
                              </pic:spPr>
                            </pic:pic>
                          </a:graphicData>
                        </a:graphic>
                      </wp:inline>
                    </w:drawing>
                  </w:r>
                </w:p>
                <w:p>
                  <w:pPr>
                    <w:jc w:val="center"/>
                  </w:pPr>
                  <w:pPr>
                    <w:jc w:val="start"/>
                    <w:spacing w:before="200"/>
                    <w:pStyle w:val="ImageCaption"/>
                  </w:pPr>
                  <w:r>
                    <w:t xml:space="preserve">(c) Odds ratio of 4</w:t>
                  </w:r>
                </w:p>
                <w:bookmarkEnd w:id="258"/>
              </w:tc>
            </w:tr>
          </w:tbl>
          <w:p/>
        </w:tc>
      </w:tr>
    </w:tbl>
    <w:p>
      <w:pPr>
        <w:pStyle w:val="BodyText"/>
      </w:pPr>
      <w:pPr>
        <w:spacing w:before="200"/>
        <w:pStyle w:val="ImageCaption"/>
      </w:pPr>
      <w:r>
        <w:t xml:space="preserve">Figure 2.6: With an</w:t>
      </w:r>
      <w:r>
        <w:t xml:space="preserve"> </w:t>
      </w:r>
      <m:oMath>
        <m:r>
          <m:t>α</m:t>
        </m:r>
      </m:oMath>
      <w:r>
        <w:t xml:space="preserve">-threshold of</w:t>
      </w:r>
      <w:r>
        <w:t xml:space="preserve"> </w:t>
      </w:r>
      <m:oMath>
        <m:r>
          <m:t>5</m:t>
        </m:r>
        <m:r>
          <m:rPr>
            <m:sty m:val="p"/>
          </m:rPr>
          <m:t>×</m:t>
        </m:r>
        <m:sSup>
          <m:e>
            <m:r>
              <m:t>10</m:t>
            </m:r>
          </m:e>
          <m:sup>
            <m:r>
              <m:rPr>
                <m:sty m:val="p"/>
              </m:rPr>
              <m:t>−</m:t>
            </m:r>
            <m:r>
              <m:t>8</m:t>
            </m:r>
          </m:sup>
        </m:sSup>
      </m:oMath>
      <w:r>
        <w:t xml:space="preserve">.</w:t>
      </w:r>
    </w:p>
    <w:bookmarkEnd w:id="259"/>
    <w:bookmarkEnd w:id="260"/>
    <w:bookmarkEnd w:id="261"/>
    <w:bookmarkStart w:id="263" w:name="additional-resources"/>
    <w:p>
      <w:pPr>
        <w:pStyle w:val="Heading2"/>
      </w:pPr>
      <w:r>
        <w:t xml:space="preserve">2.4 Additional resources</w:t>
      </w:r>
    </w:p>
    <w:p>
      <w:pPr>
        <w:numPr>
          <w:ilvl w:val="0"/>
          <w:numId w:val="1064"/>
        </w:numPr>
      </w:pPr>
      <w:hyperlink r:id="rId262">
        <w:r>
          <w:rPr>
            <w:rStyle w:val="VerbatimChar"/>
          </w:rPr>
          <w:t xml:space="preserve">FreeBayes</w:t>
        </w:r>
        <w:r>
          <w:rPr>
            <w:rStyle w:val="Hyperlink"/>
          </w:rPr>
          <w:t xml:space="preserve"> </w:t>
        </w:r>
        <w:r>
          <w:rPr>
            <w:rStyle w:val="Hyperlink"/>
          </w:rPr>
          <w:t xml:space="preserve">variant calling workflow for DNA-Seq</w:t>
        </w:r>
      </w:hyperlink>
      <w:r>
        <w:t xml:space="preserve"> </w:t>
      </w:r>
      <w:r>
        <w:t xml:space="preserve">for detecting from scratch small polymorphisms, such as</w:t>
      </w:r>
      <w:r>
        <w:t xml:space="preserve"> </w:t>
      </w:r>
      <w:r>
        <w:rPr>
          <w:i/>
          <w:iCs/>
        </w:rPr>
        <w:t xml:space="preserve">SNPs</w:t>
      </w:r>
      <w:r>
        <w:t xml:space="preserve"> </w:t>
      </w:r>
      <w:r>
        <w:t xml:space="preserve">(single-nucleotide polymorphisms),</w:t>
      </w:r>
      <w:r>
        <w:t xml:space="preserve"> </w:t>
      </w:r>
      <w:r>
        <w:rPr>
          <w:i/>
          <w:iCs/>
        </w:rPr>
        <w:t xml:space="preserve">indels</w:t>
      </w:r>
      <w:r>
        <w:t xml:space="preserve"> </w:t>
      </w:r>
      <w:r>
        <w:t xml:space="preserve">(insertions and deletions), and</w:t>
      </w:r>
      <w:r>
        <w:t xml:space="preserve"> </w:t>
      </w:r>
      <w:r>
        <w:rPr>
          <w:i/>
          <w:iCs/>
        </w:rPr>
        <w:t xml:space="preserve">MNPs</w:t>
      </w:r>
      <w:r>
        <w:t xml:space="preserve"> </w:t>
      </w:r>
      <w:r>
        <w:t xml:space="preserve">(multi-nucleotide polymorphisms):</w:t>
      </w:r>
    </w:p>
    <w:p>
      <w:pPr>
        <w:numPr>
          <w:ilvl w:val="1"/>
          <w:numId w:val="1065"/>
        </w:numPr>
      </w:pPr>
      <w:r>
        <w:t xml:space="preserve">Provides as well a comprehensive tutorial for retrieving variants annotations.</w:t>
      </w:r>
    </w:p>
    <w:p>
      <w:pPr>
        <w:numPr>
          <w:ilvl w:val="1"/>
          <w:numId w:val="1065"/>
        </w:numPr>
      </w:pPr>
      <w:r>
        <w:t xml:space="preserve">QC plots with the</w:t>
      </w:r>
      <w:r>
        <w:t xml:space="preserve"> </w:t>
      </w:r>
      <w:r>
        <w:rPr>
          <w:rStyle w:val="VerbatimChar"/>
        </w:rPr>
        <w:t xml:space="preserve">vcfR</w:t>
      </w:r>
      <w:r>
        <w:t xml:space="preserve"> </w:t>
      </w:r>
      <w:r>
        <w:t xml:space="preserve">package.</w:t>
      </w:r>
    </w:p>
    <w:bookmarkEnd w:id="263"/>
    <w:bookmarkEnd w:id="264"/>
    <w:bookmarkStart w:id="269" w:name="tools-installation"/>
    <w:p>
      <w:pPr>
        <w:pStyle w:val="Heading1"/>
      </w:pPr>
      <w:r>
        <w:t xml:space="preserve">Appendix A — Tools installation</w:t>
      </w:r>
    </w:p>
    <w:bookmarkStart w:id="268" w:name="sec-tools-install"/>
    <w:p>
      <w:pPr>
        <w:pStyle w:val="Heading2"/>
      </w:pPr>
      <w:r>
        <w:t xml:space="preserve">A.1 Build from scratch command-line GWAS tools</w:t>
      </w:r>
    </w:p>
    <w:bookmarkStart w:id="265" w:name="bash-commands-to-install-plink2"/>
    <w:p>
      <w:pPr>
        <w:pStyle w:val="Heading3"/>
      </w:pPr>
      <w:r>
        <w:t xml:space="preserve">A.1.1 Bash commands to install</w:t>
      </w:r>
      <w:r>
        <w:t xml:space="preserve"> </w:t>
      </w:r>
      <w:r>
        <w:rPr>
          <w:rStyle w:val="VerbatimChar"/>
        </w:rPr>
        <w:t xml:space="preserve">plink2</w:t>
      </w:r>
    </w:p>
    <w:p>
      <w:pPr>
        <w:pStyle w:val="SourceCode"/>
      </w:pPr>
      <w:r>
        <w:rPr>
          <w:rStyle w:val="CommentTok"/>
        </w:rPr>
        <w:t xml:space="preserve"># Step 1: Download the latest PLINK2 binary</w:t>
      </w:r>
      <w:r>
        <w:br/>
      </w:r>
      <w:r>
        <w:rPr>
          <w:rStyle w:val="FunctionTok"/>
        </w:rPr>
        <w:t xml:space="preserve">wget</w:t>
      </w:r>
      <w:r>
        <w:rPr>
          <w:rStyle w:val="NormalTok"/>
        </w:rPr>
        <w:t xml:space="preserve"> </w:t>
      </w:r>
      <w:r>
        <w:rPr>
          <w:rStyle w:val="AttributeTok"/>
        </w:rPr>
        <w:t xml:space="preserve">-O</w:t>
      </w:r>
      <w:r>
        <w:rPr>
          <w:rStyle w:val="NormalTok"/>
        </w:rPr>
        <w:t xml:space="preserve"> ./bin/plink2.zip </w:t>
      </w:r>
      <w:r>
        <w:rPr>
          <w:rStyle w:val="StringTok"/>
        </w:rPr>
        <w:t xml:space="preserve">"https://s3.amazonaws.com/plink2-assets/alpha6/plink2_linux_x86_64_20250129.zip"</w:t>
      </w:r>
      <w:r>
        <w:rPr>
          <w:rStyle w:val="NormalTok"/>
        </w:rPr>
        <w:t xml:space="preserve"> </w:t>
      </w:r>
      <w:r>
        <w:br/>
      </w:r>
      <w:r>
        <w:br/>
      </w:r>
      <w:r>
        <w:rPr>
          <w:rStyle w:val="FunctionTok"/>
        </w:rPr>
        <w:t xml:space="preserve">unzip</w:t>
      </w:r>
      <w:r>
        <w:rPr>
          <w:rStyle w:val="NormalTok"/>
        </w:rPr>
        <w:t xml:space="preserve"> </w:t>
      </w:r>
      <w:r>
        <w:rPr>
          <w:rStyle w:val="AttributeTok"/>
        </w:rPr>
        <w:t xml:space="preserve">-d</w:t>
      </w:r>
      <w:r>
        <w:rPr>
          <w:rStyle w:val="NormalTok"/>
        </w:rPr>
        <w:t xml:space="preserve"> ./bin/plink2 ./bin/plink2.zip </w:t>
      </w:r>
      <w:r>
        <w:rPr>
          <w:rStyle w:val="KeywordTok"/>
        </w:rPr>
        <w:t xml:space="preserve">&amp;&amp;</w:t>
      </w:r>
      <w:r>
        <w:rPr>
          <w:rStyle w:val="NormalTok"/>
        </w:rPr>
        <w:t xml:space="preserve"> </w:t>
      </w:r>
      <w:r>
        <w:rPr>
          <w:rStyle w:val="FunctionTok"/>
        </w:rPr>
        <w:t xml:space="preserve">rm</w:t>
      </w:r>
      <w:r>
        <w:rPr>
          <w:rStyle w:val="NormalTok"/>
        </w:rPr>
        <w:t xml:space="preserve"> ./bin/plink2.zip</w:t>
      </w:r>
      <w:r>
        <w:br/>
      </w:r>
      <w:r>
        <w:br/>
      </w:r>
      <w:r>
        <w:rPr>
          <w:rStyle w:val="CommentTok"/>
        </w:rPr>
        <w:t xml:space="preserve"># Step 4: Ensure the binary is executable</w:t>
      </w:r>
      <w:r>
        <w:br/>
      </w:r>
      <w:r>
        <w:rPr>
          <w:rStyle w:val="FunctionTok"/>
        </w:rPr>
        <w:t xml:space="preserve">chmod</w:t>
      </w:r>
      <w:r>
        <w:rPr>
          <w:rStyle w:val="NormalTok"/>
        </w:rPr>
        <w:t xml:space="preserve"> 777 ./bin/plink2</w:t>
      </w:r>
      <w:r>
        <w:br/>
      </w:r>
      <w:r>
        <w:br/>
      </w:r>
      <w:r>
        <w:rPr>
          <w:rStyle w:val="CommentTok"/>
        </w:rPr>
        <w:t xml:space="preserve"># Step 5: Verify installation</w:t>
      </w:r>
      <w:r>
        <w:br/>
      </w:r>
      <w:r>
        <w:rPr>
          <w:rStyle w:val="ExtensionTok"/>
        </w:rPr>
        <w:t xml:space="preserve">./bin/plink2</w:t>
      </w:r>
      <w:r>
        <w:rPr>
          <w:rStyle w:val="NormalTok"/>
        </w:rPr>
        <w:t xml:space="preserve"> </w:t>
      </w:r>
      <w:r>
        <w:rPr>
          <w:rStyle w:val="AttributeTok"/>
        </w:rPr>
        <w:t xml:space="preserve">--version</w:t>
      </w:r>
    </w:p>
    <w:bookmarkEnd w:id="265"/>
    <w:bookmarkStart w:id="266" w:name="bash-commands-to-install-bcftools"/>
    <w:p>
      <w:pPr>
        <w:pStyle w:val="Heading3"/>
      </w:pPr>
      <w:r>
        <w:t xml:space="preserve">A.1.2 Bash commands to install</w:t>
      </w:r>
      <w:r>
        <w:t xml:space="preserve"> </w:t>
      </w:r>
      <w:r>
        <w:rPr>
          <w:rStyle w:val="VerbatimChar"/>
        </w:rPr>
        <w:t xml:space="preserve">bcftools</w:t>
      </w:r>
    </w:p>
    <w:p>
      <w:pPr>
        <w:pStyle w:val="SourceCode"/>
      </w:pPr>
      <w:r>
        <w:rPr>
          <w:rStyle w:val="FunctionTok"/>
        </w:rPr>
        <w:t xml:space="preserve">wget</w:t>
      </w:r>
      <w:r>
        <w:rPr>
          <w:rStyle w:val="NormalTok"/>
        </w:rPr>
        <w:t xml:space="preserve"> </w:t>
      </w:r>
      <w:r>
        <w:rPr>
          <w:rStyle w:val="AttributeTok"/>
        </w:rPr>
        <w:t xml:space="preserve">-O</w:t>
      </w:r>
      <w:r>
        <w:rPr>
          <w:rStyle w:val="NormalTok"/>
        </w:rPr>
        <w:t xml:space="preserve"> ./bin/bcftools-1.21.tar.bz2 </w:t>
      </w:r>
      <w:r>
        <w:rPr>
          <w:rStyle w:val="StringTok"/>
        </w:rPr>
        <w:t xml:space="preserve">"https://github.com/samtools/bcftools/releases/download/1.21/bcftools-1.21.tar.bz2"</w:t>
      </w:r>
      <w:r>
        <w:rPr>
          <w:rStyle w:val="NormalTok"/>
        </w:rPr>
        <w:t xml:space="preserve"> </w:t>
      </w:r>
      <w:r>
        <w:br/>
      </w:r>
      <w:r>
        <w:br/>
      </w:r>
      <w:r>
        <w:rPr>
          <w:rStyle w:val="FunctionTok"/>
        </w:rPr>
        <w:t xml:space="preserve">tar</w:t>
      </w:r>
      <w:r>
        <w:rPr>
          <w:rStyle w:val="NormalTok"/>
        </w:rPr>
        <w:t xml:space="preserve"> </w:t>
      </w:r>
      <w:r>
        <w:rPr>
          <w:rStyle w:val="AttributeTok"/>
        </w:rPr>
        <w:t xml:space="preserve">-xjvf</w:t>
      </w:r>
      <w:r>
        <w:rPr>
          <w:rStyle w:val="NormalTok"/>
        </w:rPr>
        <w:t xml:space="preserve"> ./bin/bcftools-1.21.tar.bz2 </w:t>
      </w:r>
      <w:r>
        <w:rPr>
          <w:rStyle w:val="AttributeTok"/>
        </w:rPr>
        <w:t xml:space="preserve">-C</w:t>
      </w:r>
      <w:r>
        <w:rPr>
          <w:rStyle w:val="NormalTok"/>
        </w:rPr>
        <w:t xml:space="preserve"> ./bin/ </w:t>
      </w:r>
      <w:r>
        <w:rPr>
          <w:rStyle w:val="KeywordTok"/>
        </w:rPr>
        <w:t xml:space="preserve">&amp;&amp;</w:t>
      </w:r>
      <w:r>
        <w:rPr>
          <w:rStyle w:val="NormalTok"/>
        </w:rPr>
        <w:t xml:space="preserve"> </w:t>
      </w:r>
      <w:r>
        <w:rPr>
          <w:rStyle w:val="FunctionTok"/>
        </w:rPr>
        <w:t xml:space="preserve">rm</w:t>
      </w:r>
      <w:r>
        <w:rPr>
          <w:rStyle w:val="NormalTok"/>
        </w:rPr>
        <w:t xml:space="preserve"> ./bin/bcftools-1.21.tar.bz2</w:t>
      </w:r>
      <w:r>
        <w:br/>
      </w:r>
      <w:r>
        <w:br/>
      </w:r>
      <w:r>
        <w:rPr>
          <w:rStyle w:val="BuiltInTok"/>
        </w:rPr>
        <w:t xml:space="preserve">cd</w:t>
      </w:r>
      <w:r>
        <w:rPr>
          <w:rStyle w:val="NormalTok"/>
        </w:rPr>
        <w:t xml:space="preserve"> ./bin/bcftools-1.21</w:t>
      </w:r>
      <w:r>
        <w:br/>
      </w:r>
      <w:r>
        <w:rPr>
          <w:rStyle w:val="ExtensionTok"/>
        </w:rPr>
        <w:t xml:space="preserve">./configure</w:t>
      </w:r>
      <w:r>
        <w:rPr>
          <w:rStyle w:val="NormalTok"/>
        </w:rPr>
        <w:t xml:space="preserve"> </w:t>
      </w:r>
      <w:r>
        <w:rPr>
          <w:rStyle w:val="AttributeTok"/>
        </w:rPr>
        <w:t xml:space="preserve">--prefix</w:t>
      </w:r>
      <w:r>
        <w:rPr>
          <w:rStyle w:val="OperatorTok"/>
        </w:rPr>
        <w:t xml:space="preserve">=</w:t>
      </w:r>
      <w:r>
        <w:rPr>
          <w:rStyle w:val="NormalTok"/>
        </w:rPr>
        <w:t xml:space="preserve">/mnt/projects_tn01/Cartagene/cartagene-gwas/bin/bcftools</w:t>
      </w:r>
      <w:r>
        <w:br/>
      </w:r>
      <w:r>
        <w:br/>
      </w:r>
      <w:r>
        <w:rPr>
          <w:rStyle w:val="FunctionTok"/>
        </w:rPr>
        <w:t xml:space="preserve">make</w:t>
      </w:r>
      <w:r>
        <w:br/>
      </w:r>
      <w:r>
        <w:rPr>
          <w:rStyle w:val="FunctionTok"/>
        </w:rPr>
        <w:t xml:space="preserve">make</w:t>
      </w:r>
      <w:r>
        <w:rPr>
          <w:rStyle w:val="NormalTok"/>
        </w:rPr>
        <w:t xml:space="preserve"> install</w:t>
      </w:r>
      <w:r>
        <w:br/>
      </w:r>
      <w:r>
        <w:br/>
      </w:r>
      <w:r>
        <w:rPr>
          <w:rStyle w:val="FunctionTok"/>
        </w:rPr>
        <w:t xml:space="preserve">rm</w:t>
      </w:r>
      <w:r>
        <w:rPr>
          <w:rStyle w:val="NormalTok"/>
        </w:rPr>
        <w:t xml:space="preserve"> </w:t>
      </w:r>
      <w:r>
        <w:rPr>
          <w:rStyle w:val="AttributeTok"/>
        </w:rPr>
        <w:t xml:space="preserve">-rf</w:t>
      </w:r>
      <w:r>
        <w:rPr>
          <w:rStyle w:val="NormalTok"/>
        </w:rPr>
        <w:t xml:space="preserve"> ./bin/bcftools-1.21</w:t>
      </w:r>
    </w:p>
    <w:bookmarkEnd w:id="266"/>
    <w:bookmarkStart w:id="267" w:name="bash-commands-to-save-path-executions"/>
    <w:p>
      <w:pPr>
        <w:pStyle w:val="Heading3"/>
      </w:pPr>
      <w:r>
        <w:t xml:space="preserve">A.1.3 Bash commands to save path executions</w:t>
      </w:r>
    </w:p>
    <w:p>
      <w:pPr>
        <w:pStyle w:val="SourceCode"/>
      </w:pPr>
      <w:r>
        <w:rPr>
          <w:rStyle w:val="CommentTok"/>
        </w:rPr>
        <w:t xml:space="preserve"># Temporary (Current Shell Session Only)</w:t>
      </w:r>
      <w:r>
        <w:br/>
      </w:r>
      <w:r>
        <w:rPr>
          <w:rStyle w:val="BuiltInTok"/>
        </w:rPr>
        <w:t xml:space="preserve">export</w:t>
      </w:r>
      <w:r>
        <w:rPr>
          <w:rStyle w:val="NormalTok"/>
        </w:rPr>
        <w:t xml:space="preserve"> </w:t>
      </w:r>
      <w:r>
        <w:rPr>
          <w:rStyle w:val="VariableTok"/>
        </w:rPr>
        <w:t xml:space="preserve">PATH</w:t>
      </w:r>
      <w:r>
        <w:rPr>
          <w:rStyle w:val="OperatorTok"/>
        </w:rPr>
        <w:t xml:space="preserve">=</w:t>
      </w:r>
      <w:r>
        <w:rPr>
          <w:rStyle w:val="NormalTok"/>
        </w:rPr>
        <w:t xml:space="preserve">./bin/bcftools/bin:</w:t>
      </w:r>
      <w:r>
        <w:rPr>
          <w:rStyle w:val="VariableTok"/>
        </w:rPr>
        <w:t xml:space="preserve">$PATH</w:t>
      </w:r>
      <w:r>
        <w:rPr>
          <w:rStyle w:val="NormalTok"/>
        </w:rPr>
        <w:t xml:space="preserve">  </w:t>
      </w:r>
      <w:r>
        <w:br/>
      </w:r>
      <w:r>
        <w:br/>
      </w:r>
      <w:r>
        <w:rPr>
          <w:rStyle w:val="CommentTok"/>
        </w:rPr>
        <w:t xml:space="preserve"># Semi temporary (for a given user)</w:t>
      </w:r>
      <w:r>
        <w:br/>
      </w:r>
      <w:r>
        <w:rPr>
          <w:rStyle w:val="BuiltInTok"/>
        </w:rPr>
        <w:t xml:space="preserve">echo</w:t>
      </w:r>
      <w:r>
        <w:rPr>
          <w:rStyle w:val="NormalTok"/>
        </w:rPr>
        <w:t xml:space="preserve"> </w:t>
      </w:r>
      <w:r>
        <w:rPr>
          <w:rStyle w:val="StringTok"/>
        </w:rPr>
        <w:t xml:space="preserve">'export PATH=./bin/bcftools/bin:$PATH'</w:t>
      </w:r>
      <w:r>
        <w:rPr>
          <w:rStyle w:val="NormalTok"/>
        </w:rPr>
        <w:t xml:space="preserve"> </w:t>
      </w:r>
      <w:r>
        <w:rPr>
          <w:rStyle w:val="OperatorTok"/>
        </w:rPr>
        <w:t xml:space="preserve">&gt;&gt;</w:t>
      </w:r>
      <w:r>
        <w:rPr>
          <w:rStyle w:val="NormalTok"/>
        </w:rPr>
        <w:t xml:space="preserve"> ~/.bashrc</w:t>
      </w:r>
      <w:r>
        <w:br/>
      </w:r>
      <w:r>
        <w:rPr>
          <w:rStyle w:val="BuiltInTok"/>
        </w:rPr>
        <w:t xml:space="preserve">source</w:t>
      </w:r>
      <w:r>
        <w:rPr>
          <w:rStyle w:val="NormalTok"/>
        </w:rPr>
        <w:t xml:space="preserve"> ~/.bashrc</w:t>
      </w:r>
    </w:p>
    <w:bookmarkEnd w:id="267"/>
    <w:bookmarkEnd w:id="268"/>
    <w:bookmarkEnd w:id="269"/>
    <w:bookmarkStart w:id="321" w:name="bibliographic-references"/>
    <w:p>
      <w:pPr>
        <w:pStyle w:val="Heading1"/>
      </w:pPr>
      <w:r>
        <w:t xml:space="preserve">Bibliographic References</w:t>
      </w:r>
    </w:p>
    <w:bookmarkStart w:id="320" w:name="refs"/>
    <w:bookmarkStart w:id="271" w:name="ref-attikora2025bg"/>
    <w:p>
      <w:pPr>
        <w:pStyle w:val="Bibliography"/>
      </w:pPr>
      <w:r>
        <w:t xml:space="preserve">Attikora, Affi Jean Paul, Kouakou Alfred Kouassi, Saraka Didier Martial Yao, Dougba Noel Dago, Souleymane Silué, Caroline De Clerck, Nafan Diarrassouba, et al. 2025.</w:t>
      </w:r>
      <w:r>
        <w:t xml:space="preserve"> </w:t>
      </w:r>
      <w:r>
        <w:t xml:space="preserve">‘Genome-Wide Association Study of Fat Content and Fatty Acid Composition of Shea Tree (</w:t>
      </w:r>
      <w:r>
        <w:t xml:space="preserve">Vitellaria</w:t>
      </w:r>
      <w:r>
        <w:t xml:space="preserve"> </w:t>
      </w:r>
      <w:r>
        <w:t xml:space="preserve">Paradoxa</w:t>
      </w:r>
      <w:r>
        <w:t xml:space="preserve"> </w:t>
      </w:r>
      <w:r>
        <w:t xml:space="preserve">C</w:t>
      </w:r>
      <w:r>
        <w:t xml:space="preserve">.</w:t>
      </w:r>
      <w:r>
        <w:t xml:space="preserve">F</w:t>
      </w:r>
      <w:r>
        <w:t xml:space="preserve">.</w:t>
      </w:r>
      <w:r>
        <w:t xml:space="preserve"> </w:t>
      </w:r>
      <w:r>
        <w:t xml:space="preserve">Gaertn</w:t>
      </w:r>
      <w:r>
        <w:t xml:space="preserve"> </w:t>
      </w:r>
      <w:r>
        <w:t xml:space="preserve">Subsp. Paradoxa)’</w:t>
      </w:r>
      <w:r>
        <w:t xml:space="preserve">.</w:t>
      </w:r>
      <w:r>
        <w:t xml:space="preserve"> </w:t>
      </w:r>
      <w:r>
        <w:rPr>
          <w:i/>
          <w:iCs/>
        </w:rPr>
        <w:t xml:space="preserve">BMC Genomics</w:t>
      </w:r>
      <w:r>
        <w:t xml:space="preserve"> </w:t>
      </w:r>
      <w:r>
        <w:t xml:space="preserve">26 (1): 164.</w:t>
      </w:r>
      <w:r>
        <w:t xml:space="preserve"> </w:t>
      </w:r>
      <w:hyperlink r:id="rId270">
        <w:r>
          <w:rPr>
            <w:rStyle w:val="Hyperlink"/>
          </w:rPr>
          <w:t xml:space="preserve">https://doi.org/10.1186/s12864-025-11344-z</w:t>
        </w:r>
      </w:hyperlink>
      <w:r>
        <w:t xml:space="preserve">.</w:t>
      </w:r>
    </w:p>
    <w:bookmarkEnd w:id="271"/>
    <w:bookmarkStart w:id="272" w:name="ref-awadalla2013ijoe"/>
    <w:p>
      <w:pPr>
        <w:pStyle w:val="Bibliography"/>
      </w:pPr>
      <w:r>
        <w:t xml:space="preserve">Awadalla, Philip, Catherine Boileau, Yves Payette, Youssef Idaghdour, Jean-Philippe Goulet, Bartha Knoppers, Pavel Hamet, Claude Laberge, and on behalf of the CARTaGENE Project. 2013.</w:t>
      </w:r>
      <w:r>
        <w:t xml:space="preserve"> </w:t>
      </w:r>
      <w:r>
        <w:t xml:space="preserve">‘Cohort Profile of the</w:t>
      </w:r>
      <w:r>
        <w:t xml:space="preserve"> </w:t>
      </w:r>
      <w:r>
        <w:t xml:space="preserve">CARTaGENE</w:t>
      </w:r>
      <w:r>
        <w:t xml:space="preserve"> </w:t>
      </w:r>
      <w:r>
        <w:t xml:space="preserve">Study:</w:t>
      </w:r>
      <w:r>
        <w:t xml:space="preserve"> </w:t>
      </w:r>
      <w:r>
        <w:t xml:space="preserve">Quebec</w:t>
      </w:r>
      <w:r>
        <w:t xml:space="preserve">’s Population-Based Biobank for Public Health and Personalized Genomics’</w:t>
      </w:r>
      <w:r>
        <w:t xml:space="preserve">.</w:t>
      </w:r>
      <w:r>
        <w:t xml:space="preserve"> </w:t>
      </w:r>
      <w:r>
        <w:rPr>
          <w:i/>
          <w:iCs/>
        </w:rPr>
        <w:t xml:space="preserve">International Journal of Epidemiology</w:t>
      </w:r>
      <w:r>
        <w:t xml:space="preserve"> </w:t>
      </w:r>
      <w:r>
        <w:t xml:space="preserve">42 (5): 1285–99.</w:t>
      </w:r>
      <w:r>
        <w:t xml:space="preserve"> </w:t>
      </w:r>
      <w:hyperlink r:id="rId33">
        <w:r>
          <w:rPr>
            <w:rStyle w:val="Hyperlink"/>
          </w:rPr>
          <w:t xml:space="preserve">https://doi.org/10.1093/ije/dys160</w:t>
        </w:r>
      </w:hyperlink>
      <w:r>
        <w:t xml:space="preserve">.</w:t>
      </w:r>
    </w:p>
    <w:bookmarkEnd w:id="272"/>
    <w:bookmarkStart w:id="274" w:name="ref-bretz2016"/>
    <w:p>
      <w:pPr>
        <w:pStyle w:val="Bibliography"/>
      </w:pPr>
      <w:r>
        <w:t xml:space="preserve">Bretz, Frank, Torsten Hothorn, and Peter Westfall. 2016.</w:t>
      </w:r>
      <w:r>
        <w:t xml:space="preserve"> </w:t>
      </w:r>
      <w:r>
        <w:rPr>
          <w:i/>
          <w:iCs/>
        </w:rPr>
        <w:t xml:space="preserve">Multiple</w:t>
      </w:r>
      <w:r>
        <w:rPr>
          <w:i/>
          <w:iCs/>
        </w:rPr>
        <w:t xml:space="preserve"> </w:t>
      </w:r>
      <w:r>
        <w:rPr>
          <w:i/>
          <w:iCs/>
        </w:rPr>
        <w:t xml:space="preserve">Comparisons Using R</w:t>
      </w:r>
      <w:r>
        <w:t xml:space="preserve">. New York:</w:t>
      </w:r>
      <w:r>
        <w:t xml:space="preserve"> </w:t>
      </w:r>
      <w:r>
        <w:t xml:space="preserve">Chapman and Hall/CRC</w:t>
      </w:r>
      <w:r>
        <w:t xml:space="preserve">.</w:t>
      </w:r>
      <w:r>
        <w:t xml:space="preserve"> </w:t>
      </w:r>
      <w:hyperlink r:id="rId273">
        <w:r>
          <w:rPr>
            <w:rStyle w:val="Hyperlink"/>
          </w:rPr>
          <w:t xml:space="preserve">https://doi.org/10.1201/9781420010909</w:t>
        </w:r>
      </w:hyperlink>
      <w:r>
        <w:t xml:space="preserve">.</w:t>
      </w:r>
    </w:p>
    <w:bookmarkEnd w:id="274"/>
    <w:bookmarkStart w:id="276" w:name="ref-bridges2025bb"/>
    <w:p>
      <w:pPr>
        <w:pStyle w:val="Bibliography"/>
      </w:pPr>
      <w:r>
        <w:t xml:space="preserve">Bridges, Yasemin, Vinicius de Souza, Katherina G. Cortes, Melissa Haendel, Nomi L. Harris, Daniel R. Korn, Nikolaos M. Marinakis, et al. 2025.</w:t>
      </w:r>
      <w:r>
        <w:t xml:space="preserve"> </w:t>
      </w:r>
      <w:r>
        <w:t xml:space="preserve">‘Towards a Standard Benchmark for Phenotype-Driven Variant and Gene Prioritisation Algorithms:</w:t>
      </w:r>
      <w:r>
        <w:t xml:space="preserve"> </w:t>
      </w:r>
      <w:r>
        <w:t xml:space="preserve">PhEval</w:t>
      </w:r>
      <w:r>
        <w:t xml:space="preserve"> - </w:t>
      </w:r>
      <w:r>
        <w:t xml:space="preserve">Phenotypic</w:t>
      </w:r>
      <w:r>
        <w:t xml:space="preserve"> </w:t>
      </w:r>
      <w:r>
        <w:t xml:space="preserve">Inference</w:t>
      </w:r>
      <w:r>
        <w:t xml:space="preserve"> </w:t>
      </w:r>
      <w:r>
        <w:t xml:space="preserve">Evaluation</w:t>
      </w:r>
      <w:r>
        <w:t xml:space="preserve"> </w:t>
      </w:r>
      <w:r>
        <w:t xml:space="preserve">Framework’</w:t>
      </w:r>
      <w:r>
        <w:t xml:space="preserve">.</w:t>
      </w:r>
      <w:r>
        <w:t xml:space="preserve"> </w:t>
      </w:r>
      <w:r>
        <w:rPr>
          <w:i/>
          <w:iCs/>
        </w:rPr>
        <w:t xml:space="preserve">BMC Bioinformatics</w:t>
      </w:r>
      <w:r>
        <w:t xml:space="preserve"> </w:t>
      </w:r>
      <w:r>
        <w:t xml:space="preserve">26 (1): 87.</w:t>
      </w:r>
      <w:r>
        <w:t xml:space="preserve"> </w:t>
      </w:r>
      <w:hyperlink r:id="rId275">
        <w:r>
          <w:rPr>
            <w:rStyle w:val="Hyperlink"/>
          </w:rPr>
          <w:t xml:space="preserve">https://doi.org/10.1186/s12859-025-06105-4</w:t>
        </w:r>
      </w:hyperlink>
      <w:r>
        <w:t xml:space="preserve">.</w:t>
      </w:r>
    </w:p>
    <w:bookmarkEnd w:id="276"/>
    <w:bookmarkStart w:id="278" w:name="ref-chen2025b"/>
    <w:p>
      <w:pPr>
        <w:pStyle w:val="Bibliography"/>
      </w:pPr>
      <w:r>
        <w:t xml:space="preserve">Chen, Ting-Huei, Chia-Jung Lee, Syue-Pu Chen, Shang-Jung Wu, and Cathy S J Fann. 2025.</w:t>
      </w:r>
      <w:r>
        <w:t xml:space="preserve"> </w:t>
      </w:r>
      <w:r>
        <w:t xml:space="preserve">‘</w:t>
      </w:r>
      <w:r>
        <w:t xml:space="preserve">PNL</w:t>
      </w:r>
      <w:r>
        <w:t xml:space="preserve">: A Software to Build Polygenic Risk Scores Using a Super Learner Approach Based on</w:t>
      </w:r>
      <w:r>
        <w:t xml:space="preserve"> </w:t>
      </w:r>
      <w:r>
        <w:t xml:space="preserve">PairNet</w:t>
      </w:r>
      <w:r>
        <w:t xml:space="preserve">, a</w:t>
      </w:r>
      <w:r>
        <w:t xml:space="preserve"> </w:t>
      </w:r>
      <w:r>
        <w:t xml:space="preserve">Convolutional Neural Network</w:t>
      </w:r>
      <w:r>
        <w:t xml:space="preserve">’</w:t>
      </w:r>
      <w:r>
        <w:t xml:space="preserve">.</w:t>
      </w:r>
      <w:r>
        <w:t xml:space="preserve"> </w:t>
      </w:r>
      <w:r>
        <w:rPr>
          <w:i/>
          <w:iCs/>
        </w:rPr>
        <w:t xml:space="preserve">Bioinformatics</w:t>
      </w:r>
      <w:r>
        <w:t xml:space="preserve"> </w:t>
      </w:r>
      <w:r>
        <w:t xml:space="preserve">41 (2): btaf071.</w:t>
      </w:r>
      <w:r>
        <w:t xml:space="preserve"> </w:t>
      </w:r>
      <w:hyperlink r:id="rId277">
        <w:r>
          <w:rPr>
            <w:rStyle w:val="Hyperlink"/>
          </w:rPr>
          <w:t xml:space="preserve">https://doi.org/10.1093/bioinformatics/btaf071</w:t>
        </w:r>
      </w:hyperlink>
      <w:r>
        <w:t xml:space="preserve">.</w:t>
      </w:r>
    </w:p>
    <w:bookmarkEnd w:id="278"/>
    <w:bookmarkStart w:id="280" w:name="ref-david2021tig"/>
    <w:p>
      <w:pPr>
        <w:pStyle w:val="Bibliography"/>
      </w:pPr>
      <w:r>
        <w:t xml:space="preserve">David, Susana. 2021.</w:t>
      </w:r>
      <w:r>
        <w:t xml:space="preserve"> </w:t>
      </w:r>
      <w:r>
        <w:t xml:space="preserve">‘A Current Guide to Candidate Gene Association Studies’</w:t>
      </w:r>
      <w:r>
        <w:t xml:space="preserve">.</w:t>
      </w:r>
      <w:r>
        <w:t xml:space="preserve"> </w:t>
      </w:r>
      <w:r>
        <w:rPr>
          <w:i/>
          <w:iCs/>
        </w:rPr>
        <w:t xml:space="preserve">Trends in Genetics</w:t>
      </w:r>
      <w:r>
        <w:t xml:space="preserve"> </w:t>
      </w:r>
      <w:r>
        <w:t xml:space="preserve">37 (12): 1056–59.</w:t>
      </w:r>
      <w:r>
        <w:t xml:space="preserve"> </w:t>
      </w:r>
      <w:hyperlink r:id="rId279">
        <w:r>
          <w:rPr>
            <w:rStyle w:val="Hyperlink"/>
          </w:rPr>
          <w:t xml:space="preserve">https://doi.org/10.1016/j.tig.2021.07.009</w:t>
        </w:r>
      </w:hyperlink>
      <w:r>
        <w:t xml:space="preserve">.</w:t>
      </w:r>
    </w:p>
    <w:bookmarkEnd w:id="280"/>
    <w:bookmarkStart w:id="282" w:name="ref-fadista2016ejhg"/>
    <w:p>
      <w:pPr>
        <w:pStyle w:val="Bibliography"/>
      </w:pPr>
      <w:r>
        <w:t xml:space="preserve">Fadista, João, Alisa K. Manning, Jose C. Florez, and Leif Groop. 2016.</w:t>
      </w:r>
      <w:r>
        <w:t xml:space="preserve"> </w:t>
      </w:r>
      <w:r>
        <w:t xml:space="preserve">‘The (in)famous</w:t>
      </w:r>
      <w:r>
        <w:t xml:space="preserve"> </w:t>
      </w:r>
      <w:r>
        <w:t xml:space="preserve">GWAS P-value</w:t>
      </w:r>
      <w:r>
        <w:t xml:space="preserve"> </w:t>
      </w:r>
      <w:r>
        <w:t xml:space="preserve">Threshold Revisited and Updated for Low-Frequency Variants’</w:t>
      </w:r>
      <w:r>
        <w:t xml:space="preserve">.</w:t>
      </w:r>
      <w:r>
        <w:t xml:space="preserve"> </w:t>
      </w:r>
      <w:r>
        <w:rPr>
          <w:i/>
          <w:iCs/>
        </w:rPr>
        <w:t xml:space="preserve">European Journal of Human Genetics</w:t>
      </w:r>
      <w:r>
        <w:t xml:space="preserve"> </w:t>
      </w:r>
      <w:r>
        <w:t xml:space="preserve">24 (8): 1202–5.</w:t>
      </w:r>
      <w:r>
        <w:t xml:space="preserve"> </w:t>
      </w:r>
      <w:hyperlink r:id="rId281">
        <w:r>
          <w:rPr>
            <w:rStyle w:val="Hyperlink"/>
          </w:rPr>
          <w:t xml:space="preserve">https://doi.org/10.1038/ejhg.2015.269</w:t>
        </w:r>
      </w:hyperlink>
      <w:r>
        <w:t xml:space="preserve">.</w:t>
      </w:r>
    </w:p>
    <w:bookmarkEnd w:id="282"/>
    <w:bookmarkStart w:id="284" w:name="ref-gnanaolivu2025bb"/>
    <w:p>
      <w:pPr>
        <w:pStyle w:val="Bibliography"/>
      </w:pPr>
      <w:r>
        <w:t xml:space="preserve">Gnanaolivu, Rohan, Gavin Oliver, Garrett Jenkinson, Emily Blake, Wenan Chen, Nicholas Chia, Eric W. Klee, and Chen Wang. 2025.</w:t>
      </w:r>
      <w:r>
        <w:t xml:space="preserve"> </w:t>
      </w:r>
      <w:r>
        <w:t xml:space="preserve">‘A Clinical Knowledge Graph-Based Framework to Prioritize Candidate Genes for Facilitating Diagnosis of</w:t>
      </w:r>
      <w:r>
        <w:t xml:space="preserve"> </w:t>
      </w:r>
      <w:r>
        <w:t xml:space="preserve">Mendelian</w:t>
      </w:r>
      <w:r>
        <w:t xml:space="preserve"> </w:t>
      </w:r>
      <w:r>
        <w:t xml:space="preserve">Diseases and Rare Genetic Conditions’</w:t>
      </w:r>
      <w:r>
        <w:t xml:space="preserve">.</w:t>
      </w:r>
      <w:r>
        <w:t xml:space="preserve"> </w:t>
      </w:r>
      <w:r>
        <w:rPr>
          <w:i/>
          <w:iCs/>
        </w:rPr>
        <w:t xml:space="preserve">BMC Bioinformatics</w:t>
      </w:r>
      <w:r>
        <w:t xml:space="preserve"> </w:t>
      </w:r>
      <w:r>
        <w:t xml:space="preserve">26 (1): 82.</w:t>
      </w:r>
      <w:r>
        <w:t xml:space="preserve"> </w:t>
      </w:r>
      <w:hyperlink r:id="rId283">
        <w:r>
          <w:rPr>
            <w:rStyle w:val="Hyperlink"/>
          </w:rPr>
          <w:t xml:space="preserve">https://doi.org/10.1186/s12859-025-06096-2</w:t>
        </w:r>
      </w:hyperlink>
      <w:r>
        <w:t xml:space="preserve">.</w:t>
      </w:r>
    </w:p>
    <w:bookmarkEnd w:id="284"/>
    <w:bookmarkStart w:id="286" w:name="ref-harris2025nrg"/>
    <w:p>
      <w:pPr>
        <w:pStyle w:val="Bibliography"/>
      </w:pPr>
      <w:r>
        <w:t xml:space="preserve">Harris, Laura, Ellen M. McDonagh, Xiaolei Zhang, Katherine Fawcett, Amy Foreman, Petr Daneck, Panagiotis I. Sergouniotis, et al. 2025.</w:t>
      </w:r>
      <w:r>
        <w:t xml:space="preserve"> </w:t>
      </w:r>
      <w:r>
        <w:t xml:space="preserve">‘Genome-Wide Association Testing Beyond</w:t>
      </w:r>
      <w:r>
        <w:t xml:space="preserve"> </w:t>
      </w:r>
      <w:r>
        <w:t xml:space="preserve">SNPs</w:t>
      </w:r>
      <w:r>
        <w:t xml:space="preserve">’</w:t>
      </w:r>
      <w:r>
        <w:t xml:space="preserve">.</w:t>
      </w:r>
      <w:r>
        <w:t xml:space="preserve"> </w:t>
      </w:r>
      <w:r>
        <w:rPr>
          <w:i/>
          <w:iCs/>
        </w:rPr>
        <w:t xml:space="preserve">Nature Reviews Genetics</w:t>
      </w:r>
      <w:r>
        <w:t xml:space="preserve"> </w:t>
      </w:r>
      <w:r>
        <w:t xml:space="preserve">26 (3): 156–70.</w:t>
      </w:r>
      <w:r>
        <w:t xml:space="preserve"> </w:t>
      </w:r>
      <w:hyperlink r:id="rId285">
        <w:r>
          <w:rPr>
            <w:rStyle w:val="Hyperlink"/>
          </w:rPr>
          <w:t xml:space="preserve">https://doi.org/10.1038/s41576-024-00778-y</w:t>
        </w:r>
      </w:hyperlink>
      <w:r>
        <w:t xml:space="preserve">.</w:t>
      </w:r>
    </w:p>
    <w:bookmarkEnd w:id="286"/>
    <w:bookmarkStart w:id="287" w:name="ref-hayes2013gasagp"/>
    <w:p>
      <w:pPr>
        <w:pStyle w:val="Bibliography"/>
      </w:pPr>
      <w:r>
        <w:t xml:space="preserve">Hayes, Ben. 2013.</w:t>
      </w:r>
      <w:r>
        <w:t xml:space="preserve"> </w:t>
      </w:r>
      <w:r>
        <w:t xml:space="preserve">‘Overview of</w:t>
      </w:r>
      <w:r>
        <w:t xml:space="preserve"> </w:t>
      </w:r>
      <w:r>
        <w:t xml:space="preserve">Statistical Methods</w:t>
      </w:r>
      <w:r>
        <w:t xml:space="preserve"> </w:t>
      </w:r>
      <w:r>
        <w:t xml:space="preserve">for</w:t>
      </w:r>
      <w:r>
        <w:t xml:space="preserve"> </w:t>
      </w:r>
      <w:r>
        <w:t xml:space="preserve">Genome-Wide Association Studies</w:t>
      </w:r>
      <w:r>
        <w:t xml:space="preserve"> </w:t>
      </w:r>
      <w:r>
        <w:t xml:space="preserve">(</w:t>
      </w:r>
      <w:r>
        <w:t xml:space="preserve">GWAS</w:t>
      </w:r>
      <w:r>
        <w:t xml:space="preserve">)’</w:t>
      </w:r>
      <w:r>
        <w:t xml:space="preserve">. In</w:t>
      </w:r>
      <w:r>
        <w:t xml:space="preserve"> </w:t>
      </w:r>
      <w:r>
        <w:rPr>
          <w:i/>
          <w:iCs/>
        </w:rPr>
        <w:t xml:space="preserve">Genome-</w:t>
      </w:r>
      <w:r>
        <w:rPr>
          <w:i/>
          <w:iCs/>
        </w:rPr>
        <w:t xml:space="preserve">Wide Association Studies</w:t>
      </w:r>
      <w:r>
        <w:rPr>
          <w:i/>
          <w:iCs/>
        </w:rPr>
        <w:t xml:space="preserve"> </w:t>
      </w:r>
      <w:r>
        <w:rPr>
          <w:i/>
          <w:iCs/>
        </w:rPr>
        <w:t xml:space="preserve">and</w:t>
      </w:r>
      <w:r>
        <w:rPr>
          <w:i/>
          <w:iCs/>
        </w:rPr>
        <w:t xml:space="preserve"> </w:t>
      </w:r>
      <w:r>
        <w:rPr>
          <w:i/>
          <w:iCs/>
        </w:rPr>
        <w:t xml:space="preserve">Genomic Prediction</w:t>
      </w:r>
      <w:r>
        <w:t xml:space="preserve">, edited by Cedric Gondro, Julius van der Werf, and Ben Hayes, 149–69. Totowa, NJ: Humana Press.</w:t>
      </w:r>
      <w:r>
        <w:t xml:space="preserve"> </w:t>
      </w:r>
      <w:hyperlink r:id="rId30">
        <w:r>
          <w:rPr>
            <w:rStyle w:val="Hyperlink"/>
          </w:rPr>
          <w:t xml:space="preserve">https://doi.org/10.1007/978-1-62703-447-0_6</w:t>
        </w:r>
      </w:hyperlink>
      <w:r>
        <w:t xml:space="preserve">.</w:t>
      </w:r>
    </w:p>
    <w:bookmarkEnd w:id="287"/>
    <w:bookmarkStart w:id="289" w:name="ref-kim2025b"/>
    <w:p>
      <w:pPr>
        <w:pStyle w:val="Bibliography"/>
      </w:pPr>
      <w:r>
        <w:t xml:space="preserve">Kim, Na Yeon, and Seunggeun Lee. 2025.</w:t>
      </w:r>
      <w:r>
        <w:t xml:space="preserve"> </w:t>
      </w:r>
      <w:r>
        <w:t xml:space="preserve">‘</w:t>
      </w:r>
      <w:r>
        <w:t xml:space="preserve">XPRS</w:t>
      </w:r>
      <w:r>
        <w:t xml:space="preserve">:</w:t>
      </w:r>
      <w:r>
        <w:t xml:space="preserve"> </w:t>
      </w:r>
      <w:r>
        <w:t xml:space="preserve">A Tool</w:t>
      </w:r>
      <w:r>
        <w:t xml:space="preserve"> </w:t>
      </w:r>
      <w:r>
        <w:t xml:space="preserve">for</w:t>
      </w:r>
      <w:r>
        <w:t xml:space="preserve"> </w:t>
      </w:r>
      <w:r>
        <w:t xml:space="preserve">Interpretable</w:t>
      </w:r>
      <w:r>
        <w:t xml:space="preserve"> </w:t>
      </w:r>
      <w:r>
        <w:t xml:space="preserve">and</w:t>
      </w:r>
      <w:r>
        <w:t xml:space="preserve"> </w:t>
      </w:r>
      <w:r>
        <w:t xml:space="preserve">Explainable Polygenic Risk Score</w:t>
      </w:r>
      <w:r>
        <w:t xml:space="preserve">’</w:t>
      </w:r>
      <w:r>
        <w:t xml:space="preserve">.</w:t>
      </w:r>
      <w:r>
        <w:t xml:space="preserve"> </w:t>
      </w:r>
      <w:r>
        <w:rPr>
          <w:i/>
          <w:iCs/>
        </w:rPr>
        <w:t xml:space="preserve">Bioinformatics</w:t>
      </w:r>
      <w:r>
        <w:t xml:space="preserve">, March, btaf143.</w:t>
      </w:r>
      <w:r>
        <w:t xml:space="preserve"> </w:t>
      </w:r>
      <w:hyperlink r:id="rId288">
        <w:r>
          <w:rPr>
            <w:rStyle w:val="Hyperlink"/>
          </w:rPr>
          <w:t xml:space="preserve">https://doi.org/10.1093/bioinformatics/btaf143</w:t>
        </w:r>
      </w:hyperlink>
      <w:r>
        <w:t xml:space="preserve">.</w:t>
      </w:r>
    </w:p>
    <w:bookmarkEnd w:id="289"/>
    <w:bookmarkStart w:id="291" w:name="ref-leeuw2015pcb"/>
    <w:p>
      <w:pPr>
        <w:pStyle w:val="Bibliography"/>
      </w:pPr>
      <w:r>
        <w:t xml:space="preserve">Leeuw, Christiaan A. de, Joris M. Mooij, Tom Heskes, and Danielle Posthuma. 2015.</w:t>
      </w:r>
      <w:r>
        <w:t xml:space="preserve"> </w:t>
      </w:r>
      <w:r>
        <w:t xml:space="preserve">‘</w:t>
      </w:r>
      <w:r>
        <w:t xml:space="preserve">MAGMA</w:t>
      </w:r>
      <w:r>
        <w:t xml:space="preserve">:</w:t>
      </w:r>
      <w:r>
        <w:t xml:space="preserve"> </w:t>
      </w:r>
      <w:r>
        <w:t xml:space="preserve">Generalized Gene-Set Analysis</w:t>
      </w:r>
      <w:r>
        <w:t xml:space="preserve"> </w:t>
      </w:r>
      <w:r>
        <w:t xml:space="preserve">of</w:t>
      </w:r>
      <w:r>
        <w:t xml:space="preserve"> </w:t>
      </w:r>
      <w:r>
        <w:t xml:space="preserve">GWAS Data</w:t>
      </w:r>
      <w:r>
        <w:t xml:space="preserve">’</w:t>
      </w:r>
      <w:r>
        <w:t xml:space="preserve">.</w:t>
      </w:r>
      <w:r>
        <w:t xml:space="preserve"> </w:t>
      </w:r>
      <w:r>
        <w:rPr>
          <w:i/>
          <w:iCs/>
        </w:rPr>
        <w:t xml:space="preserve">PLOS Computational Biology</w:t>
      </w:r>
      <w:r>
        <w:t xml:space="preserve"> </w:t>
      </w:r>
      <w:r>
        <w:t xml:space="preserve">11 (4): e1004219.</w:t>
      </w:r>
      <w:r>
        <w:t xml:space="preserve"> </w:t>
      </w:r>
      <w:hyperlink r:id="rId290">
        <w:r>
          <w:rPr>
            <w:rStyle w:val="Hyperlink"/>
          </w:rPr>
          <w:t xml:space="preserve">https://doi.org/10.1371/journal.pcbi.1004219</w:t>
        </w:r>
      </w:hyperlink>
      <w:r>
        <w:t xml:space="preserve">.</w:t>
      </w:r>
    </w:p>
    <w:bookmarkEnd w:id="291"/>
    <w:bookmarkStart w:id="293" w:name="ref-lin2024"/>
    <w:p>
      <w:pPr>
        <w:pStyle w:val="Bibliography"/>
      </w:pPr>
      <w:r>
        <w:t xml:space="preserve">Lin, Jiecong, Ruibang Luo, and Luca Pinello. 2024.</w:t>
      </w:r>
      <w:r>
        <w:t xml:space="preserve"> </w:t>
      </w:r>
      <w:r>
        <w:t xml:space="preserve">‘</w:t>
      </w:r>
      <w:r>
        <w:t xml:space="preserve">EPInformer</w:t>
      </w:r>
      <w:r>
        <w:t xml:space="preserve">: A Scalable Deep Learning Framework for Gene Expression Prediction by Integrating Promoter-Enhancer Sequences with Multimodal Epigenomic Data’</w:t>
      </w:r>
      <w:r>
        <w:t xml:space="preserve">. 1 August 2024.</w:t>
      </w:r>
      <w:r>
        <w:t xml:space="preserve"> </w:t>
      </w:r>
      <w:hyperlink r:id="rId292">
        <w:r>
          <w:rPr>
            <w:rStyle w:val="Hyperlink"/>
          </w:rPr>
          <w:t xml:space="preserve">https://doi.org/10.1101/2024.08.01.606099</w:t>
        </w:r>
      </w:hyperlink>
      <w:r>
        <w:t xml:space="preserve">.</w:t>
      </w:r>
    </w:p>
    <w:bookmarkEnd w:id="293"/>
    <w:bookmarkStart w:id="295" w:name="ref-menashe2008bg"/>
    <w:p>
      <w:pPr>
        <w:pStyle w:val="Bibliography"/>
      </w:pPr>
      <w:r>
        <w:t xml:space="preserve">Menashe, Idan, Philip S Rosenberg, and Bingshu E Chen. 2008.</w:t>
      </w:r>
      <w:r>
        <w:t xml:space="preserve"> </w:t>
      </w:r>
      <w:r>
        <w:t xml:space="preserve">‘</w:t>
      </w:r>
      <w:r>
        <w:t xml:space="preserve">PGA</w:t>
      </w:r>
      <w:r>
        <w:t xml:space="preserve">: Power Calculator for Case-Control Genetic Association Analyses’</w:t>
      </w:r>
      <w:r>
        <w:t xml:space="preserve">.</w:t>
      </w:r>
      <w:r>
        <w:t xml:space="preserve"> </w:t>
      </w:r>
      <w:r>
        <w:rPr>
          <w:i/>
          <w:iCs/>
        </w:rPr>
        <w:t xml:space="preserve">BMC Genetics</w:t>
      </w:r>
      <w:r>
        <w:t xml:space="preserve"> </w:t>
      </w:r>
      <w:r>
        <w:t xml:space="preserve">9 (May): 36.</w:t>
      </w:r>
      <w:r>
        <w:t xml:space="preserve"> </w:t>
      </w:r>
      <w:hyperlink r:id="rId294">
        <w:r>
          <w:rPr>
            <w:rStyle w:val="Hyperlink"/>
          </w:rPr>
          <w:t xml:space="preserve">https://doi.org/10.1186/1471-2156-9-36</w:t>
        </w:r>
      </w:hyperlink>
      <w:r>
        <w:t xml:space="preserve">.</w:t>
      </w:r>
    </w:p>
    <w:bookmarkEnd w:id="295"/>
    <w:bookmarkStart w:id="297" w:name="ref-moore2019hh"/>
    <w:p>
      <w:pPr>
        <w:pStyle w:val="Bibliography"/>
      </w:pPr>
      <w:r>
        <w:t xml:space="preserve">Moore, Camille M., Sean A. Jacobso, and Tasha E. Fingerlin. 2019.</w:t>
      </w:r>
      <w:r>
        <w:t xml:space="preserve"> </w:t>
      </w:r>
      <w:r>
        <w:t xml:space="preserve">‘Power and</w:t>
      </w:r>
      <w:r>
        <w:t xml:space="preserve"> </w:t>
      </w:r>
      <w:r>
        <w:t xml:space="preserve">Sample Size Calculations</w:t>
      </w:r>
      <w:r>
        <w:t xml:space="preserve"> </w:t>
      </w:r>
      <w:r>
        <w:t xml:space="preserve">for</w:t>
      </w:r>
      <w:r>
        <w:t xml:space="preserve"> </w:t>
      </w:r>
      <w:r>
        <w:t xml:space="preserve">Genetic Association Studies</w:t>
      </w:r>
      <w:r>
        <w:t xml:space="preserve"> </w:t>
      </w:r>
      <w:r>
        <w:t xml:space="preserve">in the</w:t>
      </w:r>
      <w:r>
        <w:t xml:space="preserve"> </w:t>
      </w:r>
      <w:r>
        <w:t xml:space="preserve">Presence</w:t>
      </w:r>
      <w:r>
        <w:t xml:space="preserve"> </w:t>
      </w:r>
      <w:r>
        <w:t xml:space="preserve">of</w:t>
      </w:r>
      <w:r>
        <w:t xml:space="preserve"> </w:t>
      </w:r>
      <w:r>
        <w:t xml:space="preserve">Genetic Model Mis-Specification</w:t>
      </w:r>
      <w:r>
        <w:t xml:space="preserve">’</w:t>
      </w:r>
      <w:r>
        <w:t xml:space="preserve">.</w:t>
      </w:r>
      <w:r>
        <w:t xml:space="preserve"> </w:t>
      </w:r>
      <w:r>
        <w:rPr>
          <w:i/>
          <w:iCs/>
        </w:rPr>
        <w:t xml:space="preserve">Human Heredity</w:t>
      </w:r>
      <w:r>
        <w:t xml:space="preserve"> </w:t>
      </w:r>
      <w:r>
        <w:t xml:space="preserve">84 (6): 256–71.</w:t>
      </w:r>
      <w:r>
        <w:t xml:space="preserve"> </w:t>
      </w:r>
      <w:hyperlink r:id="rId296">
        <w:r>
          <w:rPr>
            <w:rStyle w:val="Hyperlink"/>
          </w:rPr>
          <w:t xml:space="preserve">https://doi.org/10.1159/000508558</w:t>
        </w:r>
      </w:hyperlink>
      <w:r>
        <w:t xml:space="preserve">.</w:t>
      </w:r>
    </w:p>
    <w:bookmarkEnd w:id="297"/>
    <w:bookmarkStart w:id="299" w:name="ref-mostafavi2023ng"/>
    <w:p>
      <w:pPr>
        <w:pStyle w:val="Bibliography"/>
      </w:pPr>
      <w:r>
        <w:t xml:space="preserve">Mostafavi, Hakhamanesh, Jeffrey P. Spence, Sahin Naqvi, and Jonathan K. Pritchard. 2023.</w:t>
      </w:r>
      <w:r>
        <w:t xml:space="preserve"> </w:t>
      </w:r>
      <w:r>
        <w:t xml:space="preserve">‘Systematic Differences in Discovery of Genetic Effects on Gene Expression and Complex Traits’</w:t>
      </w:r>
      <w:r>
        <w:t xml:space="preserve">.</w:t>
      </w:r>
      <w:r>
        <w:t xml:space="preserve"> </w:t>
      </w:r>
      <w:r>
        <w:rPr>
          <w:i/>
          <w:iCs/>
        </w:rPr>
        <w:t xml:space="preserve">Nature Genetics</w:t>
      </w:r>
      <w:r>
        <w:t xml:space="preserve"> </w:t>
      </w:r>
      <w:r>
        <w:t xml:space="preserve">55 (11): 1866–75.</w:t>
      </w:r>
      <w:r>
        <w:t xml:space="preserve"> </w:t>
      </w:r>
      <w:hyperlink r:id="rId298">
        <w:r>
          <w:rPr>
            <w:rStyle w:val="Hyperlink"/>
          </w:rPr>
          <w:t xml:space="preserve">https://doi.org/10.1038/s41588-023-01529-1</w:t>
        </w:r>
      </w:hyperlink>
      <w:r>
        <w:t xml:space="preserve">.</w:t>
      </w:r>
    </w:p>
    <w:bookmarkEnd w:id="299"/>
    <w:bookmarkStart w:id="301" w:name="ref-nolen2025b"/>
    <w:p>
      <w:pPr>
        <w:pStyle w:val="Bibliography"/>
      </w:pPr>
      <w:r>
        <w:t xml:space="preserve">Nolen, Zachary J. 2025.</w:t>
      </w:r>
      <w:r>
        <w:t xml:space="preserve"> </w:t>
      </w:r>
      <w:r>
        <w:t xml:space="preserve">‘</w:t>
      </w:r>
      <w:r>
        <w:t xml:space="preserve">PopGLen</w:t>
      </w:r>
      <w:r>
        <w:t xml:space="preserve">—</w:t>
      </w:r>
      <w:r>
        <w:t xml:space="preserve">A Snakemake</w:t>
      </w:r>
      <w:r>
        <w:t xml:space="preserve"> </w:t>
      </w:r>
      <w:r>
        <w:t xml:space="preserve">Pipeline for Performing Population Genomic Analyses Using Genotype Likelihood-Based Methods’</w:t>
      </w:r>
      <w:r>
        <w:t xml:space="preserve">.</w:t>
      </w:r>
      <w:r>
        <w:t xml:space="preserve"> </w:t>
      </w:r>
      <w:r>
        <w:rPr>
          <w:i/>
          <w:iCs/>
        </w:rPr>
        <w:t xml:space="preserve">Bioinformatics</w:t>
      </w:r>
      <w:r>
        <w:t xml:space="preserve">, March, btaf105.</w:t>
      </w:r>
      <w:r>
        <w:t xml:space="preserve"> </w:t>
      </w:r>
      <w:hyperlink r:id="rId300">
        <w:r>
          <w:rPr>
            <w:rStyle w:val="Hyperlink"/>
          </w:rPr>
          <w:t xml:space="preserve">https://doi.org/10.1093/bioinformatics/btaf105</w:t>
        </w:r>
      </w:hyperlink>
      <w:r>
        <w:t xml:space="preserve">.</w:t>
      </w:r>
    </w:p>
    <w:bookmarkEnd w:id="301"/>
    <w:bookmarkStart w:id="303" w:name="ref-pelletier2022"/>
    <w:p>
      <w:pPr>
        <w:pStyle w:val="Bibliography"/>
      </w:pPr>
      <w:r>
        <w:t xml:space="preserve">Pelletier, Justin. 2022.</w:t>
      </w:r>
      <w:r>
        <w:t xml:space="preserve"> </w:t>
      </w:r>
      <w:r>
        <w:t xml:space="preserve">‘Évaluation de l’imputation Des Données Génétiques</w:t>
      </w:r>
      <w:r>
        <w:t xml:space="preserve"> </w:t>
      </w:r>
      <w:r>
        <w:t xml:space="preserve">Canadiennes-Françaises</w:t>
      </w:r>
      <w:r>
        <w:t xml:space="preserve">’</w:t>
      </w:r>
      <w:r>
        <w:t xml:space="preserve">, April.</w:t>
      </w:r>
      <w:r>
        <w:t xml:space="preserve"> </w:t>
      </w:r>
      <w:hyperlink r:id="rId302">
        <w:r>
          <w:rPr>
            <w:rStyle w:val="Hyperlink"/>
          </w:rPr>
          <w:t xml:space="preserve">http://hdl.handle.net/1866/27582</w:t>
        </w:r>
      </w:hyperlink>
      <w:r>
        <w:t xml:space="preserve">.</w:t>
      </w:r>
    </w:p>
    <w:bookmarkEnd w:id="303"/>
    <w:bookmarkStart w:id="305" w:name="ref-perez-granado2022fg"/>
    <w:p>
      <w:pPr>
        <w:pStyle w:val="Bibliography"/>
      </w:pPr>
      <w:r>
        <w:t xml:space="preserve">Pérez-Granado, Judith, Janet Piñero, and Laura I. Furlong. 2022.</w:t>
      </w:r>
      <w:r>
        <w:t xml:space="preserve"> </w:t>
      </w:r>
      <w:r>
        <w:t xml:space="preserve">‘Benchmarking Post-</w:t>
      </w:r>
      <w:r>
        <w:t xml:space="preserve">GWAS</w:t>
      </w:r>
      <w:r>
        <w:t xml:space="preserve"> </w:t>
      </w:r>
      <w:r>
        <w:t xml:space="preserve">Analysis Tools in Major Depression:</w:t>
      </w:r>
      <w:r>
        <w:t xml:space="preserve"> </w:t>
      </w:r>
      <w:r>
        <w:t xml:space="preserve">Challenges</w:t>
      </w:r>
      <w:r>
        <w:t xml:space="preserve"> </w:t>
      </w:r>
      <w:r>
        <w:t xml:space="preserve">and Implications’</w:t>
      </w:r>
      <w:r>
        <w:t xml:space="preserve">.</w:t>
      </w:r>
      <w:r>
        <w:t xml:space="preserve"> </w:t>
      </w:r>
      <w:r>
        <w:rPr>
          <w:i/>
          <w:iCs/>
        </w:rPr>
        <w:t xml:space="preserve">Frontiers in Genetics</w:t>
      </w:r>
      <w:r>
        <w:t xml:space="preserve"> </w:t>
      </w:r>
      <w:r>
        <w:t xml:space="preserve">13 (October).</w:t>
      </w:r>
      <w:r>
        <w:t xml:space="preserve"> </w:t>
      </w:r>
      <w:hyperlink r:id="rId304">
        <w:r>
          <w:rPr>
            <w:rStyle w:val="Hyperlink"/>
          </w:rPr>
          <w:t xml:space="preserve">https://doi.org/10.3389/fgene.2022.1006903</w:t>
        </w:r>
      </w:hyperlink>
      <w:r>
        <w:t xml:space="preserve">.</w:t>
      </w:r>
    </w:p>
    <w:bookmarkEnd w:id="305"/>
    <w:bookmarkStart w:id="307" w:name="ref-politi2023l"/>
    <w:p>
      <w:pPr>
        <w:pStyle w:val="Bibliography"/>
      </w:pPr>
      <w:r>
        <w:t xml:space="preserve">Politi, Cristina, Stefanos Roumeliotis, Giovanni Tripepi, and Belinda Spoto. 2023.</w:t>
      </w:r>
      <w:r>
        <w:t xml:space="preserve"> </w:t>
      </w:r>
      <w:r>
        <w:t xml:space="preserve">‘Sample</w:t>
      </w:r>
      <w:r>
        <w:t xml:space="preserve"> </w:t>
      </w:r>
      <w:r>
        <w:t xml:space="preserve">Size Calculation</w:t>
      </w:r>
      <w:r>
        <w:t xml:space="preserve"> </w:t>
      </w:r>
      <w:r>
        <w:t xml:space="preserve">in</w:t>
      </w:r>
      <w:r>
        <w:t xml:space="preserve"> </w:t>
      </w:r>
      <w:r>
        <w:t xml:space="preserve">Genetic Association Studies</w:t>
      </w:r>
      <w:r>
        <w:t xml:space="preserve">:</w:t>
      </w:r>
      <w:r>
        <w:t xml:space="preserve"> </w:t>
      </w:r>
      <w:r>
        <w:t xml:space="preserve">A Practical Approach</w:t>
      </w:r>
      <w:r>
        <w:t xml:space="preserve">’</w:t>
      </w:r>
      <w:r>
        <w:t xml:space="preserve">.</w:t>
      </w:r>
      <w:r>
        <w:t xml:space="preserve"> </w:t>
      </w:r>
      <w:r>
        <w:rPr>
          <w:i/>
          <w:iCs/>
        </w:rPr>
        <w:t xml:space="preserve">Life</w:t>
      </w:r>
      <w:r>
        <w:t xml:space="preserve"> </w:t>
      </w:r>
      <w:r>
        <w:t xml:space="preserve">13 (1): 235.</w:t>
      </w:r>
      <w:r>
        <w:t xml:space="preserve"> </w:t>
      </w:r>
      <w:hyperlink r:id="rId306">
        <w:r>
          <w:rPr>
            <w:rStyle w:val="Hyperlink"/>
          </w:rPr>
          <w:t xml:space="preserve">https://doi.org/10.3390/life13010235</w:t>
        </w:r>
      </w:hyperlink>
      <w:r>
        <w:t xml:space="preserve">.</w:t>
      </w:r>
    </w:p>
    <w:bookmarkEnd w:id="307"/>
    <w:bookmarkStart w:id="309" w:name="ref-schonherr2024"/>
    <w:p>
      <w:pPr>
        <w:pStyle w:val="Bibliography"/>
      </w:pPr>
      <w:r>
        <w:t xml:space="preserve">Schönherr, Sebastian, and Lukas Forer. (2021) 2024.</w:t>
      </w:r>
      <w:r>
        <w:t xml:space="preserve"> </w:t>
      </w:r>
      <w:r>
        <w:t xml:space="preserve">‘Nf-Gwas -</w:t>
      </w:r>
      <w:r>
        <w:t xml:space="preserve"> </w:t>
      </w:r>
      <w:r>
        <w:t xml:space="preserve">A</w:t>
      </w:r>
      <w:r>
        <w:t xml:space="preserve"> </w:t>
      </w:r>
      <w:r>
        <w:t xml:space="preserve">Nextflow Pipeline to Perform</w:t>
      </w:r>
      <w:r>
        <w:t xml:space="preserve"> </w:t>
      </w:r>
      <w:r>
        <w:t xml:space="preserve">GWAS</w:t>
      </w:r>
      <w:r>
        <w:t xml:space="preserve">.’</w:t>
      </w:r>
      <w:r>
        <w:t xml:space="preserve"> </w:t>
      </w:r>
      <w:hyperlink r:id="rId308">
        <w:r>
          <w:rPr>
            <w:rStyle w:val="Hyperlink"/>
          </w:rPr>
          <w:t xml:space="preserve">https://github.com/genepi/nf-gwas</w:t>
        </w:r>
      </w:hyperlink>
      <w:r>
        <w:t xml:space="preserve">.</w:t>
      </w:r>
    </w:p>
    <w:bookmarkEnd w:id="309"/>
    <w:bookmarkStart w:id="311" w:name="ref-sun2025bb"/>
    <w:p>
      <w:pPr>
        <w:pStyle w:val="Bibliography"/>
      </w:pPr>
      <w:r>
        <w:t xml:space="preserve">Sun, Na, Qiang Han, Yu Wang, Mengtong Sun, Ziqing Sun, Hongpeng Sun, and Yueping Shen. 2025.</w:t>
      </w:r>
      <w:r>
        <w:t xml:space="preserve"> </w:t>
      </w:r>
      <w:r>
        <w:t xml:space="preserve">‘</w:t>
      </w:r>
      <w:r>
        <w:t xml:space="preserve">BHCox</w:t>
      </w:r>
      <w:r>
        <w:t xml:space="preserve">:</w:t>
      </w:r>
      <w:r>
        <w:t xml:space="preserve"> </w:t>
      </w:r>
      <w:r>
        <w:t xml:space="preserve">Bayesian</w:t>
      </w:r>
      <w:r>
        <w:t xml:space="preserve"> </w:t>
      </w:r>
      <w:r>
        <w:t xml:space="preserve">Heredity-Constrained</w:t>
      </w:r>
      <w:r>
        <w:t xml:space="preserve"> </w:t>
      </w:r>
      <w:r>
        <w:t xml:space="preserve">Cox</w:t>
      </w:r>
      <w:r>
        <w:t xml:space="preserve"> </w:t>
      </w:r>
      <w:r>
        <w:t xml:space="preserve">Proportional Hazards Models for Detecting Gene-Environment Interactions’</w:t>
      </w:r>
      <w:r>
        <w:t xml:space="preserve">.</w:t>
      </w:r>
      <w:r>
        <w:t xml:space="preserve"> </w:t>
      </w:r>
      <w:r>
        <w:rPr>
          <w:i/>
          <w:iCs/>
        </w:rPr>
        <w:t xml:space="preserve">BMC Bioinformatics</w:t>
      </w:r>
      <w:r>
        <w:t xml:space="preserve"> </w:t>
      </w:r>
      <w:r>
        <w:t xml:space="preserve">26 (1): 58.</w:t>
      </w:r>
      <w:r>
        <w:t xml:space="preserve"> </w:t>
      </w:r>
      <w:hyperlink r:id="rId310">
        <w:r>
          <w:rPr>
            <w:rStyle w:val="Hyperlink"/>
          </w:rPr>
          <w:t xml:space="preserve">https://doi.org/10.1186/s12859-025-06077-5</w:t>
        </w:r>
      </w:hyperlink>
      <w:r>
        <w:t xml:space="preserve">.</w:t>
      </w:r>
    </w:p>
    <w:bookmarkEnd w:id="311"/>
    <w:bookmarkStart w:id="313" w:name="ref-uffelmann2021nrmp"/>
    <w:p>
      <w:pPr>
        <w:pStyle w:val="Bibliography"/>
      </w:pPr>
      <w:r>
        <w:t xml:space="preserve">Uffelmann, Emil, Qin Qin Huang, Nchangwi Syntia Munung, Jantina de Vries, Yukinori Okada, Alicia R. Martin, Hilary C. Martin, Tuuli Lappalainen, and Danielle Posthuma. 2021.</w:t>
      </w:r>
      <w:r>
        <w:t xml:space="preserve"> </w:t>
      </w:r>
      <w:r>
        <w:t xml:space="preserve">‘Genome-Wide Association Studies’</w:t>
      </w:r>
      <w:r>
        <w:t xml:space="preserve">.</w:t>
      </w:r>
      <w:r>
        <w:t xml:space="preserve"> </w:t>
      </w:r>
      <w:r>
        <w:rPr>
          <w:i/>
          <w:iCs/>
        </w:rPr>
        <w:t xml:space="preserve">Nature Reviews Methods Primers</w:t>
      </w:r>
      <w:r>
        <w:t xml:space="preserve"> </w:t>
      </w:r>
      <w:r>
        <w:t xml:space="preserve">1 (1): 1–21.</w:t>
      </w:r>
      <w:r>
        <w:t xml:space="preserve"> </w:t>
      </w:r>
      <w:hyperlink r:id="rId312">
        <w:r>
          <w:rPr>
            <w:rStyle w:val="Hyperlink"/>
          </w:rPr>
          <w:t xml:space="preserve">https://doi.org/10.1038/s43586-021-00056-9</w:t>
        </w:r>
      </w:hyperlink>
      <w:r>
        <w:t xml:space="preserve">.</w:t>
      </w:r>
    </w:p>
    <w:bookmarkEnd w:id="313"/>
    <w:bookmarkStart w:id="315" w:name="ref-wang2005nrg"/>
    <w:p>
      <w:pPr>
        <w:pStyle w:val="Bibliography"/>
      </w:pPr>
      <w:r>
        <w:t xml:space="preserve">Wang, William Y. S., Bryan J. Barratt, David G. Clayton, and John A. Todd. 2005.</w:t>
      </w:r>
      <w:r>
        <w:t xml:space="preserve"> </w:t>
      </w:r>
      <w:r>
        <w:t xml:space="preserve">‘Genome-Wide Association Studies: Theoretical and Practical Concerns’</w:t>
      </w:r>
      <w:r>
        <w:t xml:space="preserve">.</w:t>
      </w:r>
      <w:r>
        <w:t xml:space="preserve"> </w:t>
      </w:r>
      <w:r>
        <w:rPr>
          <w:i/>
          <w:iCs/>
        </w:rPr>
        <w:t xml:space="preserve">Nature Reviews Genetics</w:t>
      </w:r>
      <w:r>
        <w:t xml:space="preserve"> </w:t>
      </w:r>
      <w:r>
        <w:t xml:space="preserve">6 (2): 109–18.</w:t>
      </w:r>
      <w:r>
        <w:t xml:space="preserve"> </w:t>
      </w:r>
      <w:hyperlink r:id="rId314">
        <w:r>
          <w:rPr>
            <w:rStyle w:val="Hyperlink"/>
          </w:rPr>
          <w:t xml:space="preserve">https://doi.org/10.1038/nrg1522</w:t>
        </w:r>
      </w:hyperlink>
      <w:r>
        <w:t xml:space="preserve">.</w:t>
      </w:r>
    </w:p>
    <w:bookmarkEnd w:id="315"/>
    <w:bookmarkStart w:id="316" w:name="ref-yang2024bib"/>
    <w:p>
      <w:pPr>
        <w:pStyle w:val="Bibliography"/>
      </w:pPr>
      <w:r>
        <w:t xml:space="preserve">Yang, Zikun, Basilio Cieza, Dolly Reyes-Dumeyer, Rosa Montesinos, Marcio Soto-Añari, Nilton Custodio, and Giuseppe Tosto. 2024.</w:t>
      </w:r>
      <w:r>
        <w:t xml:space="preserve"> </w:t>
      </w:r>
      <w:r>
        <w:t xml:space="preserve">‘A Benchmark Study on Current</w:t>
      </w:r>
      <w:r>
        <w:t xml:space="preserve"> </w:t>
      </w:r>
      <w:r>
        <w:t xml:space="preserve">GWAS</w:t>
      </w:r>
      <w:r>
        <w:t xml:space="preserve"> </w:t>
      </w:r>
      <w:r>
        <w:t xml:space="preserve">Models in Admixed Populations’</w:t>
      </w:r>
      <w:r>
        <w:t xml:space="preserve">.</w:t>
      </w:r>
      <w:r>
        <w:t xml:space="preserve"> </w:t>
      </w:r>
      <w:r>
        <w:rPr>
          <w:i/>
          <w:iCs/>
        </w:rPr>
        <w:t xml:space="preserve">Briefings in Bioinformatics</w:t>
      </w:r>
      <w:r>
        <w:t xml:space="preserve"> </w:t>
      </w:r>
      <w:r>
        <w:t xml:space="preserve">25 (1): bbad437.</w:t>
      </w:r>
      <w:r>
        <w:t xml:space="preserve"> </w:t>
      </w:r>
      <w:hyperlink r:id="rId68">
        <w:r>
          <w:rPr>
            <w:rStyle w:val="Hyperlink"/>
          </w:rPr>
          <w:t xml:space="preserve">https://doi.org/10.1093/bib/bbad437</w:t>
        </w:r>
      </w:hyperlink>
      <w:r>
        <w:t xml:space="preserve">.</w:t>
      </w:r>
    </w:p>
    <w:bookmarkEnd w:id="316"/>
    <w:bookmarkStart w:id="318" w:name="ref-zhao2025bib"/>
    <w:p>
      <w:pPr>
        <w:pStyle w:val="Bibliography"/>
      </w:pPr>
      <w:r>
        <w:t xml:space="preserve">Zhao, Gefei, and Binbin Lai. 2025.</w:t>
      </w:r>
      <w:r>
        <w:t xml:space="preserve"> </w:t>
      </w:r>
      <w:r>
        <w:t xml:space="preserve">‘</w:t>
      </w:r>
      <w:r>
        <w:t xml:space="preserve">SC-VAR</w:t>
      </w:r>
      <w:r>
        <w:t xml:space="preserve">: A Computational Tool for Interpreting Polygenic Disease Risks Using Single-Cell Epigenomic Data’</w:t>
      </w:r>
      <w:r>
        <w:t xml:space="preserve">.</w:t>
      </w:r>
      <w:r>
        <w:t xml:space="preserve"> </w:t>
      </w:r>
      <w:r>
        <w:rPr>
          <w:i/>
          <w:iCs/>
        </w:rPr>
        <w:t xml:space="preserve">Briefings in Bioinformatics</w:t>
      </w:r>
      <w:r>
        <w:t xml:space="preserve"> </w:t>
      </w:r>
      <w:r>
        <w:t xml:space="preserve">26 (2): bbaf123.</w:t>
      </w:r>
      <w:r>
        <w:t xml:space="preserve"> </w:t>
      </w:r>
      <w:hyperlink r:id="rId317">
        <w:r>
          <w:rPr>
            <w:rStyle w:val="Hyperlink"/>
          </w:rPr>
          <w:t xml:space="preserve">https://doi.org/10.1093/bib/bbaf123</w:t>
        </w:r>
      </w:hyperlink>
      <w:r>
        <w:t xml:space="preserve">.</w:t>
      </w:r>
    </w:p>
    <w:bookmarkEnd w:id="318"/>
    <w:bookmarkStart w:id="319" w:name="ref-zhao2024gb"/>
    <w:p>
      <w:pPr>
        <w:pStyle w:val="Bibliography"/>
      </w:pPr>
      <w:r>
        <w:t xml:space="preserve">Zhao, Zijie, Tim Gruenloh, Meiyi Yan, Yixuan Wu, Zhongxuan Sun, Jiacheng Miao, Yuchang Wu, Jie Song, and Qiongshi Lu. 2024.</w:t>
      </w:r>
      <w:r>
        <w:t xml:space="preserve"> </w:t>
      </w:r>
      <w:r>
        <w:t xml:space="preserve">‘Optimizing and Benchmarking Polygenic Risk Scores with</w:t>
      </w:r>
      <w:r>
        <w:t xml:space="preserve"> </w:t>
      </w:r>
      <w:r>
        <w:t xml:space="preserve">GWAS</w:t>
      </w:r>
      <w:r>
        <w:t xml:space="preserve"> </w:t>
      </w:r>
      <w:r>
        <w:t xml:space="preserve">Summary Statistics’</w:t>
      </w:r>
      <w:r>
        <w:t xml:space="preserve">.</w:t>
      </w:r>
      <w:r>
        <w:t xml:space="preserve"> </w:t>
      </w:r>
      <w:r>
        <w:rPr>
          <w:i/>
          <w:iCs/>
        </w:rPr>
        <w:t xml:space="preserve">Genome Biology</w:t>
      </w:r>
      <w:r>
        <w:t xml:space="preserve"> </w:t>
      </w:r>
      <w:r>
        <w:t xml:space="preserve">25 (1): 260.</w:t>
      </w:r>
      <w:r>
        <w:t xml:space="preserve"> </w:t>
      </w:r>
      <w:hyperlink r:id="rId165">
        <w:r>
          <w:rPr>
            <w:rStyle w:val="Hyperlink"/>
          </w:rPr>
          <w:t xml:space="preserve">https://doi.org/10.1186/s13059-024-03400-w</w:t>
        </w:r>
      </w:hyperlink>
      <w:r>
        <w:t xml:space="preserve">.</w:t>
      </w:r>
    </w:p>
    <w:bookmarkEnd w:id="319"/>
    <w:bookmarkEnd w:id="320"/>
    <w:bookmarkEnd w:id="3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5">
    <w:p>
      <w:pPr>
        <w:pStyle w:val="FootnoteText"/>
      </w:pPr>
      <w:r>
        <w:rPr>
          <w:rStyle w:val="FootnoteReference"/>
        </w:rPr>
        <w:footnoteRef/>
      </w:r>
      <w:r>
        <w:t xml:space="preserve"> </w:t>
      </w:r>
      <w:r>
        <w:t xml:space="preserve">Comprehensive</w:t>
      </w:r>
      <w:r>
        <w:t xml:space="preserve"> </w:t>
      </w:r>
      <w:r>
        <w:rPr>
          <w:b/>
          <w:bCs/>
        </w:rPr>
        <w:t xml:space="preserve">Introduction section</w:t>
      </w:r>
      <w:r>
        <w:t xml:space="preserve"> </w:t>
      </w:r>
      <w:r>
        <w:t xml:space="preserve">reviewing the most critical challenges when coping with GWAS.</w:t>
      </w:r>
    </w:p>
  </w:footnote>
  <w:footnote w:id="55">
    <w:p>
      <w:pPr>
        <w:pStyle w:val="FootnoteText"/>
      </w:pPr>
      <w:r>
        <w:rPr>
          <w:rStyle w:val="FootnoteReference"/>
        </w:rPr>
        <w:footnoteRef/>
      </w:r>
      <w:r>
        <w:t xml:space="preserve"> </w:t>
      </w:r>
      <w:r>
        <w:t xml:space="preserve">Notably includes MHC, lactase region, and known inversions</w:t>
      </w:r>
      <w:r>
        <w:t xml:space="preserve"> </w:t>
      </w:r>
      <w:r>
        <w:rPr>
          <w:rStyle w:val="VerbatimChar"/>
        </w:rPr>
        <w:t xml:space="preserve">8p23</w:t>
      </w:r>
      <w:r>
        <w:t xml:space="preserve"> </w:t>
      </w:r>
      <w:r>
        <w:t xml:space="preserve">and</w:t>
      </w:r>
      <w:r>
        <w:t xml:space="preserve"> </w:t>
      </w:r>
      <w:r>
        <w:rPr>
          <w:rStyle w:val="VerbatimChar"/>
        </w:rPr>
        <w:t xml:space="preserve">17q21.31</w:t>
      </w:r>
      <w:r>
        <w:t xml:space="preserve">.</w:t>
      </w:r>
    </w:p>
  </w:footnote>
  <w:footnote w:id="59">
    <w:p>
      <w:pPr>
        <w:pStyle w:val="FootnoteText"/>
      </w:pPr>
      <w:r>
        <w:rPr>
          <w:rStyle w:val="FootnoteReference"/>
        </w:rPr>
        <w:footnoteRef/>
      </w:r>
      <w:r>
        <w:t xml:space="preserve"> </w:t>
      </w:r>
      <w:r>
        <w:rPr>
          <w:color w:val="red"/>
        </w:rPr>
        <w:t>
          <w:r>
            <w:rPr>
              <w:rStyle w:val="VerbatimChar"/>
            </w:rPr>
            <w:t xml:space="preserve">--king-cutoff 0.0884</w:t>
          </w:r>
          <w:r>
            <w:t xml:space="preserve"> </w:t>
          </w:r>
          <w:r>
            <w:t xml:space="preserve">corresponds to</w:t>
          </w:r>
          <w:r>
            <w:t xml:space="preserve"> </w:t>
          </w:r>
          <w:r>
            <w:rPr>
              <w:rStyle w:val="VerbatimChar"/>
            </w:rPr>
            <w:t xml:space="preserve">PI_HAT = 0.125</w:t>
          </w:r>
          <w:r>
            <w:t xml:space="preserve">, see details</w:t>
          </w:r>
          <w:r>
            <w:t xml:space="preserve"> </w:t>
          </w:r>
          <w:hyperlink r:id="rId60">
            <w:r>
              <w:rPr>
                <w:rStyle w:val="Hyperlink"/>
              </w:rPr>
              <w:t xml:space="preserve">here</w:t>
            </w:r>
          </w:hyperlink>
        </w:t>
      </w:r>
    </w:p>
  </w:footnote>
  <w:footnote w:id="78">
    <w:p>
      <w:pPr>
        <w:pStyle w:val="FootnoteText"/>
      </w:pPr>
      <w:r>
        <w:rPr>
          <w:rStyle w:val="FootnoteReference"/>
        </w:rPr>
        <w:footnoteRef/>
      </w:r>
      <w:r>
        <w:t xml:space="preserve"> </w:t>
      </w:r>
      <w:r>
        <w:rPr>
          <w:rStyle w:val="VerbatimChar"/>
        </w:rPr>
        <w:t xml:space="preserve">DMOTSCORE_mod</w:t>
      </w:r>
      <w:r>
        <w:t xml:space="preserve"> </w:t>
      </w:r>
      <w:r>
        <w:t xml:space="preserve">represents the measurement of bone mineral density at the calcaneus. While no universally accepted threshold exists for the diagnosis of osteopenia or osteoporosis, we adopt the conventional cut-off of</w:t>
      </w:r>
      <w:r>
        <w:t xml:space="preserve"> </w:t>
      </w:r>
      <w:r>
        <w:rPr>
          <w:rStyle w:val="VerbatimChar"/>
        </w:rPr>
        <w:t xml:space="preserve">-1.5</w:t>
      </w:r>
      <w:r>
        <w:t xml:space="preserve">.</w:t>
      </w:r>
    </w:p>
  </w:footnote>
  <w:footnote w:id="81">
    <w:p>
      <w:pPr>
        <w:pStyle w:val="FootnoteText"/>
      </w:pPr>
      <w:r>
        <w:rPr>
          <w:rStyle w:val="FootnoteReference"/>
        </w:rPr>
        <w:footnoteRef/>
      </w:r>
      <w:r>
        <w:t xml:space="preserve"> </w:t>
      </w:r>
      <w:r>
        <w:t xml:space="preserve">For both</w:t>
      </w:r>
      <w:r>
        <w:t xml:space="preserve"> </w:t>
      </w:r>
      <w:r>
        <w:rPr>
          <w:rStyle w:val="VerbatimChar"/>
        </w:rPr>
        <w:t xml:space="preserve">FXMOF_POST</w:t>
      </w:r>
      <w:r>
        <w:t xml:space="preserve"> </w:t>
      </w:r>
      <w:r>
        <w:t xml:space="preserve">and</w:t>
      </w:r>
      <w:r>
        <w:t xml:space="preserve"> </w:t>
      </w:r>
      <w:r>
        <w:rPr>
          <w:rStyle w:val="VerbatimChar"/>
        </w:rPr>
        <w:t xml:space="preserve">FXALL_POST</w:t>
      </w:r>
      <w:r>
        <w:t xml:space="preserve">, the dates of occurrence and censoring dates are available in</w:t>
      </w:r>
      <w:r>
        <w:t xml:space="preserve"> </w:t>
      </w:r>
      <w:r>
        <w:rPr>
          <w:rStyle w:val="VerbatimChar"/>
        </w:rPr>
        <w:t xml:space="preserve">FXALL_POSTDATE</w:t>
      </w:r>
      <w:r>
        <w:t xml:space="preserve"> </w:t>
      </w:r>
      <w:r>
        <w:t xml:space="preserve">and</w:t>
      </w:r>
      <w:r>
        <w:t xml:space="preserve"> </w:t>
      </w:r>
      <w:r>
        <w:rPr>
          <w:rStyle w:val="VerbatimChar"/>
        </w:rPr>
        <w:t xml:space="preserve">FXMOF_POSTDATE</w:t>
      </w:r>
      <w:r>
        <w:t xml:space="preserve"> </w:t>
      </w:r>
      <w:r>
        <w:t xml:space="preserve">respectively.</w:t>
      </w:r>
    </w:p>
  </w:footnote>
  <w:footnote w:id="104">
    <w:p>
      <w:pPr>
        <w:pStyle w:val="FootnoteText"/>
      </w:pPr>
      <w:r>
        <w:rPr>
          <w:rStyle w:val="FootnoteReference"/>
        </w:rPr>
        <w:footnoteRef/>
      </w:r>
      <w:r>
        <w:t xml:space="preserve"> </w:t>
      </w:r>
      <w:r>
        <w:t xml:space="preserve">Use of dnaseq</w:t>
      </w:r>
      <w:r>
        <w:t xml:space="preserve"> </w:t>
      </w:r>
      <w:r>
        <w:rPr>
          <w:rStyle w:val="VerbatimChar"/>
        </w:rPr>
        <w:t xml:space="preserve">Genpipes</w:t>
      </w:r>
      <w:r>
        <w:t xml:space="preserve"> </w:t>
      </w:r>
      <w:r>
        <w:t xml:space="preserve">pipelines, run on Compute Canada Clusters, version 3.1.5.</w:t>
      </w:r>
    </w:p>
  </w:footnote>
  <w:footnote w:id="105">
    <w:p>
      <w:pPr>
        <w:pStyle w:val="FootnoteText"/>
      </w:pPr>
      <w:r>
        <w:rPr>
          <w:rStyle w:val="FootnoteReference"/>
        </w:rPr>
        <w:footnoteRef/>
      </w:r>
      <w:r>
        <w:t xml:space="preserve"> </w:t>
      </w:r>
      <w:r>
        <w:t xml:space="preserve">Avoid using</w:t>
      </w:r>
      <w:r>
        <w:t xml:space="preserve"> </w:t>
      </w:r>
      <w:r>
        <w:rPr>
          <w:rStyle w:val="VerbatimChar"/>
        </w:rPr>
        <w:t xml:space="preserve">BiomarT</w:t>
      </w:r>
      <w:r>
        <w:t xml:space="preserve"> </w:t>
      </w:r>
      <w:r>
        <w:t xml:space="preserve">package a tall costs: it’s not anymore maintained, and leveraged out-of-date</w:t>
      </w:r>
      <w:r>
        <w:t xml:space="preserve"> </w:t>
      </w:r>
      <w:r>
        <w:rPr>
          <w:rStyle w:val="VerbatimChar"/>
        </w:rPr>
        <w:t xml:space="preserve">Hg37</w:t>
      </w:r>
      <w:r>
        <w:t xml:space="preserve"> </w:t>
      </w:r>
      <w:r>
        <w:t xml:space="preserve">Human Genome Build. Report to</w:t>
      </w:r>
      <w:r>
        <w:t xml:space="preserve"> </w:t>
      </w:r>
      <w:hyperlink r:id="rId106">
        <w:r>
          <w:rPr>
            <w:rStyle w:val="Hyperlink"/>
          </w:rPr>
          <w:t xml:space="preserve">Genome Builds Versions</w:t>
        </w:r>
      </w:hyperlink>
      <w:r>
        <w:t xml:space="preserve"> </w:t>
      </w:r>
      <w:r>
        <w:t xml:space="preserve">for details.</w:t>
      </w:r>
    </w:p>
  </w:footnote>
  <w:footnote w:id="110">
    <w:p>
      <w:pPr>
        <w:pStyle w:val="FootnoteText"/>
      </w:pPr>
      <w:r>
        <w:rPr>
          <w:rStyle w:val="FootnoteReference"/>
        </w:rPr>
        <w:footnoteRef/>
      </w:r>
      <w:r>
        <w:t xml:space="preserve"> </w:t>
      </w:r>
      <w:r>
        <w:t xml:space="preserve">All curated VCF files per chromosome are stored in</w:t>
      </w:r>
      <w:r>
        <w:t xml:space="preserve"> </w:t>
      </w:r>
      <w:r>
        <w:rPr>
          <w:rStyle w:val="VerbatimChar"/>
        </w:rPr>
        <w:t xml:space="preserve">./data/genotypages/</w:t>
      </w:r>
      <w:r>
        <w:t xml:space="preserve"> </w:t>
      </w:r>
      <w:r>
        <w:t xml:space="preserve">(linked symbolically with</w:t>
      </w:r>
      <w:r>
        <w:t xml:space="preserve"> </w:t>
      </w:r>
      <w:r>
        <w:rPr>
          <w:rStyle w:val="VerbatimChar"/>
        </w:rPr>
        <w:t xml:space="preserve">/mnt/projects_tn01/Cartagene/genotypage/imputation/imputation_merged</w:t>
      </w:r>
      <w:r>
        <w:t xml:space="preserve">).</w:t>
      </w:r>
    </w:p>
  </w:footnote>
  <w:footnote w:id="112">
    <w:p>
      <w:pPr>
        <w:pStyle w:val="FootnoteText"/>
      </w:pPr>
      <w:r>
        <w:rPr>
          <w:rStyle w:val="FootnoteReference"/>
        </w:rPr>
        <w:footnoteRef/>
      </w:r>
      <w:r>
        <w:t xml:space="preserve"> </w:t>
      </w:r>
      <w:r>
        <w:rPr>
          <w:rStyle w:val="VerbatimChar"/>
        </w:rPr>
        <w:t xml:space="preserve">nohup</w:t>
      </w:r>
      <w:r>
        <w:t xml:space="preserve"> </w:t>
      </w:r>
      <w:r>
        <w:t xml:space="preserve">option combined with</w:t>
      </w:r>
      <w:r>
        <w:t xml:space="preserve"> </w:t>
      </w:r>
      <w:r>
        <w:rPr>
          <w:rStyle w:val="VerbatimChar"/>
        </w:rPr>
        <w:t xml:space="preserve">&amp;</w:t>
      </w:r>
      <w:r>
        <w:t xml:space="preserve"> </w:t>
      </w:r>
      <w:r>
        <w:t xml:space="preserve">character enables running variants extraction in the background, even with terminal disrupting and closing.</w:t>
      </w:r>
    </w:p>
  </w:footnote>
  <w:footnote w:id="117">
    <w:p>
      <w:pPr>
        <w:pStyle w:val="FootnoteText"/>
      </w:pPr>
      <w:r>
        <w:rPr>
          <w:rStyle w:val="FootnoteReference"/>
        </w:rPr>
        <w:footnoteRef/>
      </w:r>
      <w:r>
        <w:t xml:space="preserve"> </w:t>
      </w:r>
      <w:r>
        <w:rPr>
          <w:rStyle w:val="VerbatimChar"/>
        </w:rPr>
        <w:t xml:space="preserve">dosage=HDS</w:t>
      </w:r>
      <w:r>
        <w:t xml:space="preserve">, for Hard Dosage, provides the instruction describing genotype uncertainties for enhanced statistical power. It’s particularly useful when working as here with</w:t>
      </w:r>
      <w:r>
        <w:t xml:space="preserve"> </w:t>
      </w:r>
      <w:r>
        <w:rPr>
          <w:b/>
          <w:bCs/>
        </w:rPr>
        <w:t xml:space="preserve">imputed genotypes</w:t>
      </w:r>
      <w:r>
        <w:t xml:space="preserve">, where part of the SNPs were inferred using reference panels.</w:t>
      </w:r>
    </w:p>
  </w:footnote>
  <w:footnote w:id="118">
    <w:p>
      <w:pPr>
        <w:pStyle w:val="FootnoteText"/>
      </w:pPr>
      <w:r>
        <w:rPr>
          <w:rStyle w:val="FootnoteReference"/>
        </w:rPr>
        <w:footnoteRef/>
      </w:r>
      <w:r>
        <w:t xml:space="preserve"> </w:t>
      </w:r>
      <w:r>
        <w:t xml:space="preserve">The</w:t>
      </w:r>
      <w:r>
        <w:t xml:space="preserve"> </w:t>
      </w:r>
      <w:r>
        <w:rPr>
          <w:rStyle w:val="VerbatimChar"/>
        </w:rPr>
        <w:t xml:space="preserve">hide-covar</w:t>
      </w:r>
      <w:r>
        <w:t xml:space="preserve"> </w:t>
      </w:r>
      <w:r>
        <w:t xml:space="preserve">option runs GLM, but doesn’t output covariate results. Besides, note that</w:t>
      </w:r>
      <w:r>
        <w:t xml:space="preserve"> </w:t>
      </w:r>
      <w:r>
        <w:rPr>
          <w:rStyle w:val="VerbatimChar"/>
        </w:rPr>
        <w:t xml:space="preserve">--covar</w:t>
      </w:r>
      <w:r>
        <w:t xml:space="preserve"> </w:t>
      </w:r>
      <w:r>
        <w:t xml:space="preserve">passes</w:t>
      </w:r>
      <w:r>
        <w:t xml:space="preserve"> </w:t>
      </w:r>
      <w:r>
        <w:rPr>
          <w:i/>
          <w:iCs/>
        </w:rPr>
        <w:t xml:space="preserve">quantitative covariates</w:t>
      </w:r>
      <w:r>
        <w:t xml:space="preserve"> </w:t>
      </w:r>
      <w:r>
        <w:t xml:space="preserve">(e.g., age, PCs), while</w:t>
      </w:r>
      <w:r>
        <w:t xml:space="preserve"> </w:t>
      </w:r>
      <w:r>
        <w:rPr>
          <w:rStyle w:val="VerbatimChar"/>
        </w:rPr>
        <w:t xml:space="preserve">--ide-covar</w:t>
      </w:r>
      <w:r>
        <w:t xml:space="preserve"> </w:t>
      </w:r>
      <w:r>
        <w:t xml:space="preserve">passes</w:t>
      </w:r>
      <w:r>
        <w:t xml:space="preserve"> </w:t>
      </w:r>
      <w:r>
        <w:rPr>
          <w:i/>
          <w:iCs/>
        </w:rPr>
        <w:t xml:space="preserve">categorical covariates</w:t>
      </w:r>
    </w:p>
  </w:footnote>
  <w:footnote w:id="121">
    <w:p>
      <w:pPr>
        <w:pStyle w:val="FootnoteText"/>
      </w:pPr>
      <w:r>
        <w:rPr>
          <w:rStyle w:val="FootnoteReference"/>
        </w:rPr>
        <w:footnoteRef/>
      </w:r>
      <w:r>
        <w:t xml:space="preserve"> </w:t>
      </w:r>
      <w:r>
        <w:rPr>
          <w:b/>
          <w:bCs/>
        </w:rPr>
        <w:t xml:space="preserve">Note that a VIF factor above 10 is considered problematic as it can significantly distort regression estimates.</w:t>
      </w:r>
      <w:r>
        <w:t xml:space="preserve"> </w:t>
      </w:r>
      <w:r>
        <w:t xml:space="preserve">Discussion and visualisations on</w:t>
      </w:r>
      <w:r>
        <w:t xml:space="preserve"> </w:t>
      </w:r>
      <w:hyperlink r:id="rId122">
        <w:r>
          <w:rPr>
            <w:rStyle w:val="Hyperlink"/>
            <w:i/>
            <w:iCs/>
          </w:rPr>
          <w:t xml:space="preserve">VIF influence</w:t>
        </w:r>
      </w:hyperlink>
      <w:r>
        <w:t xml:space="preserve">. Briefly, VIF quantifies the degree of similarity across predictor variables, as the GLM-family usually assumes independence between explanatory variables. When VIF is significant, independence assumption is discarded, which might be explained by the fact that preprocessing in</w:t>
      </w:r>
      <w:r>
        <w:t xml:space="preserve"> </w:t>
      </w:r>
      <w:hyperlink w:anchor="sec-preprocessing-redundancy">
        <w:r>
          <w:rPr>
            <w:rStyle w:val="Hyperlink"/>
          </w:rPr>
          <w:t xml:space="preserve">Section 1.3.2.2</w:t>
        </w:r>
      </w:hyperlink>
      <w:r>
        <w:t xml:space="preserve"> </w:t>
      </w:r>
      <w:r>
        <w:t xml:space="preserve">for removing correlated SNps and individuals are not used in subsequent GWAS differential downstream analyses.</w:t>
      </w:r>
    </w:p>
  </w:footnote>
  <w:footnote w:id="125">
    <w:p>
      <w:pPr>
        <w:pStyle w:val="FootnoteText"/>
      </w:pPr>
      <w:r>
        <w:rPr>
          <w:rStyle w:val="FootnoteReference"/>
        </w:rPr>
        <w:footnoteRef/>
      </w:r>
      <w:r>
        <w:t xml:space="preserve"> </w:t>
      </w:r>
      <w:r>
        <w:t xml:space="preserve">More customisation available in</w:t>
      </w:r>
      <w:r>
        <w:t xml:space="preserve"> </w:t>
      </w:r>
      <w:hyperlink r:id="rId126">
        <w:r>
          <w:rPr>
            <w:rStyle w:val="Hyperlink"/>
          </w:rPr>
          <w:t xml:space="preserve">Manhattan plot in R: a review</w:t>
        </w:r>
      </w:hyperlink>
    </w:p>
  </w:footnote>
  <w:footnote w:id="127">
    <w:p>
      <w:pPr>
        <w:pStyle w:val="FootnoteText"/>
      </w:pPr>
      <w:r>
        <w:rPr>
          <w:rStyle w:val="FootnoteReference"/>
        </w:rPr>
        <w:footnoteRef/>
      </w:r>
      <w:r>
        <w:t xml:space="preserve"> </w:t>
      </w:r>
      <w:hyperlink r:id="rId128">
        <w:r>
          <w:rPr>
            <w:rStyle w:val="Hyperlink"/>
          </w:rPr>
          <w:t xml:space="preserve">How to interpret a</w:t>
        </w:r>
        <w:r>
          <w:rPr>
            <w:rStyle w:val="Hyperlink"/>
          </w:rPr>
          <w:t xml:space="preserve"> </w:t>
        </w:r>
        <m:oMath>
          <m:r>
            <m:t>p</m:t>
          </m:r>
        </m:oMath>
        <w:r>
          <w:rPr>
            <w:rStyle w:val="Hyperlink"/>
          </w:rPr>
          <w:t xml:space="preserve">-value histogram</w:t>
        </w:r>
      </w:hyperlink>
    </w:p>
  </w:footnote>
  <w:footnote w:id="129">
    <w:p>
      <w:pPr>
        <w:pStyle w:val="FootnoteText"/>
      </w:pPr>
      <w:r>
        <w:rPr>
          <w:rStyle w:val="FootnoteReference"/>
        </w:rPr>
        <w:footnoteRef/>
      </w:r>
      <w:r>
        <w:t xml:space="preserve"> </w:t>
      </w:r>
      <w:hyperlink r:id="rId130">
        <w:r>
          <w:rPr>
            <w:rStyle w:val="Hyperlink"/>
          </w:rPr>
          <w:t xml:space="preserve">How I Make QQ Plots Using</w:t>
        </w:r>
        <w:r>
          <w:rPr>
            <w:rStyle w:val="Hyperlink"/>
          </w:rPr>
          <w:t xml:space="preserve"> </w:t>
        </w:r>
        <w:r>
          <w:rPr>
            <w:rStyle w:val="VerbatimChar"/>
          </w:rPr>
          <w:t xml:space="preserve">ggplot2</w:t>
        </w:r>
        <w:r>
          <w:rPr>
            <w:rStyle w:val="Hyperlink"/>
          </w:rPr>
          <w:t xml:space="preserve">?</w:t>
        </w:r>
      </w:hyperlink>
    </w:p>
  </w:footnote>
  <w:footnote w:id="158">
    <w:p>
      <w:pPr>
        <w:pStyle w:val="FootnoteText"/>
      </w:pPr>
      <w:r>
        <w:rPr>
          <w:rStyle w:val="FootnoteReference"/>
        </w:rPr>
        <w:footnoteRef/>
      </w:r>
      <w:r>
        <w:t xml:space="preserve"> </w:t>
      </w:r>
      <w:r>
        <w:t xml:space="preserve">Note that relying on HPO terms, for example,</w:t>
      </w:r>
      <w:r>
        <w:t xml:space="preserve"> </w:t>
      </w:r>
      <w:r>
        <w:rPr>
          <w:rStyle w:val="VerbatimChar"/>
        </w:rPr>
        <w:t xml:space="preserve">HP:0004322 – Osteopenia</w:t>
      </w:r>
      <w:r>
        <w:t xml:space="preserve">, would alleviate the need for standardising phenotype labels, using universally acknowledged scientific terms instead.</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511">
    <w:nsid w:val="00A9951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137" Target="media/rId137.png" /><Relationship Type="http://schemas.openxmlformats.org/officeDocument/2006/relationships/image" Id="rId201" Target="media/rId201.png" /><Relationship Type="http://schemas.openxmlformats.org/officeDocument/2006/relationships/image" Id="rId85" Target="media/rId85.png" /><Relationship Type="http://schemas.openxmlformats.org/officeDocument/2006/relationships/image" Id="rId247" Target="media/rId247.png" /><Relationship Type="http://schemas.openxmlformats.org/officeDocument/2006/relationships/image" Id="rId251" Target="media/rId251.png" /><Relationship Type="http://schemas.openxmlformats.org/officeDocument/2006/relationships/image" Id="rId255" Target="media/rId255.png" /><Relationship Type="http://schemas.openxmlformats.org/officeDocument/2006/relationships/image" Id="rId234" Target="media/rId234.png" /><Relationship Type="http://schemas.openxmlformats.org/officeDocument/2006/relationships/image" Id="rId238" Target="media/rId238.png" /><Relationship Type="http://schemas.openxmlformats.org/officeDocument/2006/relationships/image" Id="rId242" Target="media/rId242.png" /><Relationship Type="http://schemas.openxmlformats.org/officeDocument/2006/relationships/image" Id="rId221" Target="media/rId221.png" /><Relationship Type="http://schemas.openxmlformats.org/officeDocument/2006/relationships/image" Id="rId225" Target="media/rId225.png" /><Relationship Type="http://schemas.openxmlformats.org/officeDocument/2006/relationships/image" Id="rId229" Target="media/rId229.png" /><Relationship Type="http://schemas.openxmlformats.org/officeDocument/2006/relationships/image" Id="rId208" Target="media/rId208.png" /><Relationship Type="http://schemas.openxmlformats.org/officeDocument/2006/relationships/image" Id="rId189" Target="media/rId189.png" /><Relationship Type="http://schemas.openxmlformats.org/officeDocument/2006/relationships/image" Id="rId193" Target="media/rId193.png" /><Relationship Type="http://schemas.openxmlformats.org/officeDocument/2006/relationships/image" Id="rId89" Target="media/rId89.png" /><Relationship Type="http://schemas.openxmlformats.org/officeDocument/2006/relationships/hyperlink" Id="rId131" Target="./R/gwas_plots.R" TargetMode="External" /><Relationship Type="http://schemas.openxmlformats.org/officeDocument/2006/relationships/hyperlink" Id="rId72" Target="./data/phenotypes/cartagene_response_variables.xlsx" TargetMode="External" /><Relationship Type="http://schemas.openxmlformats.org/officeDocument/2006/relationships/hyperlink" Id="rId58" Target="./mnt/projects_tn01/Cartagene/analyses/QC/eur_only/related_ids/Readme.txt" TargetMode="External" /><Relationship Type="http://schemas.openxmlformats.org/officeDocument/2006/relationships/hyperlink" Id="rId49" Target="./mnt/projects_tn01/Cartagene/analyses/QC/merge_datasets.sh" TargetMode="External" /><Relationship Type="http://schemas.openxmlformats.org/officeDocument/2006/relationships/hyperlink" Id="rId111" Target="./shell/extract_variants.sh" TargetMode="External" /><Relationship Type="http://schemas.openxmlformats.org/officeDocument/2006/relationships/hyperlink" Id="rId120" Target="./shell/plink2_gwas.sh" TargetMode="External" /><Relationship Type="http://schemas.openxmlformats.org/officeDocument/2006/relationships/hyperlink" Id="rId166" Target="10.1093/bioinformatics/btaf143" TargetMode="External" /><Relationship Type="http://schemas.openxmlformats.org/officeDocument/2006/relationships/hyperlink" Id="rId60" Target="http://biostars.org/p/434832/#434898" TargetMode="External" /><Relationship Type="http://schemas.openxmlformats.org/officeDocument/2006/relationships/hyperlink" Id="rId54" Target="http://dougspeed.com/wp-content/uploads/highld.txt" TargetMode="External" /><Relationship Type="http://schemas.openxmlformats.org/officeDocument/2006/relationships/hyperlink" Id="rId302" Target="http://hdl.handle.net/1866/27582" TargetMode="External" /><Relationship Type="http://schemas.openxmlformats.org/officeDocument/2006/relationships/hyperlink" Id="rId169" Target="https://academic.oup.com/bib/article/26/2/bbaf123/8092303?searchresult=1&amp;login=false" TargetMode="External" /><Relationship Type="http://schemas.openxmlformats.org/officeDocument/2006/relationships/hyperlink" Id="rId167" Target="https://academic.oup.com/bioinformatics/advance-article/doi/10.1093/bioinformatics/btaf071/8015614" TargetMode="External" /><Relationship Type="http://schemas.openxmlformats.org/officeDocument/2006/relationships/hyperlink" Id="rId181" Target="https://academic.oup.com/bioinformatics/advance-article/doi/10.1093/bioinformatics/btaf105/8069456" TargetMode="External" /><Relationship Type="http://schemas.openxmlformats.org/officeDocument/2006/relationships/hyperlink" Id="rId141" Target="https://baselbiometrics.github.io/home/docs/talks/20220329/2_Glimm_Bretz_Xi.pdf" TargetMode="External" /><Relationship Type="http://schemas.openxmlformats.org/officeDocument/2006/relationships/hyperlink" Id="rId262" Target="https://bioinformaticsworkbook.org/dataAnalysis/VariantCalling/freebayes-dnaseq-workflow.html" TargetMode="External" /><Relationship Type="http://schemas.openxmlformats.org/officeDocument/2006/relationships/hyperlink" Id="rId163" Target="https://bmcbioinformatics.biomedcentral.com/articles/10.1186/s12859-025-06077-5" TargetMode="External" /><Relationship Type="http://schemas.openxmlformats.org/officeDocument/2006/relationships/hyperlink" Id="rId157" Target="https://bmcbioinformatics.biomedcentral.com/articles/10.1186/s12859-025-06096-2" TargetMode="External" /><Relationship Type="http://schemas.openxmlformats.org/officeDocument/2006/relationships/hyperlink" Id="rId159" Target="https://bmcbioinformatics.biomedcentral.com/articles/10.1186/s12859-025-06105-4" TargetMode="External" /><Relationship Type="http://schemas.openxmlformats.org/officeDocument/2006/relationships/hyperlink" Id="rId162" Target="https://bmcgenomics.biomedcentral.com/articles/10.1186/s12864-025-11344-z" TargetMode="External" /><Relationship Type="http://schemas.openxmlformats.org/officeDocument/2006/relationships/hyperlink" Id="rId103" Target="https://cartagene.qc.ca/files/documents/other/Info_GeneticData3juillet2023.pdf" TargetMode="External" /><Relationship Type="http://schemas.openxmlformats.org/officeDocument/2006/relationships/hyperlink" Id="rId183" Target="https://compgenomr.github.io/book/processingReads.html" TargetMode="External" /><Relationship Type="http://schemas.openxmlformats.org/officeDocument/2006/relationships/hyperlink" Id="rId216" Target="https://cran.r-project.org/web/packages/genpwr/vignettes/vignette.html" TargetMode="External" /><Relationship Type="http://schemas.openxmlformats.org/officeDocument/2006/relationships/hyperlink" Id="rId130" Target="https://danielroelfs.com/blog/how-i-make-qq-plots-using-ggplot/" TargetMode="External" /><Relationship Type="http://schemas.openxmlformats.org/officeDocument/2006/relationships/hyperlink" Id="rId30" Target="https://doi.org/10.1007/978-1-62703-447-0_6" TargetMode="External" /><Relationship Type="http://schemas.openxmlformats.org/officeDocument/2006/relationships/hyperlink" Id="rId279" Target="https://doi.org/10.1016/j.tig.2021.07.009" TargetMode="External" /><Relationship Type="http://schemas.openxmlformats.org/officeDocument/2006/relationships/hyperlink" Id="rId281" Target="https://doi.org/10.1038/ejhg.2015.269" TargetMode="External" /><Relationship Type="http://schemas.openxmlformats.org/officeDocument/2006/relationships/hyperlink" Id="rId314" Target="https://doi.org/10.1038/nrg1522" TargetMode="External" /><Relationship Type="http://schemas.openxmlformats.org/officeDocument/2006/relationships/hyperlink" Id="rId285" Target="https://doi.org/10.1038/s41576-024-00778-y" TargetMode="External" /><Relationship Type="http://schemas.openxmlformats.org/officeDocument/2006/relationships/hyperlink" Id="rId298" Target="https://doi.org/10.1038/s41588-023-01529-1" TargetMode="External" /><Relationship Type="http://schemas.openxmlformats.org/officeDocument/2006/relationships/hyperlink" Id="rId312" Target="https://doi.org/10.1038/s43586-021-00056-9" TargetMode="External" /><Relationship Type="http://schemas.openxmlformats.org/officeDocument/2006/relationships/hyperlink" Id="rId68" Target="https://doi.org/10.1093/bib/bbad437" TargetMode="External" /><Relationship Type="http://schemas.openxmlformats.org/officeDocument/2006/relationships/hyperlink" Id="rId317" Target="https://doi.org/10.1093/bib/bbaf123" TargetMode="External" /><Relationship Type="http://schemas.openxmlformats.org/officeDocument/2006/relationships/hyperlink" Id="rId277" Target="https://doi.org/10.1093/bioinformatics/btaf071" TargetMode="External" /><Relationship Type="http://schemas.openxmlformats.org/officeDocument/2006/relationships/hyperlink" Id="rId300" Target="https://doi.org/10.1093/bioinformatics/btaf105" TargetMode="External" /><Relationship Type="http://schemas.openxmlformats.org/officeDocument/2006/relationships/hyperlink" Id="rId288" Target="https://doi.org/10.1093/bioinformatics/btaf143" TargetMode="External" /><Relationship Type="http://schemas.openxmlformats.org/officeDocument/2006/relationships/hyperlink" Id="rId33" Target="https://doi.org/10.1093/ije/dys160" TargetMode="External" /><Relationship Type="http://schemas.openxmlformats.org/officeDocument/2006/relationships/hyperlink" Id="rId292" Target="https://doi.org/10.1101/2024.08.01.606099" TargetMode="External" /><Relationship Type="http://schemas.openxmlformats.org/officeDocument/2006/relationships/hyperlink" Id="rId296" Target="https://doi.org/10.1159/000508558" TargetMode="External" /><Relationship Type="http://schemas.openxmlformats.org/officeDocument/2006/relationships/hyperlink" Id="rId294" Target="https://doi.org/10.1186/1471-2156-9-36" TargetMode="External" /><Relationship Type="http://schemas.openxmlformats.org/officeDocument/2006/relationships/hyperlink" Id="rId310" Target="https://doi.org/10.1186/s12859-025-06077-5" TargetMode="External" /><Relationship Type="http://schemas.openxmlformats.org/officeDocument/2006/relationships/hyperlink" Id="rId283" Target="https://doi.org/10.1186/s12859-025-06096-2" TargetMode="External" /><Relationship Type="http://schemas.openxmlformats.org/officeDocument/2006/relationships/hyperlink" Id="rId275" Target="https://doi.org/10.1186/s12859-025-06105-4" TargetMode="External" /><Relationship Type="http://schemas.openxmlformats.org/officeDocument/2006/relationships/hyperlink" Id="rId270" Target="https://doi.org/10.1186/s12864-025-11344-z" TargetMode="External" /><Relationship Type="http://schemas.openxmlformats.org/officeDocument/2006/relationships/hyperlink" Id="rId165" Target="https://doi.org/10.1186/s13059-024-03400-w" TargetMode="External" /><Relationship Type="http://schemas.openxmlformats.org/officeDocument/2006/relationships/hyperlink" Id="rId273" Target="https://doi.org/10.1201/9781420010909" TargetMode="External" /><Relationship Type="http://schemas.openxmlformats.org/officeDocument/2006/relationships/hyperlink" Id="rId290" Target="https://doi.org/10.1371/journal.pcbi.1004219" TargetMode="External" /><Relationship Type="http://schemas.openxmlformats.org/officeDocument/2006/relationships/hyperlink" Id="rId304" Target="https://doi.org/10.3389/fgene.2022.1006903" TargetMode="External" /><Relationship Type="http://schemas.openxmlformats.org/officeDocument/2006/relationships/hyperlink" Id="rId306" Target="https://doi.org/10.3390/life13010235" TargetMode="External" /><Relationship Type="http://schemas.openxmlformats.org/officeDocument/2006/relationships/hyperlink" Id="rId177" Target="https://genepi.github.io/nf-gwas/" TargetMode="External" /><Relationship Type="http://schemas.openxmlformats.org/officeDocument/2006/relationships/hyperlink" Id="rId24" Target="https://github.com/ArnaudDroitLab/cartagene-gwas" TargetMode="External" /><Relationship Type="http://schemas.openxmlformats.org/officeDocument/2006/relationships/hyperlink" Id="rId36" Target="https://github.com/JustinPelletier/FC-imputation" TargetMode="External" /><Relationship Type="http://schemas.openxmlformats.org/officeDocument/2006/relationships/hyperlink" Id="rId180" Target="https://github.com/MultiQC/MultiQC/tree/main/multiqc/modules/multivcfanalyzer" TargetMode="External" /><Relationship Type="http://schemas.openxmlformats.org/officeDocument/2006/relationships/hyperlink" Id="rId179" Target="https://github.com/MultiQC/MultiQC/tree/main/multiqc/modules/vcftools" TargetMode="External" /><Relationship Type="http://schemas.openxmlformats.org/officeDocument/2006/relationships/hyperlink" Id="rId170" Target="https://github.com/gefeiZ/SC_VAR" TargetMode="External" /><Relationship Type="http://schemas.openxmlformats.org/officeDocument/2006/relationships/hyperlink" Id="rId308" Target="https://github.com/genepi/nf-gwas" TargetMode="External" /><Relationship Type="http://schemas.openxmlformats.org/officeDocument/2006/relationships/hyperlink" Id="rId160" Target="https://github.com/monarch-initiative/pheval" TargetMode="External" /><Relationship Type="http://schemas.openxmlformats.org/officeDocument/2006/relationships/hyperlink" Id="rId149" Target="https://github.com/pinellolab/EPInformer" TargetMode="External" /><Relationship Type="http://schemas.openxmlformats.org/officeDocument/2006/relationships/hyperlink" Id="rId23" Target="https://github.com/samtools/bcftools/releases/download/1.21/bcftools-1.21.tar.bz2" TargetMode="External" /><Relationship Type="http://schemas.openxmlformats.org/officeDocument/2006/relationships/hyperlink" Id="rId173" Target="https://github.com/statgen/fivex" TargetMode="External" /><Relationship Type="http://schemas.openxmlformats.org/officeDocument/2006/relationships/hyperlink" Id="rId40" Target="https://imputation.biodatacatalyst.nhlbi.nih.gov/" TargetMode="External" /><Relationship Type="http://schemas.openxmlformats.org/officeDocument/2006/relationships/hyperlink" Id="rId171" Target="https://journals.plos.org/ploscompbiol/article?id=10.1371/journal.pcbi.1004219" TargetMode="External" /><Relationship Type="http://schemas.openxmlformats.org/officeDocument/2006/relationships/hyperlink" Id="rId69" Target="https://knausb.github.io/vcfR_documentation/genetic_differentiation.html" TargetMode="External" /><Relationship Type="http://schemas.openxmlformats.org/officeDocument/2006/relationships/hyperlink" Id="rId199" Target="https://knausb.github.io/vcfR_documentation/tidy_vcfR.html" TargetMode="External" /><Relationship Type="http://schemas.openxmlformats.org/officeDocument/2006/relationships/hyperlink" Id="rId197" Target="https://knausb.github.io/vcfR_documentation/visualization_1.html" TargetMode="External" /><Relationship Type="http://schemas.openxmlformats.org/officeDocument/2006/relationships/hyperlink" Id="rId140" Target="https://merck.github.io/gMCPLite" TargetMode="External" /><Relationship Type="http://schemas.openxmlformats.org/officeDocument/2006/relationships/hyperlink" Id="rId217" Target="https://pmc.ncbi.nlm.nih.gov/articles/PMC2387159/" TargetMode="External" /><Relationship Type="http://schemas.openxmlformats.org/officeDocument/2006/relationships/hyperlink" Id="rId214" Target="https://pmc.ncbi.nlm.nih.gov/articles/PMC9863799/#sec5-life-13-00235" TargetMode="External" /><Relationship Type="http://schemas.openxmlformats.org/officeDocument/2006/relationships/hyperlink" Id="rId67" Target="https://popgen.nescent.org/2015-05-18-Dist-SNP.html" TargetMode="External" /><Relationship Type="http://schemas.openxmlformats.org/officeDocument/2006/relationships/hyperlink" Id="rId66" Target="https://popgen.nescent.org/DifferentiationSNP.html" TargetMode="External" /><Relationship Type="http://schemas.openxmlformats.org/officeDocument/2006/relationships/hyperlink" Id="rId65" Target="https://popgen.nescent.org/StartSNP.html#genetic-diversity-observed-and-expected-heterozygosity" TargetMode="External" /><Relationship Type="http://schemas.openxmlformats.org/officeDocument/2006/relationships/hyperlink" Id="rId126" Target="https://r-graph-gallery.com/101_Manhattan_plot.html" TargetMode="External" /><Relationship Type="http://schemas.openxmlformats.org/officeDocument/2006/relationships/hyperlink" Id="rId22" Target="https://s3.amazonaws.com/plink2-assets/alpha6/plink2_linux_x86_64_20250129.zip" TargetMode="External" /><Relationship Type="http://schemas.openxmlformats.org/officeDocument/2006/relationships/hyperlink" Id="rId178" Target="https://seqera.io/multiqc/" TargetMode="External" /><Relationship Type="http://schemas.openxmlformats.org/officeDocument/2006/relationships/hyperlink" Id="rId34" Target="https://umontreal.scholaris.ca/bitstreams/83d64aa1-da20-4a6f-8ae0-9dcb0165417d/download" TargetMode="External" /><Relationship Type="http://schemas.openxmlformats.org/officeDocument/2006/relationships/hyperlink" Id="rId145" Target="https://varchat.engenome.com/" TargetMode="External" /><Relationship Type="http://schemas.openxmlformats.org/officeDocument/2006/relationships/hyperlink" Id="rId128" Target="https://varianceexplained.org/statistics/interpreting-pvalue-histogram/" TargetMode="External" /><Relationship Type="http://schemas.openxmlformats.org/officeDocument/2006/relationships/hyperlink" Id="rId123" Target="https://www.bioconductor.org/packages/devel/bioc/vignettes/GENESIS/inst/doc/assoc_test.html#mixed-model-association-testing" TargetMode="External" /><Relationship Type="http://schemas.openxmlformats.org/officeDocument/2006/relationships/hyperlink" Id="rId154" Target="https://www.bioconductor.org/packages/release/bioc/vignettes/VariantAnnotation/inst/doc/VariantAnnotation.html#amino-acid-coding-changes" TargetMode="External" /><Relationship Type="http://schemas.openxmlformats.org/officeDocument/2006/relationships/hyperlink" Id="rId150" Target="https://www.bioconductor.org/packages/release/bioc/vignettes/VariantAnnotation/inst/doc/VariantAnnotation.html#locating-variants-in-and-around-genes" TargetMode="External" /><Relationship Type="http://schemas.openxmlformats.org/officeDocument/2006/relationships/hyperlink" Id="rId155" Target="https://www.bioconductor.org/packages/release/bioc/vignettes/VariantAnnotation/inst/doc/VariantAnnotation.html#sift-and-polyphen-databases" TargetMode="External" /><Relationship Type="http://schemas.openxmlformats.org/officeDocument/2006/relationships/hyperlink" Id="rId148" Target="https://www.biorxiv.org/content/10.1101/2024.08.01.606099v1" TargetMode="External" /><Relationship Type="http://schemas.openxmlformats.org/officeDocument/2006/relationships/hyperlink" Id="rId26" Target="https://www.cell.com/trends/genetics/abstract/S0168-9525" TargetMode="External" /><Relationship Type="http://schemas.openxmlformats.org/officeDocument/2006/relationships/hyperlink" Id="rId153" Target="https://www.frontiersin.org/journals/genetics/articles/10.3389/fgene.2022.1006903/full" TargetMode="External" /><Relationship Type="http://schemas.openxmlformats.org/officeDocument/2006/relationships/hyperlink" Id="rId122" Target="https://www.linkedin.com/feed/update/urn:li:activity:7308463515432833026/" TargetMode="External" /><Relationship Type="http://schemas.openxmlformats.org/officeDocument/2006/relationships/hyperlink" Id="rId64" Target="https://www.linkedin.com/feed/update/urn:li:activity:730919293617122508" TargetMode="External" /><Relationship Type="http://schemas.openxmlformats.org/officeDocument/2006/relationships/hyperlink" Id="rId106" Target="https://www.linkedin.com/posts/%F0%9F%8E%AF-ming-tommy-tang-40650014_genome-builds-matter-avoid-costly-mistakes-activity-7293270985930141698-ZFkH" TargetMode="External" /><Relationship Type="http://schemas.openxmlformats.org/officeDocument/2006/relationships/hyperlink" Id="rId45" Target="https://www.linkedin.com/posts/%F0%9F%8E%AF-ming-tommy-tang-40650014_the-most-underrated-unix-command-for-bioinformatics-activity-7287842704753848321-qhe" TargetMode="External" /><Relationship Type="http://schemas.openxmlformats.org/officeDocument/2006/relationships/hyperlink" Id="rId134" Target="https://www.linkedin.com/posts/adrianolszewski_statistic-datascience-research-activity-7301605962820284417-ho3Z" TargetMode="External" /><Relationship Type="http://schemas.openxmlformats.org/officeDocument/2006/relationships/hyperlink" Id="rId63" Target="https://www.linkedin.com/posts/joachim-schork_statistics-research-visualanalytics-activity-7251577056570785795-b6Rk" TargetMode="External" /><Relationship Type="http://schemas.openxmlformats.org/officeDocument/2006/relationships/hyperlink" Id="rId29" Target="https://www.nature.com/articles/nrg1522" TargetMode="External" /><Relationship Type="http://schemas.openxmlformats.org/officeDocument/2006/relationships/hyperlink" Id="rId152" Target="https://www.nature.com/articles/s41576-024-00778-y" TargetMode="External" /><Relationship Type="http://schemas.openxmlformats.org/officeDocument/2006/relationships/hyperlink" Id="rId147" Target="https://www.nature.com/articles/s41588-023-01529-1" TargetMode="External" /><Relationship Type="http://schemas.openxmlformats.org/officeDocument/2006/relationships/hyperlink" Id="rId31" Target="https://www.nature.com/articles/s43586-021-00056-9" TargetMode="External" /><Relationship Type="http://schemas.openxmlformats.org/officeDocument/2006/relationships/hyperlink" Id="rId215" Target="https://www.ncbi.nlm.nih.gov/pmc/articles/PMC7666027/" TargetMode="External" /><Relationship Type="http://schemas.openxmlformats.org/officeDocument/2006/relationships/hyperlink" Id="rId135" Target="https://www.taylorfrancis.com/books/mono/10.1201/9781420010909/multiple-comparisons-using-frank-bretz-torsten-hothorn-peter-westfall" TargetMode="External" /><Relationship Type="http://schemas.openxmlformats.org/officeDocument/2006/relationships/hyperlink" Id="rId136" Target="https://yasenov.com/2022/10/multiple-hypotheses-testing-a-methods-overview/" TargetMode="External" /><Relationship Type="http://schemas.openxmlformats.org/officeDocument/2006/relationships/hyperlink" Id="rId102" Target="mailto:access@cartagene.qc.ca" TargetMode="External" /></Relationships>
</file>

<file path=word/_rels/footnotes.xml.rels><?xml version="1.0" encoding="UTF-8"?><Relationships xmlns="http://schemas.openxmlformats.org/package/2006/relationships"><Relationship Type="http://schemas.openxmlformats.org/officeDocument/2006/relationships/hyperlink" Id="rId131" Target="./R/gwas_plots.R" TargetMode="External" /><Relationship Type="http://schemas.openxmlformats.org/officeDocument/2006/relationships/hyperlink" Id="rId72" Target="./data/phenotypes/cartagene_response_variables.xlsx" TargetMode="External" /><Relationship Type="http://schemas.openxmlformats.org/officeDocument/2006/relationships/hyperlink" Id="rId58" Target="./mnt/projects_tn01/Cartagene/analyses/QC/eur_only/related_ids/Readme.txt" TargetMode="External" /><Relationship Type="http://schemas.openxmlformats.org/officeDocument/2006/relationships/hyperlink" Id="rId49" Target="./mnt/projects_tn01/Cartagene/analyses/QC/merge_datasets.sh" TargetMode="External" /><Relationship Type="http://schemas.openxmlformats.org/officeDocument/2006/relationships/hyperlink" Id="rId111" Target="./shell/extract_variants.sh" TargetMode="External" /><Relationship Type="http://schemas.openxmlformats.org/officeDocument/2006/relationships/hyperlink" Id="rId120" Target="./shell/plink2_gwas.sh" TargetMode="External" /><Relationship Type="http://schemas.openxmlformats.org/officeDocument/2006/relationships/hyperlink" Id="rId166" Target="10.1093/bioinformatics/btaf143" TargetMode="External" /><Relationship Type="http://schemas.openxmlformats.org/officeDocument/2006/relationships/hyperlink" Id="rId60" Target="http://biostars.org/p/434832/#434898" TargetMode="External" /><Relationship Type="http://schemas.openxmlformats.org/officeDocument/2006/relationships/hyperlink" Id="rId54" Target="http://dougspeed.com/wp-content/uploads/highld.txt" TargetMode="External" /><Relationship Type="http://schemas.openxmlformats.org/officeDocument/2006/relationships/hyperlink" Id="rId302" Target="http://hdl.handle.net/1866/27582" TargetMode="External" /><Relationship Type="http://schemas.openxmlformats.org/officeDocument/2006/relationships/hyperlink" Id="rId169" Target="https://academic.oup.com/bib/article/26/2/bbaf123/8092303?searchresult=1&amp;login=false" TargetMode="External" /><Relationship Type="http://schemas.openxmlformats.org/officeDocument/2006/relationships/hyperlink" Id="rId167" Target="https://academic.oup.com/bioinformatics/advance-article/doi/10.1093/bioinformatics/btaf071/8015614" TargetMode="External" /><Relationship Type="http://schemas.openxmlformats.org/officeDocument/2006/relationships/hyperlink" Id="rId181" Target="https://academic.oup.com/bioinformatics/advance-article/doi/10.1093/bioinformatics/btaf105/8069456" TargetMode="External" /><Relationship Type="http://schemas.openxmlformats.org/officeDocument/2006/relationships/hyperlink" Id="rId141" Target="https://baselbiometrics.github.io/home/docs/talks/20220329/2_Glimm_Bretz_Xi.pdf" TargetMode="External" /><Relationship Type="http://schemas.openxmlformats.org/officeDocument/2006/relationships/hyperlink" Id="rId262" Target="https://bioinformaticsworkbook.org/dataAnalysis/VariantCalling/freebayes-dnaseq-workflow.html" TargetMode="External" /><Relationship Type="http://schemas.openxmlformats.org/officeDocument/2006/relationships/hyperlink" Id="rId163" Target="https://bmcbioinformatics.biomedcentral.com/articles/10.1186/s12859-025-06077-5" TargetMode="External" /><Relationship Type="http://schemas.openxmlformats.org/officeDocument/2006/relationships/hyperlink" Id="rId157" Target="https://bmcbioinformatics.biomedcentral.com/articles/10.1186/s12859-025-06096-2" TargetMode="External" /><Relationship Type="http://schemas.openxmlformats.org/officeDocument/2006/relationships/hyperlink" Id="rId159" Target="https://bmcbioinformatics.biomedcentral.com/articles/10.1186/s12859-025-06105-4" TargetMode="External" /><Relationship Type="http://schemas.openxmlformats.org/officeDocument/2006/relationships/hyperlink" Id="rId162" Target="https://bmcgenomics.biomedcentral.com/articles/10.1186/s12864-025-11344-z" TargetMode="External" /><Relationship Type="http://schemas.openxmlformats.org/officeDocument/2006/relationships/hyperlink" Id="rId103" Target="https://cartagene.qc.ca/files/documents/other/Info_GeneticData3juillet2023.pdf" TargetMode="External" /><Relationship Type="http://schemas.openxmlformats.org/officeDocument/2006/relationships/hyperlink" Id="rId183" Target="https://compgenomr.github.io/book/processingReads.html" TargetMode="External" /><Relationship Type="http://schemas.openxmlformats.org/officeDocument/2006/relationships/hyperlink" Id="rId216" Target="https://cran.r-project.org/web/packages/genpwr/vignettes/vignette.html" TargetMode="External" /><Relationship Type="http://schemas.openxmlformats.org/officeDocument/2006/relationships/hyperlink" Id="rId130" Target="https://danielroelfs.com/blog/how-i-make-qq-plots-using-ggplot/" TargetMode="External" /><Relationship Type="http://schemas.openxmlformats.org/officeDocument/2006/relationships/hyperlink" Id="rId30" Target="https://doi.org/10.1007/978-1-62703-447-0_6" TargetMode="External" /><Relationship Type="http://schemas.openxmlformats.org/officeDocument/2006/relationships/hyperlink" Id="rId279" Target="https://doi.org/10.1016/j.tig.2021.07.009" TargetMode="External" /><Relationship Type="http://schemas.openxmlformats.org/officeDocument/2006/relationships/hyperlink" Id="rId281" Target="https://doi.org/10.1038/ejhg.2015.269" TargetMode="External" /><Relationship Type="http://schemas.openxmlformats.org/officeDocument/2006/relationships/hyperlink" Id="rId314" Target="https://doi.org/10.1038/nrg1522" TargetMode="External" /><Relationship Type="http://schemas.openxmlformats.org/officeDocument/2006/relationships/hyperlink" Id="rId285" Target="https://doi.org/10.1038/s41576-024-00778-y" TargetMode="External" /><Relationship Type="http://schemas.openxmlformats.org/officeDocument/2006/relationships/hyperlink" Id="rId298" Target="https://doi.org/10.1038/s41588-023-01529-1" TargetMode="External" /><Relationship Type="http://schemas.openxmlformats.org/officeDocument/2006/relationships/hyperlink" Id="rId312" Target="https://doi.org/10.1038/s43586-021-00056-9" TargetMode="External" /><Relationship Type="http://schemas.openxmlformats.org/officeDocument/2006/relationships/hyperlink" Id="rId68" Target="https://doi.org/10.1093/bib/bbad437" TargetMode="External" /><Relationship Type="http://schemas.openxmlformats.org/officeDocument/2006/relationships/hyperlink" Id="rId317" Target="https://doi.org/10.1093/bib/bbaf123" TargetMode="External" /><Relationship Type="http://schemas.openxmlformats.org/officeDocument/2006/relationships/hyperlink" Id="rId277" Target="https://doi.org/10.1093/bioinformatics/btaf071" TargetMode="External" /><Relationship Type="http://schemas.openxmlformats.org/officeDocument/2006/relationships/hyperlink" Id="rId300" Target="https://doi.org/10.1093/bioinformatics/btaf105" TargetMode="External" /><Relationship Type="http://schemas.openxmlformats.org/officeDocument/2006/relationships/hyperlink" Id="rId288" Target="https://doi.org/10.1093/bioinformatics/btaf143" TargetMode="External" /><Relationship Type="http://schemas.openxmlformats.org/officeDocument/2006/relationships/hyperlink" Id="rId33" Target="https://doi.org/10.1093/ije/dys160" TargetMode="External" /><Relationship Type="http://schemas.openxmlformats.org/officeDocument/2006/relationships/hyperlink" Id="rId292" Target="https://doi.org/10.1101/2024.08.01.606099" TargetMode="External" /><Relationship Type="http://schemas.openxmlformats.org/officeDocument/2006/relationships/hyperlink" Id="rId296" Target="https://doi.org/10.1159/000508558" TargetMode="External" /><Relationship Type="http://schemas.openxmlformats.org/officeDocument/2006/relationships/hyperlink" Id="rId294" Target="https://doi.org/10.1186/1471-2156-9-36" TargetMode="External" /><Relationship Type="http://schemas.openxmlformats.org/officeDocument/2006/relationships/hyperlink" Id="rId310" Target="https://doi.org/10.1186/s12859-025-06077-5" TargetMode="External" /><Relationship Type="http://schemas.openxmlformats.org/officeDocument/2006/relationships/hyperlink" Id="rId283" Target="https://doi.org/10.1186/s12859-025-06096-2" TargetMode="External" /><Relationship Type="http://schemas.openxmlformats.org/officeDocument/2006/relationships/hyperlink" Id="rId275" Target="https://doi.org/10.1186/s12859-025-06105-4" TargetMode="External" /><Relationship Type="http://schemas.openxmlformats.org/officeDocument/2006/relationships/hyperlink" Id="rId270" Target="https://doi.org/10.1186/s12864-025-11344-z" TargetMode="External" /><Relationship Type="http://schemas.openxmlformats.org/officeDocument/2006/relationships/hyperlink" Id="rId165" Target="https://doi.org/10.1186/s13059-024-03400-w" TargetMode="External" /><Relationship Type="http://schemas.openxmlformats.org/officeDocument/2006/relationships/hyperlink" Id="rId273" Target="https://doi.org/10.1201/9781420010909" TargetMode="External" /><Relationship Type="http://schemas.openxmlformats.org/officeDocument/2006/relationships/hyperlink" Id="rId290" Target="https://doi.org/10.1371/journal.pcbi.1004219" TargetMode="External" /><Relationship Type="http://schemas.openxmlformats.org/officeDocument/2006/relationships/hyperlink" Id="rId304" Target="https://doi.org/10.3389/fgene.2022.1006903" TargetMode="External" /><Relationship Type="http://schemas.openxmlformats.org/officeDocument/2006/relationships/hyperlink" Id="rId306" Target="https://doi.org/10.3390/life13010235" TargetMode="External" /><Relationship Type="http://schemas.openxmlformats.org/officeDocument/2006/relationships/hyperlink" Id="rId177" Target="https://genepi.github.io/nf-gwas/" TargetMode="External" /><Relationship Type="http://schemas.openxmlformats.org/officeDocument/2006/relationships/hyperlink" Id="rId24" Target="https://github.com/ArnaudDroitLab/cartagene-gwas" TargetMode="External" /><Relationship Type="http://schemas.openxmlformats.org/officeDocument/2006/relationships/hyperlink" Id="rId36" Target="https://github.com/JustinPelletier/FC-imputation" TargetMode="External" /><Relationship Type="http://schemas.openxmlformats.org/officeDocument/2006/relationships/hyperlink" Id="rId180" Target="https://github.com/MultiQC/MultiQC/tree/main/multiqc/modules/multivcfanalyzer" TargetMode="External" /><Relationship Type="http://schemas.openxmlformats.org/officeDocument/2006/relationships/hyperlink" Id="rId179" Target="https://github.com/MultiQC/MultiQC/tree/main/multiqc/modules/vcftools" TargetMode="External" /><Relationship Type="http://schemas.openxmlformats.org/officeDocument/2006/relationships/hyperlink" Id="rId170" Target="https://github.com/gefeiZ/SC_VAR" TargetMode="External" /><Relationship Type="http://schemas.openxmlformats.org/officeDocument/2006/relationships/hyperlink" Id="rId308" Target="https://github.com/genepi/nf-gwas" TargetMode="External" /><Relationship Type="http://schemas.openxmlformats.org/officeDocument/2006/relationships/hyperlink" Id="rId160" Target="https://github.com/monarch-initiative/pheval" TargetMode="External" /><Relationship Type="http://schemas.openxmlformats.org/officeDocument/2006/relationships/hyperlink" Id="rId149" Target="https://github.com/pinellolab/EPInformer" TargetMode="External" /><Relationship Type="http://schemas.openxmlformats.org/officeDocument/2006/relationships/hyperlink" Id="rId23" Target="https://github.com/samtools/bcftools/releases/download/1.21/bcftools-1.21.tar.bz2" TargetMode="External" /><Relationship Type="http://schemas.openxmlformats.org/officeDocument/2006/relationships/hyperlink" Id="rId173" Target="https://github.com/statgen/fivex" TargetMode="External" /><Relationship Type="http://schemas.openxmlformats.org/officeDocument/2006/relationships/hyperlink" Id="rId40" Target="https://imputation.biodatacatalyst.nhlbi.nih.gov/" TargetMode="External" /><Relationship Type="http://schemas.openxmlformats.org/officeDocument/2006/relationships/hyperlink" Id="rId171" Target="https://journals.plos.org/ploscompbiol/article?id=10.1371/journal.pcbi.1004219" TargetMode="External" /><Relationship Type="http://schemas.openxmlformats.org/officeDocument/2006/relationships/hyperlink" Id="rId69" Target="https://knausb.github.io/vcfR_documentation/genetic_differentiation.html" TargetMode="External" /><Relationship Type="http://schemas.openxmlformats.org/officeDocument/2006/relationships/hyperlink" Id="rId199" Target="https://knausb.github.io/vcfR_documentation/tidy_vcfR.html" TargetMode="External" /><Relationship Type="http://schemas.openxmlformats.org/officeDocument/2006/relationships/hyperlink" Id="rId197" Target="https://knausb.github.io/vcfR_documentation/visualization_1.html" TargetMode="External" /><Relationship Type="http://schemas.openxmlformats.org/officeDocument/2006/relationships/hyperlink" Id="rId140" Target="https://merck.github.io/gMCPLite" TargetMode="External" /><Relationship Type="http://schemas.openxmlformats.org/officeDocument/2006/relationships/hyperlink" Id="rId217" Target="https://pmc.ncbi.nlm.nih.gov/articles/PMC2387159/" TargetMode="External" /><Relationship Type="http://schemas.openxmlformats.org/officeDocument/2006/relationships/hyperlink" Id="rId214" Target="https://pmc.ncbi.nlm.nih.gov/articles/PMC9863799/#sec5-life-13-00235" TargetMode="External" /><Relationship Type="http://schemas.openxmlformats.org/officeDocument/2006/relationships/hyperlink" Id="rId67" Target="https://popgen.nescent.org/2015-05-18-Dist-SNP.html" TargetMode="External" /><Relationship Type="http://schemas.openxmlformats.org/officeDocument/2006/relationships/hyperlink" Id="rId66" Target="https://popgen.nescent.org/DifferentiationSNP.html" TargetMode="External" /><Relationship Type="http://schemas.openxmlformats.org/officeDocument/2006/relationships/hyperlink" Id="rId65" Target="https://popgen.nescent.org/StartSNP.html#genetic-diversity-observed-and-expected-heterozygosity" TargetMode="External" /><Relationship Type="http://schemas.openxmlformats.org/officeDocument/2006/relationships/hyperlink" Id="rId126" Target="https://r-graph-gallery.com/101_Manhattan_plot.html" TargetMode="External" /><Relationship Type="http://schemas.openxmlformats.org/officeDocument/2006/relationships/hyperlink" Id="rId22" Target="https://s3.amazonaws.com/plink2-assets/alpha6/plink2_linux_x86_64_20250129.zip" TargetMode="External" /><Relationship Type="http://schemas.openxmlformats.org/officeDocument/2006/relationships/hyperlink" Id="rId178" Target="https://seqera.io/multiqc/" TargetMode="External" /><Relationship Type="http://schemas.openxmlformats.org/officeDocument/2006/relationships/hyperlink" Id="rId34" Target="https://umontreal.scholaris.ca/bitstreams/83d64aa1-da20-4a6f-8ae0-9dcb0165417d/download" TargetMode="External" /><Relationship Type="http://schemas.openxmlformats.org/officeDocument/2006/relationships/hyperlink" Id="rId145" Target="https://varchat.engenome.com/" TargetMode="External" /><Relationship Type="http://schemas.openxmlformats.org/officeDocument/2006/relationships/hyperlink" Id="rId128" Target="https://varianceexplained.org/statistics/interpreting-pvalue-histogram/" TargetMode="External" /><Relationship Type="http://schemas.openxmlformats.org/officeDocument/2006/relationships/hyperlink" Id="rId123" Target="https://www.bioconductor.org/packages/devel/bioc/vignettes/GENESIS/inst/doc/assoc_test.html#mixed-model-association-testing" TargetMode="External" /><Relationship Type="http://schemas.openxmlformats.org/officeDocument/2006/relationships/hyperlink" Id="rId154" Target="https://www.bioconductor.org/packages/release/bioc/vignettes/VariantAnnotation/inst/doc/VariantAnnotation.html#amino-acid-coding-changes" TargetMode="External" /><Relationship Type="http://schemas.openxmlformats.org/officeDocument/2006/relationships/hyperlink" Id="rId150" Target="https://www.bioconductor.org/packages/release/bioc/vignettes/VariantAnnotation/inst/doc/VariantAnnotation.html#locating-variants-in-and-around-genes" TargetMode="External" /><Relationship Type="http://schemas.openxmlformats.org/officeDocument/2006/relationships/hyperlink" Id="rId155" Target="https://www.bioconductor.org/packages/release/bioc/vignettes/VariantAnnotation/inst/doc/VariantAnnotation.html#sift-and-polyphen-databases" TargetMode="External" /><Relationship Type="http://schemas.openxmlformats.org/officeDocument/2006/relationships/hyperlink" Id="rId148" Target="https://www.biorxiv.org/content/10.1101/2024.08.01.606099v1" TargetMode="External" /><Relationship Type="http://schemas.openxmlformats.org/officeDocument/2006/relationships/hyperlink" Id="rId26" Target="https://www.cell.com/trends/genetics/abstract/S0168-9525" TargetMode="External" /><Relationship Type="http://schemas.openxmlformats.org/officeDocument/2006/relationships/hyperlink" Id="rId153" Target="https://www.frontiersin.org/journals/genetics/articles/10.3389/fgene.2022.1006903/full" TargetMode="External" /><Relationship Type="http://schemas.openxmlformats.org/officeDocument/2006/relationships/hyperlink" Id="rId122" Target="https://www.linkedin.com/feed/update/urn:li:activity:7308463515432833026/" TargetMode="External" /><Relationship Type="http://schemas.openxmlformats.org/officeDocument/2006/relationships/hyperlink" Id="rId64" Target="https://www.linkedin.com/feed/update/urn:li:activity:730919293617122508" TargetMode="External" /><Relationship Type="http://schemas.openxmlformats.org/officeDocument/2006/relationships/hyperlink" Id="rId106" Target="https://www.linkedin.com/posts/%F0%9F%8E%AF-ming-tommy-tang-40650014_genome-builds-matter-avoid-costly-mistakes-activity-7293270985930141698-ZFkH" TargetMode="External" /><Relationship Type="http://schemas.openxmlformats.org/officeDocument/2006/relationships/hyperlink" Id="rId45" Target="https://www.linkedin.com/posts/%F0%9F%8E%AF-ming-tommy-tang-40650014_the-most-underrated-unix-command-for-bioinformatics-activity-7287842704753848321-qhe" TargetMode="External" /><Relationship Type="http://schemas.openxmlformats.org/officeDocument/2006/relationships/hyperlink" Id="rId134" Target="https://www.linkedin.com/posts/adrianolszewski_statistic-datascience-research-activity-7301605962820284417-ho3Z" TargetMode="External" /><Relationship Type="http://schemas.openxmlformats.org/officeDocument/2006/relationships/hyperlink" Id="rId63" Target="https://www.linkedin.com/posts/joachim-schork_statistics-research-visualanalytics-activity-7251577056570785795-b6Rk" TargetMode="External" /><Relationship Type="http://schemas.openxmlformats.org/officeDocument/2006/relationships/hyperlink" Id="rId29" Target="https://www.nature.com/articles/nrg1522" TargetMode="External" /><Relationship Type="http://schemas.openxmlformats.org/officeDocument/2006/relationships/hyperlink" Id="rId152" Target="https://www.nature.com/articles/s41576-024-00778-y" TargetMode="External" /><Relationship Type="http://schemas.openxmlformats.org/officeDocument/2006/relationships/hyperlink" Id="rId147" Target="https://www.nature.com/articles/s41588-023-01529-1" TargetMode="External" /><Relationship Type="http://schemas.openxmlformats.org/officeDocument/2006/relationships/hyperlink" Id="rId31" Target="https://www.nature.com/articles/s43586-021-00056-9" TargetMode="External" /><Relationship Type="http://schemas.openxmlformats.org/officeDocument/2006/relationships/hyperlink" Id="rId215" Target="https://www.ncbi.nlm.nih.gov/pmc/articles/PMC7666027/" TargetMode="External" /><Relationship Type="http://schemas.openxmlformats.org/officeDocument/2006/relationships/hyperlink" Id="rId135" Target="https://www.taylorfrancis.com/books/mono/10.1201/9781420010909/multiple-comparisons-using-frank-bretz-torsten-hothorn-peter-westfall" TargetMode="External" /><Relationship Type="http://schemas.openxmlformats.org/officeDocument/2006/relationships/hyperlink" Id="rId136" Target="https://yasenov.com/2022/10/multiple-hypotheses-testing-a-methods-overview/" TargetMode="External" /><Relationship Type="http://schemas.openxmlformats.org/officeDocument/2006/relationships/hyperlink" Id="rId102" Target="mailto:access@cartagene.qc.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GWAS Analyses utilising the CARTaGENE database</dc:title>
  <dc:creator>Bastien CHASSAGNOL and Marie-Pier SCOT-KELLY and Clément and Fabrice</dc:creator>
  <dc:language>en-GB</dc:language>
  <cp:keywords/>
  <dcterms:created xsi:type="dcterms:W3CDTF">2025-04-24T12:47:19Z</dcterms:created>
  <dcterms:modified xsi:type="dcterms:W3CDTF">2025-04-24T12:47:19Z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2025-04-24</vt:lpwstr>
  </property>
  <property fmtid="{D5CDD505-2E9C-101B-9397-08002B2CF9AE}" pid="9" name="editor">
    <vt:lpwstr>source</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knitr">
    <vt:lpwstr/>
  </property>
  <property fmtid="{D5CDD505-2E9C-101B-9397-08002B2CF9AE}" pid="14" name="labels">
    <vt:lpwstr/>
  </property>
  <property fmtid="{D5CDD505-2E9C-101B-9397-08002B2CF9AE}" pid="15" name="link-citations">
    <vt:lpwstr>True</vt:lpwstr>
  </property>
  <property fmtid="{D5CDD505-2E9C-101B-9397-08002B2CF9AE}" pid="16" name="tbl-cap-location">
    <vt:lpwstr>bottom</vt:lpwstr>
  </property>
  <property fmtid="{D5CDD505-2E9C-101B-9397-08002B2CF9AE}" pid="17" name="template-partials">
    <vt:lpwstr/>
  </property>
  <property fmtid="{D5CDD505-2E9C-101B-9397-08002B2CF9AE}" pid="18" name="toc-title">
    <vt:lpwstr>Contents</vt:lpwstr>
  </property>
</Properties>
</file>