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37.png" ContentType="image/png"/>
  <Override PartName="/word/media/rId201.png" ContentType="image/png"/>
  <Override PartName="/word/media/rId85.png" ContentType="image/png"/>
  <Override PartName="/word/media/rId247.png" ContentType="image/png"/>
  <Override PartName="/word/media/rId251.png" ContentType="image/png"/>
  <Override PartName="/word/media/rId255.png" ContentType="image/png"/>
  <Override PartName="/word/media/rId234.png" ContentType="image/png"/>
  <Override PartName="/word/media/rId238.png" ContentType="image/png"/>
  <Override PartName="/word/media/rId242.png" ContentType="image/png"/>
  <Override PartName="/word/media/rId221.png" ContentType="image/png"/>
  <Override PartName="/word/media/rId225.png" ContentType="image/png"/>
  <Override PartName="/word/media/rId229.png" ContentType="image/png"/>
  <Override PartName="/word/media/rId208.png" ContentType="image/png"/>
  <Override PartName="/word/media/rId189.png" ContentType="image/png"/>
  <Override PartName="/word/media/rId193.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6"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4"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bash: line 6: ./bin/plink2/plink2: Permission denied</w:t>
      </w:r>
      <w:r>
        <w:br/>
      </w:r>
      <w:r>
        <w:rPr>
          <w:rStyle w:val="VerbatimChar"/>
        </w:rPr>
        <w:t xml:space="preserve">##  </w:t>
      </w:r>
      <w:r>
        <w:br/>
      </w:r>
      <w:r>
        <w:rPr>
          <w:rStyle w:val="VerbatimChar"/>
        </w:rPr>
        <w:t xml:space="preserve">##  </w:t>
      </w:r>
      <w:r>
        <w:br/>
      </w:r>
      <w:r>
        <w:rPr>
          <w:rStyle w:val="VerbatimChar"/>
        </w:rPr>
        <w:t xml:space="preserve">##  bash: line 8: ./bin/bcftools/bin/bcftools: Permission denied</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p>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tbl-cartage-pheno-features-and-save">
        <w:r>
          <w:rPr>
            <w:rStyle w:val="Hyperlink"/>
          </w:rPr>
          <w:t xml:space="preserve">Table 1.6</w:t>
        </w:r>
      </w:hyperlink>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 </w:t>
      </w:r>
      <w:r>
        <w:br/>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98" w:name="tbl-cartage-pheno-features-and-save"/>
    <w:tbl>
      <w:tblPr>
        <w:tblStyle w:val="Table"/>
        <w:tblW w:type="pct" w:w="4900"/>
        <w:tblLayout w:type="fixed"/>
        <w:tblLook w:firstRow="0" w:lastRow="0" w:firstColumn="0" w:lastColumn="0" w:noHBand="0" w:noVBand="0" w:val="0000"/>
      </w:tblPr>
      <w:tblGrid>
        <w:gridCol w:w="7761"/>
      </w:tblGrid>
      <w:tr>
        <w:tc>
          <w:tc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1,998</w:t>
                  </w:r>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7,636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8,415</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w:t>
                  </w:r>
                </w:p>
              </w:tc>
            </w:tr>
          </w:tbl>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3"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39"/>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3"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bookmarkEnd w:id="133"/>
    <w:bookmarkStart w:id="142"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4">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5">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36">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0">
              <w:r>
                <w:rPr>
                  <w:rStyle w:val="VerbatimChar"/>
                </w:rPr>
                <w:t xml:space="preserve">gMCPLite</w:t>
              </w:r>
            </w:hyperlink>
            <w:r>
              <w:t xml:space="preserve">. See also</w:t>
            </w:r>
            <w:r>
              <w:t xml:space="preserve"> </w:t>
            </w:r>
            <w:hyperlink r:id="rId141">
              <w:r>
                <w:rPr>
                  <w:rStyle w:val="Hyperlink"/>
                </w:rPr>
                <w:t xml:space="preserve">Graphical Approaches to Multiple Test Problems</w:t>
              </w:r>
            </w:hyperlink>
            <w:r>
              <w:t xml:space="preserve">, for additional details.</w:t>
            </w:r>
          </w:p>
        </w:tc>
      </w:tr>
    </w:tbl>
    <w:bookmarkEnd w:id="142"/>
    <w:bookmarkEnd w:id="143"/>
    <w:bookmarkEnd w:id="144"/>
    <w:bookmarkStart w:id="176" w:name="perspectives"/>
    <w:p>
      <w:pPr>
        <w:pStyle w:val="Heading2"/>
      </w:pPr>
      <w:r>
        <w:t xml:space="preserve">1.4 Perspectives</w:t>
      </w:r>
    </w:p>
    <w:bookmarkStart w:id="146" w:name="post-hoc-gwas"/>
    <w:p>
      <w:pPr>
        <w:pStyle w:val="Heading3"/>
      </w:pPr>
      <w:r>
        <w:t xml:space="preserve">1.4.1 Post-hoc GWAS</w:t>
      </w:r>
    </w:p>
    <w:p>
      <w:pPr>
        <w:pStyle w:val="Compact"/>
        <w:numPr>
          <w:ilvl w:val="0"/>
          <w:numId w:val="1045"/>
        </w:numPr>
      </w:pPr>
      <w:hyperlink r:id="rId145">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46"/>
    <w:bookmarkStart w:id="151"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47">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48">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49">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0">
        <w:r>
          <w:rPr>
            <w:rStyle w:val="VerbatimChar"/>
          </w:rPr>
          <w:t xml:space="preserve">VariantAnnotation::locateVariants()</w:t>
        </w:r>
      </w:hyperlink>
      <w:r>
        <w:t xml:space="preserve"> </w:t>
      </w:r>
      <w:r>
        <w:t xml:space="preserve">function. Variants annotations notably encompass coding, UTRs, introns and promoters.</w:t>
      </w:r>
    </w:p>
    <w:bookmarkEnd w:id="151"/>
    <w:bookmarkStart w:id="156"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2">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3">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4">
        <w:r>
          <w:rPr>
            <w:rStyle w:val="Hyperlink"/>
          </w:rPr>
          <w:t xml:space="preserve">VariantAnnotation::predictCoding</w:t>
        </w:r>
      </w:hyperlink>
      <w:r>
        <w:t xml:space="preserve"> </w:t>
      </w:r>
      <w:r>
        <w:t xml:space="preserve">computes amino acid coding changes for non-synonymous variants, while the</w:t>
      </w:r>
      <w:r>
        <w:t xml:space="preserve"> </w:t>
      </w:r>
      <w:hyperlink r:id="rId155">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56"/>
    <w:bookmarkStart w:id="161"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7">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8"/>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59">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0">
        <w:r>
          <w:rPr>
            <w:rStyle w:val="VerbatimChar"/>
          </w:rPr>
          <w:t xml:space="preserve">PhEval</w:t>
        </w:r>
      </w:hyperlink>
      <w:r>
        <w:t xml:space="preserve">.</w:t>
      </w:r>
    </w:p>
    <w:bookmarkEnd w:id="161"/>
    <w:bookmarkStart w:id="164"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2">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3">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4"/>
    <w:bookmarkStart w:id="168" w:name="post-gwas-polygenic-risk-scores"/>
    <w:p>
      <w:pPr>
        <w:pStyle w:val="Heading3"/>
      </w:pPr>
      <w:r>
        <w:t xml:space="preserve">1.4.6 Post-GWAS: Polygenic risk scores</w:t>
      </w:r>
    </w:p>
    <w:p>
      <w:pPr>
        <w:numPr>
          <w:ilvl w:val="0"/>
          <w:numId w:val="1050"/>
        </w:numPr>
      </w:pPr>
      <w:hyperlink r:id="rId165">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66">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67">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8"/>
    <w:bookmarkStart w:id="175" w:name="post-gwas-orthogonal-integration"/>
    <w:p>
      <w:pPr>
        <w:pStyle w:val="Heading3"/>
      </w:pPr>
      <w:r>
        <w:t xml:space="preserve">1.4.7 Post-GWAS: Orthogonal integration</w:t>
      </w:r>
    </w:p>
    <w:bookmarkStart w:id="172"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69">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0">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1">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2"/>
    <w:bookmarkStart w:id="174" w:name="eqtl-quantitative-expression"/>
    <w:p>
      <w:pPr>
        <w:pStyle w:val="Heading4"/>
      </w:pPr>
      <w:r>
        <w:t xml:space="preserve">1.4.7.2 eQTL (quantitative expression)</w:t>
      </w:r>
    </w:p>
    <w:p>
      <w:pPr>
        <w:pStyle w:val="Compact"/>
        <w:numPr>
          <w:ilvl w:val="0"/>
          <w:numId w:val="1052"/>
        </w:numPr>
      </w:pPr>
      <w:hyperlink r:id="rId173">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4"/>
    <w:bookmarkEnd w:id="175"/>
    <w:bookmarkEnd w:id="176"/>
    <w:bookmarkStart w:id="185" w:name="appendix"/>
    <w:p>
      <w:pPr>
        <w:pStyle w:val="Heading2"/>
      </w:pPr>
      <w:r>
        <w:t xml:space="preserve">1.5 Appendix</w:t>
      </w:r>
    </w:p>
    <w:bookmarkStart w:id="182"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77">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78">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79">
        <w:r>
          <w:rPr>
            <w:rStyle w:val="VerbatimChar"/>
          </w:rPr>
          <w:t xml:space="preserve">vcftools</w:t>
        </w:r>
      </w:hyperlink>
      <w:r>
        <w:t xml:space="preserve"> </w:t>
      </w:r>
      <w:r>
        <w:t xml:space="preserve">and</w:t>
      </w:r>
      <w:r>
        <w:t xml:space="preserve"> </w:t>
      </w:r>
      <w:hyperlink r:id="rId180">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1">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2"/>
    <w:bookmarkStart w:id="184"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3">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4"/>
    <w:bookmarkEnd w:id="185"/>
    <w:bookmarkEnd w:id="186"/>
    <w:bookmarkStart w:id="264" w:name="cartagene-sample-size-estimation"/>
    <w:p>
      <w:pPr>
        <w:pStyle w:val="Heading1"/>
      </w:pPr>
      <w:r>
        <w:t xml:space="preserve">2. CartaGene Sample Size estimation</w:t>
      </w:r>
    </w:p>
    <w:bookmarkStart w:id="187"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87"/>
    <w:bookmarkStart w:id="213" w:name="sec-vcfr"/>
    <w:p>
      <w:pPr>
        <w:pStyle w:val="Heading2"/>
      </w:pPr>
      <w:r>
        <w:t xml:space="preserve">2.2 VCF files Reporting with</w:t>
      </w:r>
      <w:r>
        <w:t xml:space="preserve"> </w:t>
      </w:r>
      <w:r>
        <w:rPr>
          <w:rStyle w:val="VerbatimChar"/>
        </w:rPr>
        <w:t xml:space="preserve">vcfR</w:t>
      </w:r>
    </w:p>
    <w:bookmarkStart w:id="188"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103.908</w:t>
      </w:r>
    </w:p>
    <w:p>
      <w:pPr>
        <w:pStyle w:val="SourceCode"/>
      </w:pPr>
      <w:r>
        <w:rPr>
          <w:rStyle w:val="VerbatimChar"/>
        </w:rPr>
        <w:t xml:space="preserve">##  window_init complete.</w:t>
      </w:r>
    </w:p>
    <w:p>
      <w:pPr>
        <w:pStyle w:val="SourceCode"/>
      </w:pPr>
      <w:r>
        <w:rPr>
          <w:rStyle w:val="VerbatimChar"/>
        </w:rPr>
        <w:t xml:space="preserve">##    elapsed time:  0.003</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p>
    <w:p>
      <w:pPr>
        <w:pStyle w:val="SourceCode"/>
      </w:pPr>
      <w:r>
        <w:rPr>
          <w:rStyle w:val="VerbatimChar"/>
        </w:rPr>
        <w:t xml:space="preserve">##    elapsed time:  0.002</w:t>
      </w:r>
    </w:p>
    <w:bookmarkEnd w:id="188"/>
    <w:bookmarkStart w:id="19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2" w:name="fig-plot-qc-per-chrom-1"/>
          <w:p>
            <w:pPr>
              <w:pStyle w:val="Compact"/>
              <w:jc w:val="center"/>
            </w:pPr>
            <w:r>
              <w:drawing>
                <wp:inline>
                  <wp:extent cx="4620126" cy="3696101"/>
                  <wp:effectExtent b="0" l="0" r="0" t="0"/>
                  <wp:docPr descr="" title="" id="190" name="Picture"/>
                  <a:graphic>
                    <a:graphicData uri="http://schemas.openxmlformats.org/drawingml/2006/picture">
                      <pic:pic>
                        <pic:nvPicPr>
                          <pic:cNvPr descr="CARTaGENE-sample-size_files/figure-docx/fig-plot-qc-per-chrom-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2"/>
        </w:tc>
      </w:tr>
    </w:tbl>
    <w:tbl>
      <w:tblPr>
        <w:tblStyle w:val="Table"/>
        <w:tblW w:type="pct" w:w="5000"/>
        <w:tblLayout w:type="fixed"/>
        <w:tblLook w:firstRow="0" w:lastRow="0" w:firstColumn="0" w:lastColumn="0" w:noHBand="0" w:noVBand="0" w:val="0000"/>
      </w:tblPr>
      <w:tblGrid>
        <w:gridCol w:w="7920"/>
      </w:tblGrid>
      <w:tr>
        <w:tc>
          <w:tcPr/>
          <w:bookmarkStart w:id="196" w:name="fig-plot-qc-per-chrom-2"/>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196"/>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197">
        <w:r>
          <w:rPr>
            <w:rStyle w:val="Hyperlink"/>
          </w:rPr>
          <w:t xml:space="preserve">Visualizing VCF data 1</w:t>
        </w:r>
      </w:hyperlink>
    </w:p>
    <w:bookmarkEnd w:id="198"/>
    <w:bookmarkStart w:id="212" w:name="maf-histogram-distribution"/>
    <w:p>
      <w:pPr>
        <w:pStyle w:val="Heading3"/>
      </w:pPr>
      <w:r>
        <w:t xml:space="preserve">2.2.3 MAF histogram distribution</w:t>
      </w:r>
    </w:p>
    <w:p>
      <w:pPr>
        <w:pStyle w:val="FirstParagraph"/>
      </w:pPr>
      <w:r>
        <w:t xml:space="preserve">Main</w:t>
      </w:r>
      <w:r>
        <w:t xml:space="preserve"> </w:t>
      </w:r>
      <w:hyperlink r:id="rId199">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0"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0"/>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opt/quarto/share/formats/docx/tip.png" id="203"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4"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4"/>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07"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5"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6"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06"/>
              </w:tc>
            </w:tr>
          </w:tbl>
          <w:p/>
        </w:tc>
      </w:tr>
    </w:tbl>
    <w:p>
      <w:pPr>
        <w:pStyle w:val="BodyText"/>
      </w:pPr>
      <w:pPr>
        <w:spacing w:before="200"/>
        <w:pStyle w:val="ImageCaption"/>
      </w:pPr>
      <w:r>
        <w:t xml:space="preserve">Table 2.3</w:t>
      </w:r>
    </w:p>
    <w:bookmarkEnd w:id="207"/>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1" w:name="fig-MAF-distribution"/>
          <w:p>
            <w:pPr>
              <w:pStyle w:val="Compact"/>
              <w:jc w:val="center"/>
            </w:pPr>
            <w:r>
              <w:drawing>
                <wp:inline>
                  <wp:extent cx="4620126" cy="3696101"/>
                  <wp:effectExtent b="0" l="0" r="0" t="0"/>
                  <wp:docPr descr="" title="" id="209" name="Picture"/>
                  <a:graphic>
                    <a:graphicData uri="http://schemas.openxmlformats.org/drawingml/2006/picture">
                      <pic:pic>
                        <pic:nvPicPr>
                          <pic:cNvPr descr="CARTaGENE-sample-size_files/figure-docx/fig-MAF-distribution-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1"/>
        </w:tc>
      </w:tr>
    </w:tbl>
    <w:bookmarkEnd w:id="212"/>
    <w:bookmarkEnd w:id="213"/>
    <w:bookmarkStart w:id="261" w:name="sec-sample-size"/>
    <w:p>
      <w:pPr>
        <w:pStyle w:val="Heading2"/>
      </w:pPr>
      <w:r>
        <w:t xml:space="preserve">2.3 Sample Size Calculation</w:t>
      </w:r>
    </w:p>
    <w:p>
      <w:pPr>
        <w:numPr>
          <w:ilvl w:val="0"/>
          <w:numId w:val="1056"/>
        </w:numPr>
      </w:pPr>
      <w:hyperlink r:id="rId21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1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1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0"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0"/>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0"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3"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4" w:name="fig-GENPWR-unadjusted-1"/>
                <w:p>
                  <w:pPr>
                    <w:pStyle w:val="Compact"/>
                    <w:jc w:val="center"/>
                  </w:pPr>
                  <w:r>
                    <w:drawing>
                      <wp:inline>
                        <wp:extent cx="1975104" cy="1580083"/>
                        <wp:effectExtent b="0" l="0" r="0" t="0"/>
                        <wp:docPr descr="" title="" id="222" name="Picture"/>
                        <a:graphic>
                          <a:graphicData uri="http://schemas.openxmlformats.org/drawingml/2006/picture">
                            <pic:pic>
                              <pic:nvPicPr>
                                <pic:cNvPr descr="CARTaGENE-sample-size_files/figure-docx/fig-GENPWR-unadjusted-1.png" id="223" name="Picture"/>
                                <pic:cNvPicPr>
                                  <a:picLocks noChangeArrowheads="1" noChangeAspect="1"/>
                                </pic:cNvPicPr>
                              </pic:nvPicPr>
                              <pic:blipFill>
                                <a:blip r:embed="rId22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2"/>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2.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3"/>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3.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2"/>
              </w:tc>
            </w:tr>
          </w:tbl>
          <w:p/>
        </w:tc>
      </w:tr>
    </w:tbl>
    <w:p>
      <w:pPr>
        <w:pStyle w:val="BodyText"/>
      </w:pPr>
      <w:pPr>
        <w:spacing w:before="200"/>
        <w:pStyle w:val="ImageCaption"/>
      </w:pPr>
      <w:r>
        <w:t xml:space="preserve">Figure 2.4: Without any adjustement, to be avoided.</w:t>
      </w:r>
    </w:p>
    <w:bookmarkEnd w:id="233"/>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46"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7" w:name="fig-GENPWR-gene-specific-1"/>
                <w:p>
                  <w:pPr>
                    <w:pStyle w:val="Compact"/>
                    <w:jc w:val="center"/>
                  </w:pPr>
                  <w:r>
                    <w:drawing>
                      <wp:inline>
                        <wp:extent cx="1975104" cy="1580083"/>
                        <wp:effectExtent b="0" l="0" r="0" t="0"/>
                        <wp:docPr descr="" title="" id="235" name="Picture"/>
                        <a:graphic>
                          <a:graphicData uri="http://schemas.openxmlformats.org/drawingml/2006/picture">
                            <pic:pic>
                              <pic:nvPicPr>
                                <pic:cNvPr descr="CARTaGENE-sample-size_files/figure-docx/fig-GENPWR-gene-specific-1.png" id="236" name="Picture"/>
                                <pic:cNvPicPr>
                                  <a:picLocks noChangeArrowheads="1" noChangeAspect="1"/>
                                </pic:cNvPicPr>
                              </pic:nvPicPr>
                              <pic:blipFill>
                                <a:blip r:embed="rId234"/>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3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2"/>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2.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3"/>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3.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5"/>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46"/>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59"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0" w:name="fig-GENPWR-GWAS-1"/>
                <w:p>
                  <w:pPr>
                    <w:pStyle w:val="Compact"/>
                    <w:jc w:val="center"/>
                  </w:pPr>
                  <w:r>
                    <w:drawing>
                      <wp:inline>
                        <wp:extent cx="1975104" cy="1580083"/>
                        <wp:effectExtent b="0" l="0" r="0" t="0"/>
                        <wp:docPr descr="" title="" id="248" name="Picture"/>
                        <a:graphic>
                          <a:graphicData uri="http://schemas.openxmlformats.org/drawingml/2006/picture">
                            <pic:pic>
                              <pic:nvPicPr>
                                <pic:cNvPr descr="CARTaGENE-sample-size_files/figure-docx/fig-GENPWR-GWAS-1.png" id="249" name="Picture"/>
                                <pic:cNvPicPr>
                                  <a:picLocks noChangeArrowheads="1" noChangeAspect="1"/>
                                </pic:cNvPicPr>
                              </pic:nvPicPr>
                              <pic:blipFill>
                                <a:blip r:embed="rId247"/>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0"/>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2"/>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2.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3"/>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3.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58"/>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59"/>
    <w:bookmarkEnd w:id="260"/>
    <w:bookmarkEnd w:id="261"/>
    <w:bookmarkStart w:id="263" w:name="additional-resources"/>
    <w:p>
      <w:pPr>
        <w:pStyle w:val="Heading2"/>
      </w:pPr>
      <w:r>
        <w:t xml:space="preserve">2.4 Additional resources</w:t>
      </w:r>
    </w:p>
    <w:p>
      <w:pPr>
        <w:numPr>
          <w:ilvl w:val="0"/>
          <w:numId w:val="1064"/>
        </w:numPr>
      </w:pPr>
      <w:hyperlink r:id="rId262">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3"/>
    <w:bookmarkEnd w:id="264"/>
    <w:bookmarkStart w:id="269" w:name="tools-installation"/>
    <w:p>
      <w:pPr>
        <w:pStyle w:val="Heading1"/>
      </w:pPr>
      <w:r>
        <w:t xml:space="preserve">Appendix A — Tools installation</w:t>
      </w:r>
    </w:p>
    <w:bookmarkStart w:id="268" w:name="sec-tools-install"/>
    <w:p>
      <w:pPr>
        <w:pStyle w:val="Heading2"/>
      </w:pPr>
      <w:r>
        <w:t xml:space="preserve">A.1 Build from scratch command-line GWAS tools</w:t>
      </w:r>
    </w:p>
    <w:bookmarkStart w:id="265"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5"/>
    <w:bookmarkStart w:id="266"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66"/>
    <w:bookmarkStart w:id="267"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67"/>
    <w:bookmarkEnd w:id="268"/>
    <w:bookmarkEnd w:id="269"/>
    <w:bookmarkStart w:id="321" w:name="bibliographic-references"/>
    <w:p>
      <w:pPr>
        <w:pStyle w:val="Heading1"/>
      </w:pPr>
      <w:r>
        <w:t xml:space="preserve">Bibliographic References</w:t>
      </w:r>
    </w:p>
    <w:bookmarkStart w:id="320" w:name="refs"/>
    <w:bookmarkStart w:id="271"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0">
        <w:r>
          <w:rPr>
            <w:rStyle w:val="Hyperlink"/>
          </w:rPr>
          <w:t xml:space="preserve">https://doi.org/10.1186/s12864-025-11344-z</w:t>
        </w:r>
      </w:hyperlink>
      <w:r>
        <w:t xml:space="preserve">.</w:t>
      </w:r>
    </w:p>
    <w:bookmarkEnd w:id="271"/>
    <w:bookmarkStart w:id="272"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2"/>
    <w:bookmarkStart w:id="274"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3">
        <w:r>
          <w:rPr>
            <w:rStyle w:val="Hyperlink"/>
          </w:rPr>
          <w:t xml:space="preserve">https://doi.org/10.1201/9781420010909</w:t>
        </w:r>
      </w:hyperlink>
      <w:r>
        <w:t xml:space="preserve">.</w:t>
      </w:r>
    </w:p>
    <w:bookmarkEnd w:id="274"/>
    <w:bookmarkStart w:id="276"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5">
        <w:r>
          <w:rPr>
            <w:rStyle w:val="Hyperlink"/>
          </w:rPr>
          <w:t xml:space="preserve">https://doi.org/10.1186/s12859-025-06105-4</w:t>
        </w:r>
      </w:hyperlink>
      <w:r>
        <w:t xml:space="preserve">.</w:t>
      </w:r>
    </w:p>
    <w:bookmarkEnd w:id="276"/>
    <w:bookmarkStart w:id="278"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77">
        <w:r>
          <w:rPr>
            <w:rStyle w:val="Hyperlink"/>
          </w:rPr>
          <w:t xml:space="preserve">https://doi.org/10.1093/bioinformatics/btaf071</w:t>
        </w:r>
      </w:hyperlink>
      <w:r>
        <w:t xml:space="preserve">.</w:t>
      </w:r>
    </w:p>
    <w:bookmarkEnd w:id="278"/>
    <w:bookmarkStart w:id="280"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79">
        <w:r>
          <w:rPr>
            <w:rStyle w:val="Hyperlink"/>
          </w:rPr>
          <w:t xml:space="preserve">https://doi.org/10.1016/j.tig.2021.07.009</w:t>
        </w:r>
      </w:hyperlink>
      <w:r>
        <w:t xml:space="preserve">.</w:t>
      </w:r>
    </w:p>
    <w:bookmarkEnd w:id="280"/>
    <w:bookmarkStart w:id="282"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1">
        <w:r>
          <w:rPr>
            <w:rStyle w:val="Hyperlink"/>
          </w:rPr>
          <w:t xml:space="preserve">https://doi.org/10.1038/ejhg.2015.269</w:t>
        </w:r>
      </w:hyperlink>
      <w:r>
        <w:t xml:space="preserve">.</w:t>
      </w:r>
    </w:p>
    <w:bookmarkEnd w:id="282"/>
    <w:bookmarkStart w:id="284"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3">
        <w:r>
          <w:rPr>
            <w:rStyle w:val="Hyperlink"/>
          </w:rPr>
          <w:t xml:space="preserve">https://doi.org/10.1186/s12859-025-06096-2</w:t>
        </w:r>
      </w:hyperlink>
      <w:r>
        <w:t xml:space="preserve">.</w:t>
      </w:r>
    </w:p>
    <w:bookmarkEnd w:id="284"/>
    <w:bookmarkStart w:id="286"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5">
        <w:r>
          <w:rPr>
            <w:rStyle w:val="Hyperlink"/>
          </w:rPr>
          <w:t xml:space="preserve">https://doi.org/10.1038/s41576-024-00778-y</w:t>
        </w:r>
      </w:hyperlink>
      <w:r>
        <w:t xml:space="preserve">.</w:t>
      </w:r>
    </w:p>
    <w:bookmarkEnd w:id="286"/>
    <w:bookmarkStart w:id="287"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87"/>
    <w:bookmarkStart w:id="289"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88">
        <w:r>
          <w:rPr>
            <w:rStyle w:val="Hyperlink"/>
          </w:rPr>
          <w:t xml:space="preserve">https://doi.org/10.1093/bioinformatics/btaf143</w:t>
        </w:r>
      </w:hyperlink>
      <w:r>
        <w:t xml:space="preserve">.</w:t>
      </w:r>
    </w:p>
    <w:bookmarkEnd w:id="289"/>
    <w:bookmarkStart w:id="291"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0">
        <w:r>
          <w:rPr>
            <w:rStyle w:val="Hyperlink"/>
          </w:rPr>
          <w:t xml:space="preserve">https://doi.org/10.1371/journal.pcbi.1004219</w:t>
        </w:r>
      </w:hyperlink>
      <w:r>
        <w:t xml:space="preserve">.</w:t>
      </w:r>
    </w:p>
    <w:bookmarkEnd w:id="291"/>
    <w:bookmarkStart w:id="293"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2">
        <w:r>
          <w:rPr>
            <w:rStyle w:val="Hyperlink"/>
          </w:rPr>
          <w:t xml:space="preserve">https://doi.org/10.1101/2024.08.01.606099</w:t>
        </w:r>
      </w:hyperlink>
      <w:r>
        <w:t xml:space="preserve">.</w:t>
      </w:r>
    </w:p>
    <w:bookmarkEnd w:id="293"/>
    <w:bookmarkStart w:id="295"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4">
        <w:r>
          <w:rPr>
            <w:rStyle w:val="Hyperlink"/>
          </w:rPr>
          <w:t xml:space="preserve">https://doi.org/10.1186/1471-2156-9-36</w:t>
        </w:r>
      </w:hyperlink>
      <w:r>
        <w:t xml:space="preserve">.</w:t>
      </w:r>
    </w:p>
    <w:bookmarkEnd w:id="295"/>
    <w:bookmarkStart w:id="297"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96">
        <w:r>
          <w:rPr>
            <w:rStyle w:val="Hyperlink"/>
          </w:rPr>
          <w:t xml:space="preserve">https://doi.org/10.1159/000508558</w:t>
        </w:r>
      </w:hyperlink>
      <w:r>
        <w:t xml:space="preserve">.</w:t>
      </w:r>
    </w:p>
    <w:bookmarkEnd w:id="297"/>
    <w:bookmarkStart w:id="299"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98">
        <w:r>
          <w:rPr>
            <w:rStyle w:val="Hyperlink"/>
          </w:rPr>
          <w:t xml:space="preserve">https://doi.org/10.1038/s41588-023-01529-1</w:t>
        </w:r>
      </w:hyperlink>
      <w:r>
        <w:t xml:space="preserve">.</w:t>
      </w:r>
    </w:p>
    <w:bookmarkEnd w:id="299"/>
    <w:bookmarkStart w:id="301"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0">
        <w:r>
          <w:rPr>
            <w:rStyle w:val="Hyperlink"/>
          </w:rPr>
          <w:t xml:space="preserve">https://doi.org/10.1093/bioinformatics/btaf105</w:t>
        </w:r>
      </w:hyperlink>
      <w:r>
        <w:t xml:space="preserve">.</w:t>
      </w:r>
    </w:p>
    <w:bookmarkEnd w:id="301"/>
    <w:bookmarkStart w:id="303"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2">
        <w:r>
          <w:rPr>
            <w:rStyle w:val="Hyperlink"/>
          </w:rPr>
          <w:t xml:space="preserve">http://hdl.handle.net/1866/27582</w:t>
        </w:r>
      </w:hyperlink>
      <w:r>
        <w:t xml:space="preserve">.</w:t>
      </w:r>
    </w:p>
    <w:bookmarkEnd w:id="303"/>
    <w:bookmarkStart w:id="305"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4">
        <w:r>
          <w:rPr>
            <w:rStyle w:val="Hyperlink"/>
          </w:rPr>
          <w:t xml:space="preserve">https://doi.org/10.3389/fgene.2022.1006903</w:t>
        </w:r>
      </w:hyperlink>
      <w:r>
        <w:t xml:space="preserve">.</w:t>
      </w:r>
    </w:p>
    <w:bookmarkEnd w:id="305"/>
    <w:bookmarkStart w:id="307"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06">
        <w:r>
          <w:rPr>
            <w:rStyle w:val="Hyperlink"/>
          </w:rPr>
          <w:t xml:space="preserve">https://doi.org/10.3390/life13010235</w:t>
        </w:r>
      </w:hyperlink>
      <w:r>
        <w:t xml:space="preserve">.</w:t>
      </w:r>
    </w:p>
    <w:bookmarkEnd w:id="307"/>
    <w:bookmarkStart w:id="309"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08">
        <w:r>
          <w:rPr>
            <w:rStyle w:val="Hyperlink"/>
          </w:rPr>
          <w:t xml:space="preserve">https://github.com/genepi/nf-gwas</w:t>
        </w:r>
      </w:hyperlink>
      <w:r>
        <w:t xml:space="preserve">.</w:t>
      </w:r>
    </w:p>
    <w:bookmarkEnd w:id="309"/>
    <w:bookmarkStart w:id="311"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0">
        <w:r>
          <w:rPr>
            <w:rStyle w:val="Hyperlink"/>
          </w:rPr>
          <w:t xml:space="preserve">https://doi.org/10.1186/s12859-025-06077-5</w:t>
        </w:r>
      </w:hyperlink>
      <w:r>
        <w:t xml:space="preserve">.</w:t>
      </w:r>
    </w:p>
    <w:bookmarkEnd w:id="311"/>
    <w:bookmarkStart w:id="313"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2">
        <w:r>
          <w:rPr>
            <w:rStyle w:val="Hyperlink"/>
          </w:rPr>
          <w:t xml:space="preserve">https://doi.org/10.1038/s43586-021-00056-9</w:t>
        </w:r>
      </w:hyperlink>
      <w:r>
        <w:t xml:space="preserve">.</w:t>
      </w:r>
    </w:p>
    <w:bookmarkEnd w:id="313"/>
    <w:bookmarkStart w:id="315"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4">
        <w:r>
          <w:rPr>
            <w:rStyle w:val="Hyperlink"/>
          </w:rPr>
          <w:t xml:space="preserve">https://doi.org/10.1038/nrg1522</w:t>
        </w:r>
      </w:hyperlink>
      <w:r>
        <w:t xml:space="preserve">.</w:t>
      </w:r>
    </w:p>
    <w:bookmarkEnd w:id="315"/>
    <w:bookmarkStart w:id="316"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16"/>
    <w:bookmarkStart w:id="318"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17">
        <w:r>
          <w:rPr>
            <w:rStyle w:val="Hyperlink"/>
          </w:rPr>
          <w:t xml:space="preserve">https://doi.org/10.1093/bib/bbaf123</w:t>
        </w:r>
      </w:hyperlink>
      <w:r>
        <w:t xml:space="preserve">.</w:t>
      </w:r>
    </w:p>
    <w:bookmarkEnd w:id="318"/>
    <w:bookmarkStart w:id="319"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5">
        <w:r>
          <w:rPr>
            <w:rStyle w:val="Hyperlink"/>
          </w:rPr>
          <w:t xml:space="preserve">https://doi.org/10.1186/s13059-024-03400-w</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8">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37" Target="media/rId137.png" /><Relationship Type="http://schemas.openxmlformats.org/officeDocument/2006/relationships/image" Id="rId201" Target="media/rId201.png" /><Relationship Type="http://schemas.openxmlformats.org/officeDocument/2006/relationships/image" Id="rId85" Target="media/rId85.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34" Target="media/rId234.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08" Target="media/rId208.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2025-04-24T13:11:46Z</dcterms:created>
  <dcterms:modified xsi:type="dcterms:W3CDTF">2025-04-24T13:11:46Z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