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146.png" ContentType="image/png"/>
  <Override PartName="/word/media/rId48.png" ContentType="image/png"/>
  <Override PartName="/word/media/rId94.png" ContentType="image/png"/>
  <Override PartName="/word/media/rId198.png" ContentType="image/png"/>
  <Override PartName="/word/media/rId203.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2025-04-23</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95" w:name="main-gwas-pipeline"/>
    <w:p>
      <w:pPr>
        <w:pStyle w:val="Heading1"/>
      </w:pPr>
      <w:r>
        <w:t xml:space="preserve">1. Main GWAS pipeline</w:t>
      </w:r>
    </w:p>
    <w:bookmarkStart w:id="32"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1.6</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31"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20000</m:t>
        </m:r>
      </m:oMath>
      <w:r>
        <w:t xml:space="preserve"> </w:t>
      </w:r>
      <w:r>
        <w:t xml:space="preserve">in my database + )</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Specifically, in contrast with the conclusions of this limited study on a single gene, namely</w:t>
      </w:r>
      <w:r>
        <w:t xml:space="preserve"> </w:t>
      </w:r>
      <w:r>
        <w:rPr>
          <w:rStyle w:val="VerbatimChar"/>
        </w:rPr>
        <w:t xml:space="preserve">HDAC-9</w:t>
      </w:r>
      <w:r>
        <w:t xml:space="preserve">, running a whole GWAS analysis on</w:t>
      </w:r>
      <w:r>
        <w:t xml:space="preserve"> </w:t>
      </w:r>
      <w:r>
        <w:rPr>
          <w:rStyle w:val="VerbatimChar"/>
        </w:rPr>
        <w:t xml:space="preserve">CarTaGene</w:t>
      </w:r>
      <w:r>
        <w:t xml:space="preserve"> </w:t>
      </w:r>
      <w:r>
        <w:t xml:space="preserve">revealed promising and significant SNPs, as illustrated in</w:t>
      </w:r>
      <w:r>
        <w:t xml:space="preserve"> </w:t>
      </w:r>
      <w:hyperlink w:anchor="fig-gwas-global">
        <w:r>
          <w:rPr>
            <w:rStyle w:val="Hyperlink"/>
          </w:rPr>
          <w:t xml:space="preserve">Figure 1.1</w:t>
        </w:r>
      </w:hyperlink>
      <w:r>
        <w:t xml:space="preserve">.</w:t>
      </w:r>
    </w:p>
    <w:p>
      <w:pPr>
        <w:pStyle w:val="Compact"/>
        <w:numPr>
          <w:ilvl w:val="1"/>
          <w:numId w:val="1005"/>
        </w:numPr>
      </w:pPr>
      <w:r>
        <w:t xml:space="preserve">An alternative to</w:t>
      </w:r>
      <w:r>
        <w:t xml:space="preserve"> </w:t>
      </w:r>
      <w:r>
        <w:rPr>
          <w:i/>
          <w:iCs/>
        </w:rPr>
        <w:t xml:space="preserve">candidate gene</w:t>
      </w:r>
      <w:r>
        <w:t xml:space="preserve"> </w:t>
      </w:r>
      <w:r>
        <w:t xml:space="preserve">association studies relies on the</w:t>
      </w:r>
      <w:r>
        <w:t xml:space="preserve"> </w:t>
      </w:r>
      <w:r>
        <w:rPr>
          <w:i/>
          <w:iCs/>
        </w:rPr>
        <w:t xml:space="preserve">linkage analysis approach</w:t>
      </w:r>
      <w:r>
        <w:t xml:space="preserve">, which uses familial pedigrees to map genetic variants underlying common human diseases.</w:t>
      </w:r>
      <w:r>
        <w:t xml:space="preserve"> </w:t>
      </w:r>
      <w:r>
        <w:rPr>
          <w:b/>
          <w:bCs/>
        </w:rPr>
        <w:t xml:space="preserve">This strategy requires both genetic data and detailed family pedigrees.</w:t>
      </w:r>
      <w:r>
        <w:t xml:space="preserve">, report to for details.</w:t>
      </w:r>
    </w:p>
    <w:p>
      <w:pPr>
        <w:pStyle w:val="Compact"/>
        <w:numPr>
          <w:ilvl w:val="0"/>
          <w:numId w:val="1004"/>
        </w:numPr>
      </w:pPr>
      <w:r>
        <w:t xml:space="preserve">Address intrinsic heterogeneity of the sampled population, see</w:t>
      </w:r>
      <w:r>
        <w:t xml:space="preserve"> </w:t>
      </w:r>
      <w:hyperlink r:id="rId26">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gwas-global"/>
          <w:p>
            <w:pPr>
              <w:pStyle w:val="Compact"/>
              <w:jc w:val="center"/>
            </w:pPr>
            <w:r>
              <w:drawing>
                <wp:inline>
                  <wp:extent cx="5334000" cy="2442865"/>
                  <wp:effectExtent b="0" l="0" r="0" t="0"/>
                  <wp:docPr descr="" title="" id="28" name="Picture"/>
                  <a:graphic>
                    <a:graphicData uri="http://schemas.openxmlformats.org/drawingml/2006/picture">
                      <pic:pic>
                        <pic:nvPicPr>
                          <pic:cNvPr descr="./figures/global-GWAS.png" id="29" name="Picture"/>
                          <pic:cNvPicPr>
                            <a:picLocks noChangeArrowheads="1" noChangeAspect="1"/>
                          </pic:cNvPicPr>
                        </pic:nvPicPr>
                        <pic:blipFill>
                          <a:blip r:embed="rId2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w:t>
            </w:r>
            <w:r>
              <w:rPr>
                <w:b/>
                <w:bCs/>
              </w:rPr>
              <w:t xml:space="preserve"> </w:t>
            </w:r>
            <w:r>
              <w:rPr>
                <w:rStyle w:val="VerbatimChar"/>
                <w:b/>
                <w:bCs/>
              </w:rPr>
              <w:t xml:space="preserve">TOPMed</w:t>
            </w:r>
            <w:r>
              <w:rPr>
                <w:b/>
                <w:bCs/>
              </w:rPr>
              <w:t xml:space="preserve"> </w:t>
            </w:r>
            <w:r>
              <w:rPr>
                <w:b/>
                <w:bCs/>
              </w:rPr>
              <w:t xml:space="preserve">Merge-Impute (first, merge all genotype arrays, then impute SNPs) strategy</w:t>
            </w:r>
            <w:r>
              <w:t xml:space="preserve">. obtained through genotyping and imputation using the</w:t>
            </w:r>
            <w:r>
              <w:t xml:space="preserve"> </w:t>
            </w:r>
            <w:r>
              <w:rPr>
                <w:rStyle w:val="VerbatimChar"/>
              </w:rPr>
              <w:t xml:space="preserve">TOPMed</w:t>
            </w:r>
            <w:r>
              <w:t xml:space="preserve"> </w:t>
            </w:r>
            <w:r>
              <w:t xml:space="preserve">Imputation Server under two analytic workflows: Impute-Merge and Merge-Impute. Manhattan plots depict the genome-wide association study (GWAS) results for variants (</w:t>
            </w:r>
            <w:r>
              <w:rPr>
                <w:i/>
                <w:iCs/>
              </w:rPr>
              <w:t xml:space="preserve">Single nucleotide polymorphisms</w:t>
            </w:r>
            <w:r>
              <w:t xml:space="preserve"> </w:t>
            </w:r>
            <w:r>
              <w:t xml:space="preserve">and</w:t>
            </w:r>
            <w:r>
              <w:t xml:space="preserve"> </w:t>
            </w:r>
            <w:r>
              <w:rPr>
                <w:i/>
                <w:iCs/>
              </w:rPr>
              <w:t xml:space="preserve">insertion-deletion</w:t>
            </w:r>
            <w:r>
              <w:t xml:space="preserve">), before and after imputation.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w:r>
              <w:t xml:space="preserve">for the association of each variant.</w:t>
            </w:r>
            <w:r>
              <w:t xml:space="preserve"> </w:t>
            </w:r>
            <w:r>
              <w:rPr>
                <w:color w:val="green"/>
              </w:rPr>
              <w:t>
                <w:r>
                  <w:t xml:space="preserve">Variants with</w:t>
                </w:r>
                <w:r>
                  <w:t xml:space="preserve"> </w:t>
                </w:r>
                <m:oMath>
                  <m:r>
                    <m:t>p</m:t>
                  </m:r>
                </m:oMath>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w:t>
            </w:r>
          </w:p>
          <w:bookmarkEnd w:id="30"/>
        </w:tc>
      </w:tr>
    </w:tbl>
    <w:bookmarkEnd w:id="31"/>
    <w:bookmarkEnd w:id="32"/>
    <w:bookmarkStart w:id="53" w:name="introduction"/>
    <w:p>
      <w:pPr>
        <w:pStyle w:val="Heading2"/>
      </w:pPr>
      <w:r>
        <w:t xml:space="preserve">1.2 Introduction</w:t>
      </w:r>
    </w:p>
    <w:bookmarkStart w:id="36" w:name="gwas-litterature-review"/>
    <w:p>
      <w:pPr>
        <w:pStyle w:val="Heading3"/>
      </w:pPr>
      <w:r>
        <w:t xml:space="preserve">1.2.1 GWAS Litterature Review</w:t>
      </w:r>
    </w:p>
    <w:p>
      <w:pPr>
        <w:numPr>
          <w:ilvl w:val="0"/>
          <w:numId w:val="1006"/>
        </w:numPr>
      </w:pPr>
      <w:r>
        <w:t xml:space="preserve">Fundamental paper, aka</w:t>
      </w:r>
      <w:r>
        <w:t xml:space="preserve"> </w:t>
      </w:r>
      <w:hyperlink r:id="rId33">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6"/>
        </w:numPr>
      </w:pPr>
      <w:r>
        <w:t xml:space="preserve">Book reviewing pros and cons of statistical GWAS approaches, from</w:t>
      </w:r>
      <w:r>
        <w:t xml:space="preserve"> </w:t>
      </w:r>
      <w:hyperlink r:id="rId34">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6"/>
        </w:numPr>
      </w:pPr>
      <w:hyperlink r:id="rId35">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6"/>
    <w:bookmarkStart w:id="38" w:name="original-design"/>
    <w:p>
      <w:pPr>
        <w:pStyle w:val="Heading3"/>
      </w:pPr>
      <w:r>
        <w:t xml:space="preserve">1.2.2 Original Design</w:t>
      </w:r>
    </w:p>
    <w:p>
      <w:pPr>
        <w:pStyle w:val="Compact"/>
        <w:numPr>
          <w:ilvl w:val="0"/>
          <w:numId w:val="1007"/>
        </w:numPr>
      </w:pPr>
      <w:hyperlink r:id="rId37">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bookmarkEnd w:id="38"/>
    <w:bookmarkStart w:id="43" w:name="impute-unobserved-gwas-in-cartagene"/>
    <w:p>
      <w:pPr>
        <w:pStyle w:val="Heading3"/>
      </w:pPr>
      <w:r>
        <w:t xml:space="preserve">1.2.3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 most complete</w:t>
      </w:r>
      <w:r>
        <w:t xml:space="preserve"> </w:t>
      </w:r>
      <w:r>
        <w:rPr>
          <w:i/>
          <w:iCs/>
        </w:rPr>
        <w:t xml:space="preserve">WGS</w:t>
      </w:r>
      <w:r>
        <w:t xml:space="preserve"> </w:t>
      </w:r>
      <w:r>
        <w:t xml:space="preserve">(whole genome sequencing).</w:t>
      </w:r>
    </w:p>
    <w:p>
      <w:pPr>
        <w:numPr>
          <w:ilvl w:val="0"/>
          <w:numId w:val="1008"/>
        </w:numPr>
      </w:pPr>
      <w:hyperlink r:id="rId39">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t xml:space="preserve">:</w:t>
      </w:r>
    </w:p>
    <w:p>
      <w:pPr>
        <w:pStyle w:val="Compact"/>
        <w:numPr>
          <w:ilvl w:val="1"/>
          <w:numId w:val="1009"/>
        </w:numPr>
      </w:pPr>
      <w:r>
        <w:rPr>
          <w:b/>
          <w:bCs/>
        </w:rPr>
        <w:t xml:space="preserve">Introduction section</w:t>
      </w:r>
      <w:r>
        <w:t xml:space="preserve">: presents the most critical issues when dealing with GWAS information: linkage disequilibrium,</w:t>
      </w:r>
    </w:p>
    <w:p>
      <w:pPr>
        <w:pStyle w:val="Compact"/>
        <w:numPr>
          <w:ilvl w:val="1"/>
          <w:numId w:val="1009"/>
        </w:numPr>
      </w:pPr>
      <w:r>
        <w:t xml:space="preserve">Paper, corresponding to Chapter 3,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pStyle w:val="Compact"/>
        <w:numPr>
          <w:ilvl w:val="1"/>
          <w:numId w:val="1009"/>
        </w:numPr>
      </w:pPr>
      <w:r>
        <w:rPr>
          <w:b/>
          <w:bCs/>
        </w:rPr>
        <w:t xml:space="preserve">Page 61</w:t>
      </w:r>
      <w:r>
        <w:t xml:space="preserve">: Describes the imputation strategy, along with the preprocessing steps. Code for reproducing the analyses is</w:t>
      </w:r>
      <w:r>
        <w:t xml:space="preserve"> </w:t>
      </w:r>
      <w:hyperlink r:id="rId40">
        <w:r>
          <w:rPr>
            <w:rStyle w:val="Hyperlink"/>
          </w:rPr>
          <w:t xml:space="preserve">FC-imputation</w:t>
        </w:r>
      </w:hyperlink>
      <w:r>
        <w:t xml:space="preserve">, kinda messy I must admit.</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discarding.</w:t>
      </w:r>
      <w:r>
        <w:br/>
      </w:r>
    </w:p>
    <w:p>
      <w:pPr>
        <w:pStyle w:val="Compact"/>
        <w:numPr>
          <w:ilvl w:val="1"/>
          <w:numId w:val="1009"/>
        </w:numPr>
      </w:pPr>
      <w:r>
        <w:rPr>
          <w:b/>
          <w:bCs/>
        </w:rPr>
        <w:t xml:space="preserve">Page 99</w:t>
      </w:r>
      <w:r>
        <w:t xml:space="preserve">: Strong polymorphism in some regions, such as</w:t>
      </w:r>
      <w:r>
        <w:t xml:space="preserve"> </w:t>
      </w:r>
      <w:r>
        <w:rPr>
          <w:rStyle w:val="VerbatimChar"/>
        </w:rPr>
        <w:t xml:space="preserve">HLA</w:t>
      </w:r>
      <w:r>
        <w:t xml:space="preserve">.</w:t>
      </w:r>
    </w:p>
    <w:p>
      <w:pPr>
        <w:pStyle w:val="Compact"/>
        <w:numPr>
          <w:ilvl w:val="1"/>
          <w:numId w:val="1009"/>
        </w:numPr>
      </w:pPr>
      <w:r>
        <w:t xml:space="preserve">Reach out</w:t>
      </w:r>
      <w:r>
        <w:t xml:space="preserve"> </w:t>
      </w:r>
      <w:hyperlink r:id="rId41">
        <w:r>
          <w:rPr>
            <w:rStyle w:val="Hyperlink"/>
          </w:rPr>
          <w:t xml:space="preserve">Julie Hussin</w:t>
        </w:r>
      </w:hyperlink>
      <w:r>
        <w:t xml:space="preserve">, or</w:t>
      </w:r>
      <w:r>
        <w:t xml:space="preserve"> </w:t>
      </w:r>
      <w:hyperlink r:id="rId42">
        <w:r>
          <w:rPr>
            <w:rStyle w:val="Hyperlink"/>
          </w:rPr>
          <w:t xml:space="preserve">LinkedIn profile</w:t>
        </w:r>
      </w:hyperlink>
      <w:r>
        <w:t xml:space="preserve">, who actually ran the PCA computations and global GWAS analyses.]{fg=</w:t>
      </w:r>
      <w:r>
        <w:t xml:space="preserve">“red”</w:t>
      </w:r>
      <w:r>
        <w:t xml:space="preserve">}</w:t>
      </w:r>
    </w:p>
    <w:bookmarkEnd w:id="43"/>
    <w:bookmarkStart w:id="52" w:name="sample-size-calculation"/>
    <w:p>
      <w:pPr>
        <w:pStyle w:val="Heading3"/>
      </w:pPr>
      <w:r>
        <w:t xml:space="preserve">1.2.4 Sample Size Calculation</w:t>
      </w:r>
    </w:p>
    <w:p>
      <w:pPr>
        <w:pStyle w:val="Compact"/>
        <w:numPr>
          <w:ilvl w:val="0"/>
          <w:numId w:val="1010"/>
        </w:numPr>
      </w:pPr>
      <w:r>
        <w:rPr>
          <w:color w:val="red"/>
        </w:rPr>
        <w:t>
          <w:r>
            <w:t xml:space="preserve">Should be carried out prior to collecting GWAS samples!!</w:t>
          </w:r>
        </w:t>
      </w:r>
    </w:p>
    <w:p>
      <w:pPr>
        <w:pStyle w:val="Compact"/>
        <w:numPr>
          <w:ilvl w:val="0"/>
          <w:numId w:val="1010"/>
        </w:numPr>
      </w:pPr>
      <w:hyperlink r:id="rId4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pStyle w:val="Compact"/>
        <w:numPr>
          <w:ilvl w:val="1"/>
          <w:numId w:val="1011"/>
        </w:numPr>
      </w:pPr>
      <w:hyperlink r:id="rId4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4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1.1</w:t>
        </w:r>
      </w:hyperlink>
      <w:r>
        <w:t xml:space="preserve"> </w:t>
      </w:r>
      <w:r>
        <w:t xml:space="preserve">for details).</w:t>
      </w:r>
    </w:p>
    <w:p>
      <w:pPr>
        <w:pStyle w:val="Compact"/>
        <w:numPr>
          <w:ilvl w:val="1"/>
          <w:numId w:val="1011"/>
        </w:numPr>
      </w:pPr>
      <w:hyperlink r:id="rId4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avalaible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1.1: Genetic models</w:t>
            </w:r>
          </w:p>
        </w:tc>
      </w:tr>
      <w:tr>
        <w:trPr>
          <w:cantSplit/>
        </w:trPr>
        <w:tc>
          <w:tcPr>
            <w:tcMar>
              <w:top w:w="108" w:type="dxa"/>
              <w:bottom w:w="108" w:type="dxa"/>
            </w:tcMar>
          </w:tcPr>
          <w:p>
            <w:pPr>
              <w:numPr>
                <w:ilvl w:val="0"/>
                <w:numId w:val="1012"/>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13"/>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13"/>
              </w:numPr>
            </w:pPr>
            <w:r>
              <w:rPr>
                <w:b/>
                <w:bCs/>
              </w:rPr>
              <w:t xml:space="preserve">Aa</w:t>
            </w:r>
            <w:r>
              <w:t xml:space="preserve"> </w:t>
            </w:r>
            <w:r>
              <w:t xml:space="preserve">(</w:t>
            </w:r>
            <w:r>
              <w:rPr>
                <w:i/>
                <w:iCs/>
              </w:rPr>
              <w:t xml:space="preserve">heterozygous</w:t>
            </w:r>
            <w:r>
              <w:t xml:space="preserve">)</w:t>
            </w:r>
          </w:p>
          <w:p>
            <w:pPr>
              <w:pStyle w:val="Compact"/>
              <w:numPr>
                <w:ilvl w:val="1"/>
                <w:numId w:val="1013"/>
              </w:numPr>
            </w:pPr>
            <w:r>
              <w:rPr>
                <w:b/>
                <w:bCs/>
              </w:rPr>
              <w:t xml:space="preserve">aa</w:t>
            </w:r>
            <w:r>
              <w:t xml:space="preserve"> </w:t>
            </w:r>
            <w:r>
              <w:t xml:space="preserve">(homozygous</w:t>
            </w:r>
            <w:r>
              <w:t xml:space="preserve"> </w:t>
            </w:r>
            <w:r>
              <w:rPr>
                <w:i/>
                <w:iCs/>
              </w:rPr>
              <w:t xml:space="preserve">minor</w:t>
            </w:r>
            <w:r>
              <w:t xml:space="preserve">)</w:t>
            </w:r>
          </w:p>
          <w:p>
            <w:pPr>
              <w:numPr>
                <w:ilvl w:val="0"/>
                <w:numId w:val="1012"/>
              </w:numPr>
            </w:pPr>
            <w:r>
              <w:rPr>
                <w:b/>
                <w:bCs/>
              </w:rPr>
              <w:t xml:space="preserve">Phenotype</w:t>
            </w:r>
            <w:r>
              <w:t xml:space="preserve">: A continuous or binary outcome (e.g., height, disease status)</w:t>
            </w:r>
          </w:p>
          <w:p>
            <w:pPr>
              <w:numPr>
                <w:ilvl w:val="0"/>
                <w:numId w:val="1012"/>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14"/>
              </w:numPr>
            </w:pPr>
            <w:r>
              <w:rPr>
                <w:b/>
                <w:bCs/>
              </w:rPr>
              <w:t xml:space="preserve">Additive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14"/>
              </w:numPr>
            </w:pPr>
            <w:r>
              <w:rPr>
                <w:b/>
                <w:bCs/>
              </w:rPr>
              <w:t xml:space="preserve">Dominant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14"/>
              </w:numPr>
            </w:pPr>
            <w:r>
              <w:rPr>
                <w:b/>
                <w:bCs/>
              </w:rPr>
              <w:t xml:space="preserve">Recessive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51"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1.1</m:t>
                    </m:r>
                  </m:e>
                </m:d>
              </m:oMath>
            </m:oMathPara>
            <w:bookmarkEnd w:id="51"/>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heterozygote advantage</w:t>
            </w:r>
            <w:r>
              <w:t xml:space="preserve"> </w:t>
            </w:r>
            <w:r>
              <w:t xml:space="preserve">scenarios (e.g., sickle cell and malaria).</w:t>
            </w:r>
          </w:p>
        </w:tc>
      </w:tr>
    </w:tbl>
    <w:bookmarkEnd w:id="52"/>
    <w:bookmarkEnd w:id="53"/>
    <w:bookmarkStart w:id="153" w:name="analyses"/>
    <w:p>
      <w:pPr>
        <w:pStyle w:val="Heading2"/>
      </w:pPr>
      <w:r>
        <w:t xml:space="preserve">1.3 Analyses</w:t>
      </w:r>
    </w:p>
    <w:bookmarkStart w:id="57" w:name="setup-enviroment"/>
    <w:p>
      <w:pPr>
        <w:pStyle w:val="Heading3"/>
      </w:pPr>
      <w:r>
        <w:t xml:space="preserve">1.3.1 Setup enviroment</w:t>
      </w:r>
    </w:p>
    <w:bookmarkStart w:id="55"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54">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55"/>
    <w:bookmarkStart w:id="56"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56"/>
    <w:bookmarkEnd w:id="57"/>
    <w:bookmarkStart w:id="79" w:name="compute-pca-loadings"/>
    <w:p>
      <w:pPr>
        <w:pStyle w:val="Heading3"/>
      </w:pPr>
      <w:r>
        <w:t xml:space="preserve">1.3.2 Compute PCA</w:t>
      </w:r>
      <w:r>
        <w:t xml:space="preserve"> </w:t>
      </w:r>
      <w:r>
        <w:rPr>
          <w:b/>
          <w:bCs/>
        </w:rPr>
        <w:t xml:space="preserve">loadings</w:t>
      </w:r>
    </w:p>
    <w:bookmarkStart w:id="59"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58">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9"/>
    <w:bookmarkStart w:id="71"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60" w:name="sec-missing-SNPs"/>
    <w:p>
      <w:pPr>
        <w:pStyle w:val="Heading5"/>
      </w:pPr>
      <w:r>
        <w:t xml:space="preserve">1.3.2.2.1 i) Trim missing SNPs</w:t>
      </w:r>
    </w:p>
    <w:p>
      <w:pPr>
        <w:numPr>
          <w:ilvl w:val="0"/>
          <w:numId w:val="1015"/>
        </w:numPr>
      </w:pPr>
      <w:r>
        <w:rPr>
          <w:b/>
          <w:bCs/>
        </w:rPr>
        <w:t xml:space="preserve">Inputs</w:t>
      </w:r>
      <w:r>
        <w:t xml:space="preserve">:</w:t>
      </w:r>
    </w:p>
    <w:p>
      <w:pPr>
        <w:pStyle w:val="Compact"/>
        <w:numPr>
          <w:ilvl w:val="1"/>
          <w:numId w:val="1016"/>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6"/>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5"/>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5"/>
        </w:numPr>
      </w:pPr>
      <w:r>
        <w:rPr>
          <w:color w:val="red"/>
        </w:rPr>
        <w:t>
          <w:r>
            <w:rPr>
              <w:b/>
              <w:bCs/>
            </w:rPr>
            <w:t xml:space="preserve">Remark</w:t>
          </w:r>
          <w:r>
            <w:t xml:space="preserve">: Also advised to exclude samples with low Genotyping Rate, below 0.98.</w:t>
          </w:r>
        </w:t>
      </w:r>
    </w:p>
    <w:p>
      <w:pPr>
        <w:numPr>
          <w:ilvl w:val="0"/>
          <w:numId w:val="1015"/>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60"/>
    <w:bookmarkStart w:id="61" w:name="sec-HWD"/>
    <w:p>
      <w:pPr>
        <w:pStyle w:val="Heading5"/>
      </w:pPr>
      <w:r>
        <w:t xml:space="preserve">1.3.2.2.2 ii) Hardy-Weinberg Disequilibrium</w:t>
      </w:r>
    </w:p>
    <w:p>
      <w:pPr>
        <w:numPr>
          <w:ilvl w:val="0"/>
          <w:numId w:val="1017"/>
        </w:numPr>
      </w:pPr>
      <w:r>
        <w:rPr>
          <w:b/>
          <w:bCs/>
        </w:rPr>
        <w:t xml:space="preserve">Inputs</w:t>
      </w:r>
      <w:r>
        <w:t xml:space="preserve">:</w:t>
      </w:r>
    </w:p>
    <w:p>
      <w:pPr>
        <w:pStyle w:val="Compact"/>
        <w:numPr>
          <w:ilvl w:val="1"/>
          <w:numId w:val="1018"/>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7"/>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7"/>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7"/>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61"/>
    <w:bookmarkStart w:id="66" w:name="sec-LD"/>
    <w:p>
      <w:pPr>
        <w:pStyle w:val="Heading5"/>
      </w:pPr>
      <w:r>
        <w:t xml:space="preserve">1.3.2.2.3 iii) Linkage Disequilibrium</w:t>
      </w:r>
    </w:p>
    <w:bookmarkStart w:id="62" w:name="sec-local-LD"/>
    <w:p>
      <w:pPr>
        <w:pStyle w:val="Heading6"/>
      </w:pPr>
      <w:r>
        <w:t xml:space="preserve">1.3.2.2.3.1 Local LD analysis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9"/>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9"/>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9"/>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9"/>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62"/>
    <w:bookmarkStart w:id="65" w:name="sec-global-LD"/>
    <w:p>
      <w:pPr>
        <w:pStyle w:val="Heading6"/>
      </w:pPr>
      <w:r>
        <w:t xml:space="preserve">1.3.2.2.3.2 Global LD analysis from prior expert knowledge</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21"/>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63">
        <w:r>
          <w:rPr>
            <w:rStyle w:val="Hyperlink"/>
          </w:rPr>
          <w:t xml:space="preserve">here</w:t>
        </w:r>
      </w:hyperlink>
      <w:r>
        <w:t xml:space="preserve"> </w:t>
      </w:r>
      <w:r>
        <w:t xml:space="preserve">for details.</w:t>
      </w:r>
      <w:r>
        <w:rPr>
          <w:rStyle w:val="FootnoteReference"/>
        </w:rPr>
        <w:footnoteReference w:id="64"/>
      </w:r>
    </w:p>
    <w:p>
      <w:pPr>
        <w:pStyle w:val="Compact"/>
        <w:numPr>
          <w:ilvl w:val="0"/>
          <w:numId w:val="1023"/>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65"/>
    <w:bookmarkEnd w:id="66"/>
    <w:bookmarkStart w:id="70" w:name="Xb387f7e0e89d602fd0bc6c18351207c8255c21c"/>
    <w:p>
      <w:pPr>
        <w:pStyle w:val="Heading5"/>
      </w:pPr>
      <w:r>
        <w:t xml:space="preserve">1.3.2.2.4 iv) Exclude affiliated individuals based on high IBD scores</w:t>
      </w:r>
    </w:p>
    <w:p>
      <w:pPr>
        <w:numPr>
          <w:ilvl w:val="0"/>
          <w:numId w:val="1024"/>
        </w:numPr>
      </w:pPr>
      <w:r>
        <w:rPr>
          <w:b/>
          <w:bCs/>
        </w:rPr>
        <w:t xml:space="preserve">Inputs</w:t>
      </w:r>
      <w:r>
        <w:t xml:space="preserve">:</w:t>
      </w:r>
    </w:p>
    <w:p>
      <w:pPr>
        <w:pStyle w:val="Compact"/>
        <w:numPr>
          <w:ilvl w:val="1"/>
          <w:numId w:val="1025"/>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24"/>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24"/>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67">
        <w:r>
          <w:rPr>
            <w:rStyle w:val="Hyperlink"/>
          </w:rPr>
          <w:t xml:space="preserve">here</w:t>
        </w:r>
      </w:hyperlink>
      <w:r>
        <w:t xml:space="preserve">.</w:t>
      </w:r>
    </w:p>
    <w:p>
      <w:pPr>
        <w:numPr>
          <w:ilvl w:val="0"/>
          <w:numId w:val="1024"/>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68"/>
      </w:r>
      <w:r>
        <w:t xml:space="preserve">.</w:t>
      </w:r>
    </w:p>
    <w:p>
      <w:pPr>
        <w:numPr>
          <w:ilvl w:val="0"/>
          <w:numId w:val="1024"/>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70"/>
    <w:bookmarkEnd w:id="71"/>
    <w:bookmarkStart w:id="78" w:name="sec-PCA"/>
    <w:p>
      <w:pPr>
        <w:pStyle w:val="Heading4"/>
      </w:pPr>
      <w:r>
        <w:t xml:space="preserve">1.3.2.3 Step 3: PCA Computation and Population Genetic Evaluation</w:t>
      </w:r>
    </w:p>
    <w:p>
      <w:pPr>
        <w:numPr>
          <w:ilvl w:val="0"/>
          <w:numId w:val="1026"/>
        </w:numPr>
      </w:pPr>
      <w:r>
        <w:rPr>
          <w:b/>
          <w:bCs/>
        </w:rPr>
        <w:t xml:space="preserve">Inputs</w:t>
      </w:r>
      <w:r>
        <w:t xml:space="preserve">:</w:t>
      </w:r>
    </w:p>
    <w:p>
      <w:pPr>
        <w:pStyle w:val="Compact"/>
        <w:numPr>
          <w:ilvl w:val="1"/>
          <w:numId w:val="102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7"/>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6"/>
        </w:numPr>
      </w:pPr>
      <w:r>
        <w:rPr>
          <w:b/>
          <w:bCs/>
        </w:rPr>
        <w:t xml:space="preserve">Objective</w:t>
      </w:r>
      <w:r>
        <w:t xml:space="preserve">: Compute PCA and keep the 10 first principal components.</w:t>
      </w:r>
    </w:p>
    <w:p>
      <w:pPr>
        <w:numPr>
          <w:ilvl w:val="0"/>
          <w:numId w:val="1026"/>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8"/>
        </w:numPr>
      </w:pPr>
      <w:r>
        <w:rPr>
          <w:b/>
          <w:bCs/>
        </w:rPr>
        <w:t xml:space="preserve">Remarks</w:t>
      </w:r>
      <w:r>
        <w:t xml:space="preserve">:</w:t>
      </w:r>
    </w:p>
    <w:p>
      <w:pPr>
        <w:numPr>
          <w:ilvl w:val="1"/>
          <w:numId w:val="1029"/>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72">
            <w:r>
              <w:rPr>
                <w:rStyle w:val="Hyperlink"/>
              </w:rPr>
              <w:t xml:space="preserve">here</w:t>
            </w:r>
          </w:hyperlink>
          <w:r>
            <w:t xml:space="preserve"> </w:t>
          </w:r>
          <w:r>
            <w:t xml:space="preserve">and</w:t>
          </w:r>
          <w:r>
            <w:t xml:space="preserve"> </w:t>
          </w:r>
          <w:hyperlink r:id="rId73">
            <w:r>
              <w:rPr>
                <w:rStyle w:val="Hyperlink"/>
              </w:rPr>
              <w:t xml:space="preserve">there</w:t>
            </w:r>
          </w:hyperlink>
        </w:t>
      </w:r>
      <w:r>
        <w:t xml:space="preserve">.</w:t>
      </w:r>
    </w:p>
    <w:p>
      <w:pPr>
        <w:numPr>
          <w:ilvl w:val="1"/>
          <w:numId w:val="1029"/>
        </w:numPr>
      </w:pPr>
      <w:r>
        <w:rPr>
          <w:b/>
          <w:bCs/>
        </w:rPr>
        <w:t xml:space="preserve">Remark 2</w:t>
      </w:r>
      <w:r>
        <w:t xml:space="preserve">: The</w:t>
      </w:r>
      <w:r>
        <w:t xml:space="preserve"> </w:t>
      </w:r>
      <w:hyperlink r:id="rId74">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details how to generate statistics quantifying patterns of genetic diversity, such as LD and Hardy-Weinberg, in a given population.</w:t>
      </w:r>
      <w:r>
        <w:t xml:space="preserve"> </w:t>
      </w:r>
      <w:r>
        <w:t xml:space="preserve">The</w:t>
      </w:r>
      <w:r>
        <w:t xml:space="preserve"> </w:t>
      </w:r>
      <w:hyperlink r:id="rId75">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describes both unsupervised, PCA-like and discriminatory approaches to identify latent genetic sub-populations.</w:t>
      </w:r>
      <w:r>
        <w:br/>
      </w:r>
      <w:r>
        <w:t xml:space="preserve">Finally, the</w:t>
      </w:r>
      <w:r>
        <w:t xml:space="preserve"> </w:t>
      </w:r>
      <w:hyperlink r:id="rId76">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reports different individual genetic distances, enabling to spot and trim indiviudal outliers with a significant distinct genetic distribution.</w:t>
      </w:r>
    </w:p>
    <w:p>
      <w:pPr>
        <w:numPr>
          <w:ilvl w:val="1"/>
          <w:numId w:val="1029"/>
        </w:numPr>
      </w:pPr>
      <w:r>
        <w:rPr>
          <w:b/>
          <w:bCs/>
        </w:rPr>
        <w:t xml:space="preserve">Remark 3</w:t>
      </w:r>
      <w:r>
        <w:t xml:space="preserve">: To evaluate within 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77">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8"/>
    <w:bookmarkEnd w:id="79"/>
    <w:bookmarkStart w:id="110" w:name="run-gwas-analyses"/>
    <w:p>
      <w:pPr>
        <w:pStyle w:val="Heading3"/>
      </w:pPr>
      <w:r>
        <w:t xml:space="preserve">1.3.3 Run GWAS analyses</w:t>
      </w:r>
    </w:p>
    <w:bookmarkStart w:id="109"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can e downloaded</w:t>
      </w:r>
      <w:r>
        <w:t xml:space="preserve"> </w:t>
      </w:r>
      <w:hyperlink r:id="rId80">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r>
        <w:br/>
      </w:r>
      <w:r>
        <w:br/>
      </w:r>
      <w:r>
        <w:rPr>
          <w:rStyle w:val="FunctionTok"/>
        </w:rPr>
        <w:t xml:space="preserve">flextable</w:t>
      </w:r>
      <w:r>
        <w:rPr>
          <w:rStyle w:val="NormalTok"/>
        </w:rPr>
        <w:t xml:space="preserve">(cartagene_response_variables)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1" w:name="tbl-cartage-pheno-feature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Disease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DMOTSCORE_mod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r>
          </w:tbl>
          <w:p>
            <w:pPr>
              <w:jc w:val="center"/>
            </w:pPr>
            <w:pPr>
              <w:jc w:val="start"/>
              <w:spacing w:before="200"/>
              <w:pStyle w:val="ImageCaption"/>
            </w:pPr>
            <w:r>
              <w:t xml:space="preserve">Table 1.1: Features of interest, and response variables, to predict in</w:t>
            </w:r>
            <w:r>
              <w:t xml:space="preserve"> </w:t>
            </w:r>
            <w:r>
              <w:rPr>
                <w:rStyle w:val="VerbatimChar"/>
              </w:rPr>
              <w:t xml:space="preserve">CarTaGene</w:t>
            </w:r>
            <w:r>
              <w:t xml:space="preserve">.</w:t>
            </w:r>
          </w:p>
          <w:bookmarkEnd w:id="81"/>
        </w:tc>
      </w:tr>
    </w:tbl>
    <w:bookmarkStart w:id="86"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2"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1.2: Read SAS table describing CarTaGene phenotypes.</w:t>
            </w:r>
          </w:p>
          <w:bookmarkEnd w:id="82"/>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1.3</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83"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1.3: Read SAS table describing CarTaGene phenotypes.</w:t>
            </w:r>
          </w:p>
          <w:bookmarkEnd w:id="83"/>
        </w:tc>
      </w:tr>
    </w:tbl>
    <w:tbl>
      <w:tblPr>
        <w:tblStyle w:val="Table"/>
        <w:tblW w:type="pct" w:w="5000"/>
        <w:tblLayout w:type="fixed"/>
        <w:tblLook w:firstRow="0" w:lastRow="0" w:firstColumn="0" w:lastColumn="0" w:noHBand="0" w:noVBand="0" w:val="0000"/>
      </w:tblPr>
      <w:tblGrid>
        <w:gridCol w:w="7920"/>
      </w:tblGrid>
      <w:tr>
        <w:tc>
          <w:tcPr/>
          <w:bookmarkStart w:id="84"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84"/>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5"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85"/>
        </w:tc>
      </w:tr>
    </w:tbl>
    <w:p>
      <w:pPr>
        <w:pStyle w:val="Compact"/>
        <w:numPr>
          <w:ilvl w:val="0"/>
          <w:numId w:val="1030"/>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86"/>
    <w:bookmarkStart w:id="103" w:name="X5438143f41ca4ce8c23d5db9074d722483c25c0"/>
    <w:p>
      <w:pPr>
        <w:pStyle w:val="Heading5"/>
      </w:pPr>
      <w:r>
        <w:t xml:space="preserve">1.3.3.1.2 ii) Bone damage: osteoporosis and fractures</w:t>
      </w:r>
    </w:p>
    <w:p>
      <w:pPr>
        <w:numPr>
          <w:ilvl w:val="0"/>
          <w:numId w:val="1031"/>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1.4</w:t>
        </w:r>
      </w:hyperlink>
      <w:r>
        <w:t xml:space="preserve">.</w:t>
      </w:r>
    </w:p>
    <w:p>
      <w:pPr>
        <w:pStyle w:val="Compact"/>
        <w:numPr>
          <w:ilvl w:val="1"/>
          <w:numId w:val="1032"/>
        </w:numPr>
      </w:pPr>
      <w:r>
        <w:t xml:space="preserve">Exclude patients with</w:t>
      </w:r>
      <w:r>
        <w:t xml:space="preserve"> </w:t>
      </w:r>
      <w:r>
        <w:rPr>
          <w:rStyle w:val="VerbatimChar"/>
        </w:rPr>
        <w:t xml:space="preserve">osteosecondaire==1</w:t>
      </w:r>
      <w:r>
        <w:t xml:space="preserve">.</w:t>
      </w:r>
    </w:p>
    <w:p>
      <w:pPr>
        <w:pStyle w:val="Compact"/>
        <w:numPr>
          <w:ilvl w:val="1"/>
          <w:numId w:val="1032"/>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87"/>
      </w:r>
      <w:r>
        <w:t xml:space="preserve">.</w:t>
      </w:r>
    </w:p>
    <w:p>
      <w:pPr>
        <w:pStyle w:val="Compact"/>
        <w:numPr>
          <w:ilvl w:val="1"/>
          <w:numId w:val="1032"/>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88"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88"/>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1.4: OSTEOPOROSIS is considered as more severe than</w:t>
            </w:r>
            <w:r>
              <w:t xml:space="preserve"> </w:t>
            </w:r>
            <w:r>
              <w:rPr>
                <w:rStyle w:val="VerbatimChar"/>
              </w:rPr>
              <w:t xml:space="preserve">OSTEOPONIA</w:t>
            </w:r>
            <w:r>
              <w:t xml:space="preserve">, hence the striclty lower number of individuals affected by the disease.</w:t>
            </w:r>
          </w:p>
          <w:bookmarkEnd w:id="89"/>
        </w:tc>
      </w:tr>
    </w:tbl>
    <w:p>
      <w:pPr>
        <w:numPr>
          <w:ilvl w:val="0"/>
          <w:numId w:val="1033"/>
        </w:numPr>
      </w:pPr>
      <w:r>
        <w:rPr>
          <w:b/>
          <w:bCs/>
        </w:rPr>
        <w:t xml:space="preserve">Fracture events</w:t>
      </w:r>
      <w:r>
        <w:t xml:space="preserve">:</w:t>
      </w:r>
    </w:p>
    <w:p>
      <w:pPr>
        <w:pStyle w:val="Compact"/>
        <w:numPr>
          <w:ilvl w:val="1"/>
          <w:numId w:val="1034"/>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34"/>
        </w:numPr>
      </w:pPr>
      <w:r>
        <w:rPr>
          <w:rStyle w:val="VerbatimChar"/>
        </w:rPr>
        <w:t xml:space="preserve">FXMOF_POST</w:t>
      </w:r>
      <w:r>
        <w:t xml:space="preserve"> </w:t>
      </w:r>
      <w:r>
        <w:t xml:space="preserve">(only osteoporotic fractures during follow-up)</w:t>
      </w:r>
      <w:r>
        <w:rPr>
          <w:rStyle w:val="FootnoteReference"/>
        </w:rPr>
        <w:footnoteReference w:id="90"/>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93"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1"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91"/>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92"/>
              </w:tc>
            </w:tr>
          </w:tbl>
          <w:p/>
        </w:tc>
      </w:tr>
    </w:tbl>
    <w:p>
      <w:pPr>
        <w:pStyle w:val="BodyText"/>
      </w:pPr>
      <w:pPr>
        <w:spacing w:before="200"/>
        <w:pStyle w:val="ImageCaption"/>
      </w:pPr>
      <w:r>
        <w:t xml:space="preserve">Table 1.5: Description of fracture events.</w:t>
      </w:r>
    </w:p>
    <w:bookmarkEnd w:id="93"/>
    <w:p>
      <w:pPr>
        <w:pStyle w:val="BodyText"/>
      </w:pPr>
      <w:r>
        <w:t xml:space="preserve"> </w:t>
      </w:r>
    </w:p>
    <w:bookmarkStart w:id="102"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7" w:name="fig-venn-osteo-1"/>
                <w:p>
                  <w:pPr>
                    <w:pStyle w:val="Compact"/>
                    <w:jc w:val="center"/>
                  </w:pPr>
                  <w:r>
                    <w:drawing>
                      <wp:inline>
                        <wp:extent cx="2971800" cy="2377440"/>
                        <wp:effectExtent b="0" l="0" r="0" t="0"/>
                        <wp:docPr descr="" title="" id="95" name="Picture"/>
                        <a:graphic>
                          <a:graphicData uri="http://schemas.openxmlformats.org/drawingml/2006/picture">
                            <pic:pic>
                              <pic:nvPicPr>
                                <pic:cNvPr descr="CARTaGENE-GWAS-Report_files/figure-docx/fig-venn-osteo-1.png" id="96" name="Picture"/>
                                <pic:cNvPicPr>
                                  <a:picLocks noChangeArrowheads="1" noChangeAspect="1"/>
                                </pic:cNvPicPr>
                              </pic:nvPicPr>
                              <pic:blipFill>
                                <a:blip r:embed="rId94"/>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97"/>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1" w:name="fig-venn-osteo-2"/>
                <w:p>
                  <w:pPr>
                    <w:pStyle w:val="Compact"/>
                    <w:jc w:val="center"/>
                  </w:pPr>
                  <w:r>
                    <w:drawing>
                      <wp:inline>
                        <wp:extent cx="2971800" cy="2971800"/>
                        <wp:effectExtent b="0" l="0" r="0" t="0"/>
                        <wp:docPr descr="" title="" id="99" name="Picture"/>
                        <a:graphic>
                          <a:graphicData uri="http://schemas.openxmlformats.org/drawingml/2006/picture">
                            <pic:pic>
                              <pic:nvPicPr>
                                <pic:cNvPr descr="figures/venn_diagramm_fractures.png" id="100" name="Picture"/>
                                <pic:cNvPicPr>
                                  <a:picLocks noChangeArrowheads="1" noChangeAspect="1"/>
                                </pic:cNvPicPr>
                              </pic:nvPicPr>
                              <pic:blipFill>
                                <a:blip r:embed="rId98"/>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101"/>
              </w:tc>
            </w:tr>
          </w:tbl>
          <w:p/>
        </w:tc>
      </w:tr>
    </w:tbl>
    <w:p>
      <w:pPr>
        <w:pStyle w:val="BodyText"/>
      </w:pPr>
      <w:pPr>
        <w:spacing w:before="200"/>
        <w:pStyle w:val="ImageCaption"/>
      </w:pPr>
      <w:r>
        <w:t xml:space="preserve">Figure 1.2: Venn Diagrams of fracture events, before and after diagnosis control.</w:t>
      </w:r>
    </w:p>
    <w:bookmarkEnd w:id="102"/>
    <w:bookmarkEnd w:id="103"/>
    <w:bookmarkStart w:id="108" w:name="iii-cardiovascular-diseases"/>
    <w:p>
      <w:pPr>
        <w:pStyle w:val="Heading5"/>
      </w:pPr>
      <w:r>
        <w:t xml:space="preserve">1.3.3.1.3 iii) Cardiovascular diseases</w:t>
      </w:r>
    </w:p>
    <w:p>
      <w:pPr>
        <w:numPr>
          <w:ilvl w:val="0"/>
          <w:numId w:val="1035"/>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5"/>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5"/>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1.6</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106"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4"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104"/>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5"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105"/>
              </w:tc>
            </w:tr>
          </w:tbl>
          <w:p/>
        </w:tc>
      </w:tr>
    </w:tbl>
    <w:p>
      <w:pPr>
        <w:pStyle w:val="BodyText"/>
      </w:pPr>
      <w:pPr>
        <w:spacing w:before="200"/>
        <w:pStyle w:val="ImageCaption"/>
      </w:pPr>
      <w:r>
        <w:t xml:space="preserve">Table 1.6: Cardiovascular disease events</w:t>
      </w:r>
    </w:p>
    <w:bookmarkEnd w:id="106"/>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lst-cartagene-plink2-prep">
        <w:r>
          <w:rPr>
            <w:rStyle w:val="Hyperlink"/>
          </w:rPr>
          <w:t xml:space="preserve">Listing 1.4</w:t>
        </w:r>
      </w:hyperlink>
      <w:r>
        <w:t xml:space="preserve"> </w:t>
      </w:r>
      <w:r>
        <w:t xml:space="preserve">for details:</w:t>
      </w:r>
    </w:p>
    <w:tbl>
      <w:tblPr>
        <w:tblStyle w:val="Table"/>
        <w:tblW w:type="pct" w:w="5000"/>
        <w:tblLayout w:type="fixed"/>
        <w:tblLook w:firstRow="0" w:lastRow="0" w:firstColumn="0" w:lastColumn="0" w:noHBand="0" w:noVBand="0" w:val="0000"/>
      </w:tblPr>
      <w:tblGrid>
        <w:gridCol w:w="7920"/>
      </w:tblGrid>
      <w:tr>
        <w:tc>
          <w:tcPr/>
          <w:bookmarkStart w:id="107" w:name="lst-cartagene-plink2-prep"/>
          <w:p>
            <w:pPr>
              <w:jc w:val="center"/>
            </w:pPr>
            <w:pPr>
              <w:jc w:val="start"/>
              <w:spacing w:before="200"/>
              <w:pStyle w:val="ImageCaption"/>
            </w:pPr>
            <w:r>
              <w:t xml:space="preserve">Listing 1.4: Turns out that newest versions of</w:t>
            </w:r>
            <w:r>
              <w:t xml:space="preserve"> </w:t>
            </w:r>
            <w:r>
              <w:rPr>
                <w:rStyle w:val="VerbatimChar"/>
              </w:rPr>
              <w:t xml:space="preserve">plink2</w:t>
            </w:r>
            <w:r>
              <w:t xml:space="preserve"> </w:t>
            </w:r>
            <w:r>
              <w:t xml:space="preserve">impose explicit encoding of categorical variables, denoting as 1</w:t>
            </w:r>
            <w:r>
              <w:t xml:space="preserve"> </w:t>
            </w:r>
            <w:r>
              <w:t xml:space="preserve">‘controls’</w:t>
            </w:r>
            <w:r>
              <w:t xml:space="preserve">, and 2 as</w:t>
            </w:r>
            <w:r>
              <w:t xml:space="preserve"> </w:t>
            </w:r>
            <w:r>
              <w:t xml:space="preserve">‘case’</w:t>
            </w:r>
            <w:r>
              <w:t xml:space="preserve">.</w:t>
            </w:r>
          </w:p>
          <w:p>
            <w:pPr>
              <w:pStyle w:val="SourceCode"/>
              <w:jc w:val="center"/>
            </w:pPr>
            <w:r>
              <w:rPr>
                <w:rStyle w:val="VerbatimChar"/>
              </w:rPr>
              <w:t xml:space="preserve">## define Boolean categorical variables</w:t>
            </w:r>
            <w:r>
              <w:br/>
            </w:r>
            <w:r>
              <w:rPr>
                <w:rStyle w:val="VerbatimChar"/>
              </w:rPr>
              <w:t xml:space="preserve">categorical_variables &lt;- cartagene_response_variables$Features[cartagene_response_variables$Type=="Boolean"]</w:t>
            </w:r>
            <w:r>
              <w:br/>
            </w:r>
            <w:r>
              <w:br/>
            </w:r>
            <w:r>
              <w:rPr>
                <w:rStyle w:val="VerbatimChar"/>
              </w:rPr>
              <w:t xml:space="preserve">cartagene_phenodata &lt;- cartagene_phenodata |&gt;</w:t>
            </w:r>
            <w:r>
              <w:br/>
            </w:r>
            <w:r>
              <w:rPr>
                <w:rStyle w:val="VerbatimChar"/>
              </w:rPr>
              <w:t xml:space="preserve">  dplyr::mutate(dplyr::across(dplyr::all_of(categorical_variables),</w:t>
            </w:r>
            <w:r>
              <w:br/>
            </w:r>
            <w:r>
              <w:rPr>
                <w:rStyle w:val="VerbatimChar"/>
              </w:rPr>
              <w:t xml:space="preserve">                              \(x) dplyr::if_else(x == 0L, 1L, 2L, missing=NA)))</w:t>
            </w:r>
            <w:r>
              <w:br/>
            </w:r>
            <w:r>
              <w:br/>
            </w:r>
            <w:r>
              <w:rPr>
                <w:rStyle w:val="VerbatimChar"/>
              </w:rPr>
              <w:t xml:space="preserve">readr::write_tsv(cartagene_phenodata, </w:t>
            </w:r>
            <w:r>
              <w:br/>
            </w:r>
            <w:r>
              <w:rPr>
                <w:rStyle w:val="VerbatimChar"/>
              </w:rPr>
              <w:t xml:space="preserve">                 file="data/phenotypes/merge_phenos_PCs.txt")</w:t>
            </w:r>
            <w:r>
              <w:br/>
            </w:r>
            <w:r>
              <w:br/>
            </w:r>
            <w:r>
              <w:rPr>
                <w:rStyle w:val="VerbatimChar"/>
              </w:rPr>
              <w:t xml:space="preserve">## cartagene_phenodata &lt;- readr::read_tsv("data/phenotypes/merge_phenos_PCs.txt")</w:t>
            </w:r>
          </w:p>
          <w:bookmarkEnd w:id="107"/>
        </w:tc>
      </w:tr>
    </w:tbl>
    <w:bookmarkEnd w:id="108"/>
    <w:bookmarkEnd w:id="109"/>
    <w:bookmarkEnd w:id="110"/>
    <w:bookmarkStart w:id="124"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11">
        <w:r>
          <w:rPr>
            <w:rStyle w:val="Hyperlink"/>
          </w:rPr>
          <w:t xml:space="preserve">Email Cartagene</w:t>
        </w:r>
      </w:hyperlink>
      <w:r>
        <w:t xml:space="preserve">. Preprocessing details are reported</w:t>
      </w:r>
      <w:r>
        <w:t xml:space="preserve"> </w:t>
      </w:r>
      <w:hyperlink r:id="rId112">
        <w:r>
          <w:rPr>
            <w:rStyle w:val="Hyperlink"/>
          </w:rPr>
          <w:t xml:space="preserve">here</w:t>
        </w:r>
      </w:hyperlink>
      <w:r>
        <w:rPr>
          <w:rStyle w:val="FootnoteReference"/>
        </w:rPr>
        <w:footnoteReference w:id="113"/>
      </w:r>
    </w:p>
    <w:bookmarkStart w:id="123" w:name="sec-HDAC9"/>
    <w:p>
      <w:pPr>
        <w:pStyle w:val="Heading4"/>
      </w:pPr>
      <w:r>
        <w:t xml:space="preserve">1.3.4.1 a) HDAC-family</w:t>
      </w:r>
    </w:p>
    <w:bookmarkStart w:id="118" w:name="i-retrieve-hdac-positions"/>
    <w:p>
      <w:pPr>
        <w:pStyle w:val="Heading5"/>
      </w:pPr>
      <w:r>
        <w:t xml:space="preserve">1.3.4.1.1 i) Retrieve HDAC positions</w:t>
      </w:r>
    </w:p>
    <w:p>
      <w:pPr>
        <w:numPr>
          <w:ilvl w:val="0"/>
          <w:numId w:val="1036"/>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6"/>
        </w:numPr>
      </w:pPr>
      <w:r>
        <w:rPr>
          <w:b/>
          <w:bCs/>
        </w:rPr>
        <w:t xml:space="preserve">Methods</w:t>
      </w:r>
      <w:r>
        <w:t xml:space="preserve">:</w:t>
      </w:r>
    </w:p>
    <w:p>
      <w:pPr>
        <w:pStyle w:val="Compact"/>
        <w:numPr>
          <w:ilvl w:val="0"/>
          <w:numId w:val="1037"/>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1.5</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14"/>
      </w:r>
    </w:p>
    <w:p>
      <w:pPr>
        <w:pStyle w:val="Compact"/>
        <w:numPr>
          <w:ilvl w:val="0"/>
          <w:numId w:val="1037"/>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6" w:name="lst-hdac-positions"/>
          <w:p>
            <w:pPr>
              <w:jc w:val="center"/>
            </w:pPr>
            <w:pPr>
              <w:jc w:val="start"/>
              <w:spacing w:before="200"/>
              <w:pStyle w:val="ImageCaption"/>
            </w:pPr>
            <w:r>
              <w:t xml:space="preserve">Listing 1.5: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16"/>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17"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17"/>
        </w:tc>
      </w:tr>
    </w:tbl>
    <w:p>
      <w:pPr>
        <w:pStyle w:val="Compact"/>
        <w:numPr>
          <w:ilvl w:val="0"/>
          <w:numId w:val="1038"/>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18"/>
    <w:bookmarkStart w:id="122" w:name="Xe01f850393e7576928357ba56382bca6320073e"/>
    <w:p>
      <w:pPr>
        <w:pStyle w:val="Heading5"/>
      </w:pPr>
      <w:r>
        <w:t xml:space="preserve">1.3.4.1.2 ii) Extract SNPs corresponding to provided HDAC gene</w:t>
      </w:r>
    </w:p>
    <w:p>
      <w:pPr>
        <w:pStyle w:val="Compact"/>
        <w:numPr>
          <w:ilvl w:val="0"/>
          <w:numId w:val="1039"/>
        </w:numPr>
      </w:pPr>
      <w:r>
        <w:rPr>
          <w:b/>
          <w:bCs/>
        </w:rPr>
        <w:t xml:space="preserve">Inputs</w:t>
      </w:r>
      <w:r>
        <w:t xml:space="preserve">:</w:t>
      </w:r>
    </w:p>
    <w:p>
      <w:pPr>
        <w:pStyle w:val="Compact"/>
        <w:numPr>
          <w:ilvl w:val="1"/>
          <w:numId w:val="1040"/>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9"/>
      </w:r>
      <w:r>
        <w:t xml:space="preserve">.</w:t>
      </w:r>
    </w:p>
    <w:p>
      <w:pPr>
        <w:pStyle w:val="Compact"/>
        <w:numPr>
          <w:ilvl w:val="0"/>
          <w:numId w:val="1039"/>
        </w:numPr>
      </w:pPr>
      <w:r>
        <w:rPr>
          <w:b/>
          <w:bCs/>
        </w:rPr>
        <w:t xml:space="preserve">Outputs</w:t>
      </w:r>
      <w:r>
        <w:t xml:space="preserve">:</w:t>
      </w:r>
    </w:p>
    <w:p>
      <w:pPr>
        <w:pStyle w:val="Compact"/>
        <w:numPr>
          <w:ilvl w:val="1"/>
          <w:numId w:val="1041"/>
        </w:numPr>
      </w:pPr>
      <w:r>
        <w:rPr>
          <w:rStyle w:val="VerbatimChar"/>
        </w:rPr>
        <w:t xml:space="preserve">chr7.HDAC9.vcf</w:t>
      </w:r>
      <w:r>
        <w:t xml:space="preserve">: VCF file, restrained to HDAC9 region with affiliated SNPs.</w:t>
      </w:r>
    </w:p>
    <w:p>
      <w:pPr>
        <w:pStyle w:val="Compact"/>
        <w:numPr>
          <w:ilvl w:val="0"/>
          <w:numId w:val="1039"/>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42"/>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42"/>
        </w:numPr>
      </w:pPr>
      <w:r>
        <w:t xml:space="preserve">SNPs were extracted using</w:t>
      </w:r>
      <w:r>
        <w:t xml:space="preserve"> </w:t>
      </w:r>
      <w:r>
        <w:rPr>
          <w:rStyle w:val="VerbatimChar"/>
        </w:rPr>
        <w:t xml:space="preserve">bcftools view</w:t>
      </w:r>
      <w:r>
        <w:t xml:space="preserve">, with shell script</w:t>
      </w:r>
      <w:r>
        <w:t xml:space="preserve"> </w:t>
      </w:r>
      <w:hyperlink r:id="rId120">
        <w:r>
          <w:rPr>
            <w:rStyle w:val="Hyperlink"/>
          </w:rPr>
          <w:t xml:space="preserve">extract_variants.sh</w:t>
        </w:r>
      </w:hyperlink>
      <w:r>
        <w:rPr>
          <w:rStyle w:val="FootnoteReference"/>
        </w:rPr>
        <w:footnoteReference w:id="121"/>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43"/>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22"/>
    <w:bookmarkEnd w:id="123"/>
    <w:bookmarkEnd w:id="124"/>
    <w:bookmarkStart w:id="152" w:name="step-3-gwas-analyses"/>
    <w:p>
      <w:pPr>
        <w:pStyle w:val="Heading3"/>
      </w:pPr>
      <w:r>
        <w:t xml:space="preserve">1.3.5 Step 3: GWAS Analyses</w:t>
      </w:r>
    </w:p>
    <w:bookmarkStart w:id="133" w:name="sec-GWAS"/>
    <w:p>
      <w:pPr>
        <w:pStyle w:val="Heading4"/>
      </w:pPr>
      <w:r>
        <w:t xml:space="preserve">1.3.5.1 i) GLM and GWAS</w:t>
      </w:r>
    </w:p>
    <w:p>
      <w:pPr>
        <w:numPr>
          <w:ilvl w:val="0"/>
          <w:numId w:val="1044"/>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1.6</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44"/>
        </w:numPr>
      </w:pPr>
      <w:r>
        <w:rPr>
          <w:b/>
          <w:bCs/>
        </w:rPr>
        <w:t xml:space="preserve">Input</w:t>
      </w:r>
      <w:r>
        <w:t xml:space="preserve">:</w:t>
      </w:r>
    </w:p>
    <w:p>
      <w:pPr>
        <w:pStyle w:val="Compact"/>
        <w:numPr>
          <w:ilvl w:val="1"/>
          <w:numId w:val="1045"/>
        </w:numPr>
      </w:pPr>
      <w:r>
        <w:rPr>
          <w:rStyle w:val="VerbatimChar"/>
        </w:rPr>
        <w:t xml:space="preserve">VCF</w:t>
      </w:r>
      <w:r>
        <w:t xml:space="preserve"> </w:t>
      </w:r>
      <w:r>
        <w:t xml:space="preserve">file on the region/gene of interest</w:t>
      </w:r>
    </w:p>
    <w:p>
      <w:pPr>
        <w:pStyle w:val="Compact"/>
        <w:numPr>
          <w:ilvl w:val="1"/>
          <w:numId w:val="1045"/>
        </w:numPr>
      </w:pPr>
      <w:r>
        <w:t xml:space="preserve">Phenotypes, with individual patient IDs.</w:t>
      </w:r>
    </w:p>
    <w:p>
      <w:pPr>
        <w:pStyle w:val="Compact"/>
        <w:numPr>
          <w:ilvl w:val="1"/>
          <w:numId w:val="1045"/>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28" w:name="lst-glm-bash"/>
          <w:p>
            <w:pPr>
              <w:jc w:val="center"/>
            </w:pPr>
            <w:pPr>
              <w:jc w:val="start"/>
              <w:spacing w:before="200"/>
              <w:pStyle w:val="ImageCaption"/>
            </w:pPr>
            <w:r>
              <w:t xml:space="preserve">Listing 1.6</w:t>
            </w:r>
          </w:p>
          <w:p>
            <w:pPr>
              <w:jc w:val="center"/>
            </w:pPr>
            <w:r>
              <w:rPr>
                <w:b/>
                <w:bCs/>
              </w:rPr>
              <w:t xml:space="preserve">Template GLM instruction for GWAS studies:</w:t>
            </w:r>
          </w:p>
          <w:bookmarkStart w:id="125" w:name="annotated-cell-38"/>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25"/>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26"/>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27"/>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28"/>
        </w:tc>
      </w:tr>
    </w:tbl>
    <w:p>
      <w:pPr>
        <w:pStyle w:val="FirstParagraph"/>
      </w:pPr>
      <w:r>
        <w:t xml:space="preserve">In practice, run the</w:t>
      </w:r>
      <w:r>
        <w:t xml:space="preserve"> </w:t>
      </w:r>
      <w:hyperlink r:id="rId129">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6"/>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30"/>
      </w:r>
    </w:p>
    <w:p>
      <w:pPr>
        <w:numPr>
          <w:ilvl w:val="0"/>
          <w:numId w:val="1046"/>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6"/>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32">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33"/>
    <w:bookmarkStart w:id="142"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34"/>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36"/>
      </w:r>
      <w:r>
        <w:t xml:space="preserve">, and</w:t>
      </w:r>
      <w:r>
        <w:t xml:space="preserve"> </w:t>
      </w:r>
      <w:r>
        <w:rPr>
          <w:b/>
          <w:bCs/>
        </w:rPr>
        <w:t xml:space="preserve">QQplots</w:t>
      </w:r>
      <w:r>
        <w:rPr>
          <w:rStyle w:val="FootnoteReference"/>
        </w:rPr>
        <w:footnoteReference w:id="138"/>
      </w:r>
      <w:r>
        <w:t xml:space="preserve">. Core function for generating these 3 GWAS visualisations is</w:t>
      </w:r>
      <w:r>
        <w:t xml:space="preserve"> </w:t>
      </w:r>
      <w:hyperlink r:id="rId140">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w:t>
      </w:r>
      <w:r>
        <w:rPr>
          <w:rStyle w:val="StringTok"/>
        </w:rPr>
        <w:t xml:space="preserve">"2025-04-07"</w:t>
      </w:r>
      <w:r>
        <w:rPr>
          <w:rStyle w:val="NormalTok"/>
        </w:rPr>
        <w:t xml:space="preserve">, </w:t>
      </w:r>
      <w:r>
        <w:rPr>
          <w:rStyle w:val="AttributeTok"/>
        </w:rPr>
        <w:t xml:space="preserve">pval_threshold =</w:t>
      </w:r>
      <w:r>
        <w:rPr>
          <w:rStyle w:val="NormalTok"/>
        </w:rPr>
        <w:t xml:space="preserve"> </w:t>
      </w:r>
      <w:r>
        <w:rPr>
          <w:rStyle w:val="FloatTok"/>
        </w:rPr>
        <w:t xml:space="preserve">0.001</w:t>
      </w:r>
      <w:r>
        <w:rPr>
          <w:rStyle w:val="NormalTok"/>
        </w:rPr>
        <w:t xml:space="preserve">))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41" w:name="fig-GWAS-HDAC9"/>
          <w:p>
            <w:pPr>
              <w:jc w:val="center"/>
            </w:pPr>
            <w:pPr>
              <w:jc w:val="start"/>
              <w:spacing w:before="200"/>
              <w:pStyle w:val="ImageCaption"/>
            </w:pPr>
            <w:r>
              <w:t xml:space="preserve">Figure 1.3</w:t>
            </w:r>
          </w:p>
          <w:bookmarkEnd w:id="141"/>
        </w:tc>
      </w:tr>
    </w:tbl>
    <w:bookmarkEnd w:id="142"/>
    <w:bookmarkStart w:id="151"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7"/>
        </w:numPr>
      </w:pPr>
      <w:r>
        <w:rPr>
          <w:b/>
          <w:bCs/>
        </w:rPr>
        <w:t xml:space="preserve">Perspectives</w:t>
      </w:r>
      <w:r>
        <w:t xml:space="preserve">:</w:t>
      </w:r>
    </w:p>
    <w:p>
      <w:pPr>
        <w:pStyle w:val="Compact"/>
        <w:numPr>
          <w:ilvl w:val="1"/>
          <w:numId w:val="1048"/>
        </w:numPr>
      </w:pPr>
      <w:hyperlink r:id="rId143">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8"/>
        </w:numPr>
      </w:pPr>
      <w:hyperlink r:id="rId144">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8"/>
        </w:numPr>
      </w:pPr>
      <w:hyperlink r:id="rId145">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7" name="Picture"/>
                  <a:graphic>
                    <a:graphicData uri="http://schemas.openxmlformats.org/drawingml/2006/picture">
                      <pic:pic>
                        <pic:nvPicPr>
                          <pic:cNvPr descr="/opt/quarto/share/formats/docx/note.png" id="148" name="Picture"/>
                          <pic:cNvPicPr>
                            <a:picLocks noChangeArrowheads="1" noChangeAspect="1"/>
                          </pic:cNvPicPr>
                        </pic:nvPicPr>
                        <pic:blipFill>
                          <a:blip r:embed="rId1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9"/>
              </w:numPr>
            </w:pPr>
            <w:r>
              <w:rPr>
                <w:i/>
                <w:iCs/>
              </w:rPr>
              <w:t xml:space="preserve">Fixed sequential</w:t>
            </w:r>
            <w:r>
              <w:t xml:space="preserve">: no adjustment as long as H0s are rejected. One non-rejection and it stops testing with all others non-rejected.</w:t>
            </w:r>
          </w:p>
          <w:p>
            <w:pPr>
              <w:numPr>
                <w:ilvl w:val="0"/>
                <w:numId w:val="1049"/>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9"/>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9">
              <w:r>
                <w:rPr>
                  <w:rStyle w:val="VerbatimChar"/>
                </w:rPr>
                <w:t xml:space="preserve">gMCPLite</w:t>
              </w:r>
            </w:hyperlink>
            <w:r>
              <w:t xml:space="preserve">. See also</w:t>
            </w:r>
            <w:r>
              <w:t xml:space="preserve"> </w:t>
            </w:r>
            <w:hyperlink r:id="rId150">
              <w:r>
                <w:rPr>
                  <w:rStyle w:val="Hyperlink"/>
                </w:rPr>
                <w:t xml:space="preserve">Graphical Approaches to Multiple Test Problems</w:t>
              </w:r>
            </w:hyperlink>
            <w:r>
              <w:t xml:space="preserve">, for additional details.</w:t>
            </w:r>
          </w:p>
        </w:tc>
      </w:tr>
    </w:tbl>
    <w:bookmarkEnd w:id="151"/>
    <w:bookmarkEnd w:id="152"/>
    <w:bookmarkEnd w:id="153"/>
    <w:bookmarkStart w:id="185" w:name="perspectives-aka-post-gwas"/>
    <w:p>
      <w:pPr>
        <w:pStyle w:val="Heading2"/>
      </w:pPr>
      <w:r>
        <w:t xml:space="preserve">1.4 Perspectives, aka post GWAS</w:t>
      </w:r>
    </w:p>
    <w:bookmarkStart w:id="155" w:name="post-hoc-gwas"/>
    <w:p>
      <w:pPr>
        <w:pStyle w:val="Heading3"/>
      </w:pPr>
      <w:r>
        <w:t xml:space="preserve">1.4.1 Post-hoc GWAS</w:t>
      </w:r>
    </w:p>
    <w:p>
      <w:pPr>
        <w:pStyle w:val="Compact"/>
        <w:numPr>
          <w:ilvl w:val="0"/>
          <w:numId w:val="1050"/>
        </w:numPr>
      </w:pPr>
      <w:hyperlink r:id="rId154">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55"/>
    <w:bookmarkStart w:id="160" w:name="X5d1252e9c9d07666301903ef62ed93b26cc2541"/>
    <w:p>
      <w:pPr>
        <w:pStyle w:val="Heading3"/>
      </w:pPr>
      <w:r>
        <w:t xml:space="preserve">1.4.2 Explore non-coding and regulatory regions (from WES to WGS)</w:t>
      </w:r>
    </w:p>
    <w:p>
      <w:pPr>
        <w:numPr>
          <w:ilvl w:val="0"/>
          <w:numId w:val="1051"/>
        </w:numPr>
      </w:pPr>
      <w:r>
        <w:t xml:space="preserve">Paper</w:t>
      </w:r>
      <w:r>
        <w:t xml:space="preserve"> </w:t>
      </w:r>
      <w:hyperlink r:id="rId156">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51"/>
        </w:numPr>
      </w:pPr>
      <w:hyperlink r:id="rId157">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58">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51"/>
        </w:numPr>
      </w:pPr>
      <w:r>
        <w:t xml:space="preserve">Automatically extract and annotate variants, based on their locations, using</w:t>
      </w:r>
      <w:r>
        <w:t xml:space="preserve"> </w:t>
      </w:r>
      <w:hyperlink r:id="rId159">
        <w:r>
          <w:rPr>
            <w:rStyle w:val="VerbatimChar"/>
          </w:rPr>
          <w:t xml:space="preserve">VariantAnnotation::locateVariants()</w:t>
        </w:r>
      </w:hyperlink>
      <w:r>
        <w:t xml:space="preserve"> </w:t>
      </w:r>
      <w:r>
        <w:t xml:space="preserve">function. Variants annotations notably encompass coding, UTRs, introns and promoters.</w:t>
      </w:r>
    </w:p>
    <w:bookmarkEnd w:id="160"/>
    <w:bookmarkStart w:id="165" w:name="Xa57af85eb3d1d421d0c466d759c96d1536197ad"/>
    <w:p>
      <w:pPr>
        <w:pStyle w:val="Heading3"/>
      </w:pPr>
      <w:r>
        <w:t xml:space="preserve">1.4.3 Post-GWAS: Explore other types of genetic variations</w:t>
      </w:r>
    </w:p>
    <w:p>
      <w:pPr>
        <w:numPr>
          <w:ilvl w:val="0"/>
          <w:numId w:val="1052"/>
        </w:numPr>
      </w:pPr>
      <w:hyperlink r:id="rId161">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52"/>
        </w:numPr>
      </w:pPr>
      <w:hyperlink r:id="rId162">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52"/>
        </w:numPr>
      </w:pPr>
      <w:r>
        <w:t xml:space="preserve">The</w:t>
      </w:r>
      <w:r>
        <w:t xml:space="preserve"> </w:t>
      </w:r>
      <w:hyperlink r:id="rId163">
        <w:r>
          <w:rPr>
            <w:rStyle w:val="Hyperlink"/>
          </w:rPr>
          <w:t xml:space="preserve">VariantAnnotation::predictCoding</w:t>
        </w:r>
      </w:hyperlink>
      <w:r>
        <w:t xml:space="preserve"> </w:t>
      </w:r>
      <w:r>
        <w:t xml:space="preserve">computes amino acid coding changes for non-synonymous variants, while the</w:t>
      </w:r>
      <w:r>
        <w:t xml:space="preserve"> </w:t>
      </w:r>
      <w:hyperlink r:id="rId164">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65"/>
    <w:bookmarkStart w:id="170"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53"/>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66">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67"/>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53"/>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68">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9">
        <w:r>
          <w:rPr>
            <w:rStyle w:val="VerbatimChar"/>
          </w:rPr>
          <w:t xml:space="preserve">PhEval</w:t>
        </w:r>
      </w:hyperlink>
      <w:r>
        <w:t xml:space="preserve">.</w:t>
      </w:r>
    </w:p>
    <w:bookmarkEnd w:id="170"/>
    <w:bookmarkStart w:id="173" w:name="post-gwas-incorporate-familial-pedigrees"/>
    <w:p>
      <w:pPr>
        <w:pStyle w:val="Heading3"/>
      </w:pPr>
      <w:r>
        <w:t xml:space="preserve">1.4.5 Post-GWAS: Incorporate familial pedigrees</w:t>
      </w:r>
    </w:p>
    <w:p>
      <w:pPr>
        <w:numPr>
          <w:ilvl w:val="0"/>
          <w:numId w:val="1054"/>
        </w:numPr>
      </w:pPr>
      <w:hyperlink r:id="rId171">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54"/>
        </w:numPr>
      </w:pPr>
      <w:hyperlink r:id="rId172">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73"/>
    <w:bookmarkStart w:id="177" w:name="post-gwas-polygenic-risk-scores"/>
    <w:p>
      <w:pPr>
        <w:pStyle w:val="Heading3"/>
      </w:pPr>
      <w:r>
        <w:t xml:space="preserve">1.4.6 Post-GWAS: Polygenic risk scores</w:t>
      </w:r>
    </w:p>
    <w:p>
      <w:pPr>
        <w:numPr>
          <w:ilvl w:val="0"/>
          <w:numId w:val="1055"/>
        </w:numPr>
      </w:pPr>
      <w:hyperlink r:id="rId174">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5"/>
        </w:numPr>
      </w:pPr>
      <w:hyperlink r:id="rId175">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5"/>
        </w:numPr>
      </w:pPr>
      <w:hyperlink r:id="rId176">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77"/>
    <w:bookmarkStart w:id="184" w:name="post-gwas-orthogonal-integration"/>
    <w:p>
      <w:pPr>
        <w:pStyle w:val="Heading3"/>
      </w:pPr>
      <w:r>
        <w:t xml:space="preserve">1.4.7 Post-GWAS: Orthogonal integration</w:t>
      </w:r>
    </w:p>
    <w:bookmarkStart w:id="181" w:name="epigenomic"/>
    <w:p>
      <w:pPr>
        <w:pStyle w:val="Heading4"/>
      </w:pPr>
      <w:r>
        <w:t xml:space="preserve">1.4.7.1 Epigenomic</w:t>
      </w:r>
    </w:p>
    <w:p>
      <w:pPr>
        <w:pStyle w:val="Compact"/>
        <w:numPr>
          <w:ilvl w:val="0"/>
          <w:numId w:val="1056"/>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78">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9">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80">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81"/>
    <w:bookmarkStart w:id="183" w:name="eqtl-quantitative-expression"/>
    <w:p>
      <w:pPr>
        <w:pStyle w:val="Heading4"/>
      </w:pPr>
      <w:r>
        <w:t xml:space="preserve">1.4.7.2 eQTL (quantitative expression)</w:t>
      </w:r>
    </w:p>
    <w:p>
      <w:pPr>
        <w:pStyle w:val="Compact"/>
        <w:numPr>
          <w:ilvl w:val="0"/>
          <w:numId w:val="1057"/>
        </w:numPr>
      </w:pPr>
      <w:hyperlink r:id="rId182">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83"/>
    <w:bookmarkEnd w:id="184"/>
    <w:bookmarkEnd w:id="185"/>
    <w:bookmarkStart w:id="194" w:name="appendix"/>
    <w:p>
      <w:pPr>
        <w:pStyle w:val="Heading2"/>
      </w:pPr>
      <w:r>
        <w:t xml:space="preserve">1.5 Appendix</w:t>
      </w:r>
    </w:p>
    <w:bookmarkStart w:id="191"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8"/>
        </w:numPr>
      </w:pPr>
      <w:hyperlink r:id="rId186">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8"/>
        </w:numPr>
      </w:pPr>
      <w:r>
        <w:t xml:space="preserve">The</w:t>
      </w:r>
      <w:r>
        <w:t xml:space="preserve"> </w:t>
      </w:r>
      <w:r>
        <w:rPr>
          <w:rStyle w:val="VerbatimChar"/>
        </w:rPr>
        <w:t xml:space="preserve">Nextflow</w:t>
      </w:r>
      <w:r>
        <w:t xml:space="preserve"> </w:t>
      </w:r>
      <w:r>
        <w:t xml:space="preserve">Seqera</w:t>
      </w:r>
      <w:r>
        <w:t xml:space="preserve"> </w:t>
      </w:r>
      <w:hyperlink r:id="rId187">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88">
        <w:r>
          <w:rPr>
            <w:rStyle w:val="VerbatimChar"/>
          </w:rPr>
          <w:t xml:space="preserve">vcftools</w:t>
        </w:r>
      </w:hyperlink>
      <w:r>
        <w:t xml:space="preserve"> </w:t>
      </w:r>
      <w:r>
        <w:t xml:space="preserve">and</w:t>
      </w:r>
      <w:r>
        <w:t xml:space="preserve"> </w:t>
      </w:r>
      <w:hyperlink r:id="rId189">
        <w:r>
          <w:rPr>
            <w:rStyle w:val="VerbatimChar"/>
          </w:rPr>
          <w:t xml:space="preserve">multivcfanalyzer</w:t>
        </w:r>
      </w:hyperlink>
      <w:r>
        <w:t xml:space="preserve"> </w:t>
      </w:r>
      <w:r>
        <w:t xml:space="preserve">modules. Note however that these tools are optimised in Python.</w:t>
      </w:r>
    </w:p>
    <w:p>
      <w:pPr>
        <w:numPr>
          <w:ilvl w:val="0"/>
          <w:numId w:val="1058"/>
        </w:numPr>
      </w:pPr>
      <w:hyperlink r:id="rId190">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91"/>
    <w:bookmarkStart w:id="193" w:name="fastq-and-fasta-quality-controls"/>
    <w:p>
      <w:pPr>
        <w:pStyle w:val="Heading3"/>
      </w:pPr>
      <w:r>
        <w:t xml:space="preserve">1.5.2 FASTQ and FASTA Quality Controls</w:t>
      </w:r>
    </w:p>
    <w:p>
      <w:pPr>
        <w:pStyle w:val="Compact"/>
        <w:numPr>
          <w:ilvl w:val="0"/>
          <w:numId w:val="1059"/>
        </w:numPr>
      </w:pPr>
      <w:r>
        <w:t xml:space="preserve">The 7th chapter entitled</w:t>
      </w:r>
      <w:r>
        <w:t xml:space="preserve"> </w:t>
      </w:r>
      <w:hyperlink r:id="rId192">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93"/>
    <w:bookmarkEnd w:id="194"/>
    <w:bookmarkEnd w:id="195"/>
    <w:bookmarkStart w:id="213" w:name="cartagene-sample-size-estimation"/>
    <w:p>
      <w:pPr>
        <w:pStyle w:val="Heading1"/>
      </w:pPr>
      <w:r>
        <w:t xml:space="preserve">2. CartaGene Sample Size estimation</w:t>
      </w:r>
    </w:p>
    <w:bookmarkStart w:id="196"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p>
    <w:bookmarkEnd w:id="196"/>
    <w:bookmarkStart w:id="209" w:name="sec-vcfr"/>
    <w:p>
      <w:pPr>
        <w:pStyle w:val="Heading2"/>
      </w:pPr>
      <w:r>
        <w:t xml:space="preserve">2.2 VCF files Reporting with</w:t>
      </w:r>
      <w:r>
        <w:t xml:space="preserve"> </w:t>
      </w:r>
      <w:r>
        <w:rPr>
          <w:rStyle w:val="VerbatimChar"/>
        </w:rPr>
        <w:t xml:space="preserve">vcfR</w:t>
      </w:r>
    </w:p>
    <w:bookmarkStart w:id="197" w:name="load-vcf-files"/>
    <w:p>
      <w:pPr>
        <w:pStyle w:val="Heading3"/>
      </w:pPr>
      <w:r>
        <w:t xml:space="preserve">2.2.1 Load VCF files</w:t>
      </w:r>
    </w:p>
    <w:p>
      <w:pPr>
        <w:pStyle w:val="SourceCode"/>
      </w:pPr>
      <w:r>
        <w:rPr>
          <w:rStyle w:val="NormalTok"/>
        </w:rPr>
        <w:t xml:space="preserve">vcf_file </w:t>
      </w:r>
      <w:r>
        <w:rPr>
          <w:rStyle w:val="OtherTok"/>
        </w:rPr>
        <w:t xml:space="preserve">&lt;-</w:t>
      </w:r>
      <w:r>
        <w:rPr>
          <w:rStyle w:val="NormalTok"/>
        </w:rPr>
        <w:t xml:space="preserve"> </w:t>
      </w:r>
      <w:r>
        <w:rPr>
          <w:rStyle w:val="StringTok"/>
        </w:rPr>
        <w:t xml:space="preserve">"./data/variants/chr17.HDAC5.vcf"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91</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91</w:t>
      </w:r>
      <w:r>
        <w:br/>
      </w:r>
      <w:r>
        <w:rPr>
          <w:rStyle w:val="VerbatimChar"/>
        </w:rPr>
        <w:t xml:space="preserve">##    Character matrix gt cols: 29346</w:t>
      </w:r>
      <w:r>
        <w:br/>
      </w:r>
      <w:r>
        <w:rPr>
          <w:rStyle w:val="VerbatimChar"/>
        </w:rPr>
        <w:t xml:space="preserve">##    skip: 0</w:t>
      </w:r>
      <w:r>
        <w:br/>
      </w:r>
      <w:r>
        <w:rPr>
          <w:rStyle w:val="VerbatimChar"/>
        </w:rPr>
        <w:t xml:space="preserve">##    nrows: 91</w:t>
      </w:r>
      <w:r>
        <w:br/>
      </w:r>
      <w:r>
        <w:rPr>
          <w:rStyle w:val="VerbatimChar"/>
        </w:rPr>
        <w:t xml:space="preserve">##    row_num: 0</w:t>
      </w:r>
      <w:r>
        <w:br/>
      </w:r>
      <w:r>
        <w:rPr>
          <w:rStyle w:val="VerbatimChar"/>
        </w:rPr>
        <w:t xml:space="preserve">##  </w:t>
      </w:r>
      <w:r>
        <w:br/>
      </w:r>
      <w:r>
        <w:rPr>
          <w:rStyle w:val="VerbatimChar"/>
        </w:rPr>
        <w:t xml:space="preserve">Processed variant: 91</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1e2</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chr17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2.5</w:t>
      </w:r>
    </w:p>
    <w:p>
      <w:pPr>
        <w:pStyle w:val="SourceCode"/>
      </w:pPr>
      <w:r>
        <w:rPr>
          <w:rStyle w:val="VerbatimChar"/>
        </w:rPr>
        <w:t xml:space="preserve">##  window_init complete.</w:t>
      </w:r>
    </w:p>
    <w:p>
      <w:pPr>
        <w:pStyle w:val="SourceCode"/>
      </w:pPr>
      <w:r>
        <w:rPr>
          <w:rStyle w:val="VerbatimChar"/>
        </w:rPr>
        <w:t xml:space="preserve">##    elapsed time:  0.016</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p>
    <w:p>
      <w:pPr>
        <w:pStyle w:val="SourceCode"/>
      </w:pPr>
      <w:r>
        <w:rPr>
          <w:rStyle w:val="VerbatimChar"/>
        </w:rPr>
        <w:t xml:space="preserve">##    elapsed time:  0.009</w:t>
      </w:r>
    </w:p>
    <w:bookmarkEnd w:id="197"/>
    <w:bookmarkStart w:id="208"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202" w:name="fig-plot-qc-per-chrom-1"/>
          <w:p>
            <w:pPr>
              <w:pStyle w:val="Compact"/>
              <w:jc w:val="center"/>
            </w:pPr>
            <w:bookmarkStart w:id="201" w:name="fig-plot-qc-per-chrom-1"/>
            <w:r>
              <w:drawing>
                <wp:inline>
                  <wp:extent cx="4620126" cy="3696101"/>
                  <wp:effectExtent b="0" l="0" r="0" t="0"/>
                  <wp:docPr descr="" title="" id="199" name="Picture"/>
                  <a:graphic>
                    <a:graphicData uri="http://schemas.openxmlformats.org/drawingml/2006/picture">
                      <pic:pic>
                        <pic:nvPicPr>
                          <pic:cNvPr descr="CARTaGENE-sample-size_files/figure-docx/fig-plot-qc-per-chrom-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bookmarkEnd w:id="201"/>
          </w:p>
          <w:p>
            <w:pPr>
              <w:jc w:val="center"/>
            </w:pPr>
            <w:pPr>
              <w:jc w:val="start"/>
              <w:spacing w:before="200"/>
              <w:pStyle w:val="ImageCaption"/>
            </w:pPr>
            <w:r>
              <w:t xml:space="preserve">Figure 2.1</w:t>
            </w:r>
          </w:p>
          <w:bookmarkEnd w:id="202"/>
        </w:tc>
      </w:tr>
    </w:tbl>
    <w:tbl>
      <w:tblPr>
        <w:tblStyle w:val="Table"/>
        <w:tblW w:type="pct" w:w="5000"/>
        <w:tblLayout w:type="fixed"/>
        <w:tblLook w:firstRow="0" w:lastRow="0" w:firstColumn="0" w:lastColumn="0" w:noHBand="0" w:noVBand="0" w:val="0000"/>
      </w:tblPr>
      <w:tblGrid>
        <w:gridCol w:w="7920"/>
      </w:tblGrid>
      <w:tr>
        <w:tc>
          <w:tcPr/>
          <w:bookmarkStart w:id="207" w:name="fig-plot-qc-per-chrom-2"/>
          <w:p>
            <w:pPr>
              <w:pStyle w:val="Compact"/>
              <w:jc w:val="center"/>
            </w:pPr>
            <w:bookmarkStart w:id="206" w:name="fig-plot-qc-per-chrom-2"/>
            <w:r>
              <w:drawing>
                <wp:inline>
                  <wp:extent cx="4620126" cy="3696101"/>
                  <wp:effectExtent b="0" l="0" r="0" t="0"/>
                  <wp:docPr descr="" title="" id="204" name="Picture"/>
                  <a:graphic>
                    <a:graphicData uri="http://schemas.openxmlformats.org/drawingml/2006/picture">
                      <pic:pic>
                        <pic:nvPicPr>
                          <pic:cNvPr descr="CARTaGENE-sample-size_files/figure-docx/fig-plot-qc-per-chrom-2.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bookmarkEnd w:id="206"/>
          </w:p>
          <w:p>
            <w:pPr>
              <w:jc w:val="center"/>
            </w:pPr>
            <w:pPr>
              <w:jc w:val="start"/>
              <w:spacing w:before="200"/>
              <w:pStyle w:val="ImageCaption"/>
            </w:pPr>
            <w:r>
              <w:t xml:space="preserve">Figure 2.2</w:t>
            </w:r>
          </w:p>
          <w:bookmarkEnd w:id="207"/>
        </w:tc>
      </w:tr>
    </w:tbl>
    <w:p>
      <w:pPr>
        <w:numPr>
          <w:ilvl w:val="0"/>
          <w:numId w:val="1060"/>
        </w:numPr>
      </w:pPr>
      <w:r>
        <w:t xml:space="preserve">In vcfR we refer to this form of plot as a chromo plot. This plot summarizes data from our three data sources. Annotation data is represented on the lowest plot. Features in the annotation file (e.g., gene models, exons, etc.) are represented as dark red rectangles. Above the annotation track is a sequence track. Here called nucleotides are represented in green while uncalled nucleotides (Ns) appear in red. Depending on the quality of your genome, it may include stretches of uncalled nucleotides. Above the annotation track is a windowing analysis of G/C content. This track includes marginal barplots to summarize its contents, as do the tracks above it. The next track summarizes the number of variants per window. Above that we see dot plots for quality, mapping quality and read depth.</w:t>
      </w:r>
    </w:p>
    <w:p>
      <w:pPr>
        <w:numPr>
          <w:ilvl w:val="0"/>
          <w:numId w:val="1060"/>
        </w:numPr>
      </w:pPr>
      <w:r>
        <w:t xml:space="preserve">The raw read depth and mapping quality have been extracted from the INFO column of the VCF data. The quality is from the QUAL column of the VCF data. And the variant count per window was summarized during the windowing analysis performed by proc.chromR(). The raw read depth appears fairly continuous, an observation which appears consistent with the above chromo plots. Mapping quality appears to be predominantly one value (about 60), this may not have been apparent in the chromo plots. The variant count per window summarizes the degree of variability we’ve observed along our chromosome. The peak near zero indicates that many windows lack variants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p>
    <w:p>
      <w:pPr>
        <w:pStyle w:val="SourceCode"/>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p>
      <w:pPr>
        <w:pStyle w:val="SourceCode"/>
      </w:pP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p>
      <w:pPr>
        <w:pStyle w:val="SourceCode"/>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table</w:t>
      </w:r>
      <w:r>
        <w:rPr>
          <w:rStyle w:val="NormalTok"/>
        </w:rPr>
        <w:t xml:space="preserve">(vcf_tidy</w:t>
      </w:r>
      <w:r>
        <w:rPr>
          <w:rStyle w:val="SpecialCharTok"/>
        </w:rPr>
        <w:t xml:space="preserve">$</w:t>
      </w:r>
      <w:r>
        <w:rPr>
          <w:rStyle w:val="NormalTok"/>
        </w:rPr>
        <w:t xml:space="preserve">fix</w:t>
      </w:r>
      <w:r>
        <w:rPr>
          <w:rStyle w:val="SpecialCharTok"/>
        </w:rPr>
        <w:t xml:space="preserve">$</w:t>
      </w:r>
      <w:r>
        <w:rPr>
          <w:rStyle w:val="NormalTok"/>
        </w:rPr>
        <w:t xml:space="preserve">TYPED_ONLY)</w:t>
      </w:r>
    </w:p>
    <w:p>
      <w:pPr>
        <w:pStyle w:val="FirstParagraph"/>
      </w:pPr>
      <w:r>
        <w:t xml:space="preserve">https://knausb.github.io/vcfR_documentation/visualization_1.html</w:t>
      </w:r>
    </w:p>
    <w:bookmarkEnd w:id="208"/>
    <w:bookmarkEnd w:id="209"/>
    <w:bookmarkStart w:id="210" w:name="vcf-files-qc-with-variantannotation"/>
    <w:p>
      <w:pPr>
        <w:pStyle w:val="Heading2"/>
      </w:pPr>
      <w:r>
        <w:t xml:space="preserve">2.3 VCF Files QC with</w:t>
      </w:r>
      <w:r>
        <w:t xml:space="preserve"> </w:t>
      </w:r>
      <w:r>
        <w:rPr>
          <w:rStyle w:val="VerbatimChar"/>
        </w:rPr>
        <w:t xml:space="preserve">VariantAnnotation</w:t>
      </w:r>
    </w:p>
    <w:p>
      <w:pPr>
        <w:pStyle w:val="Compact"/>
        <w:numPr>
          <w:ilvl w:val="0"/>
          <w:numId w:val="1061"/>
        </w:numPr>
      </w:pPr>
      <w:r>
        <w:rPr>
          <w:color w:val="red"/>
        </w:rPr>
        <w:t>
          <w:r>
            <w:rPr>
              <w:rStyle w:val="VerbatimChar"/>
            </w:rPr>
            <w:t xml:space="preserve">VariantAnnotation</w:t>
          </w:r>
          <w:r>
            <w:t xml:space="preserve"> </w:t>
          </w:r>
          <w:r>
            <w:t xml:space="preserve">provides more comprehensive features with respect to</w:t>
          </w:r>
          <w:r>
            <w:t xml:space="preserve"> </w:t>
          </w:r>
          <w:hyperlink w:anchor="sec-vcfr">
            <w:r>
              <w:rPr>
                <w:rStyle w:val="Hyperlink"/>
              </w:rPr>
              <w:t xml:space="preserve">Section 2.2</w:t>
            </w:r>
          </w:hyperlink>
          <w:r>
            <w:t xml:space="preserve">, yet, relies on external dependencies such as</w:t>
          </w:r>
          <w:r>
            <w:t xml:space="preserve"> </w:t>
          </w:r>
          <w:r>
            <w:rPr>
              <w:rStyle w:val="VerbatimChar"/>
            </w:rPr>
            <w:t xml:space="preserve">bfctools</w:t>
          </w:r>
          <w:r>
            <w:t xml:space="preserve">, and often faces memory limitations.</w:t>
          </w:r>
        </w:t>
      </w:r>
    </w:p>
    <w:p>
      <w:pPr>
        <w:pStyle w:val="SourceCode"/>
      </w:pPr>
      <w:r>
        <w:rPr>
          <w:rStyle w:val="NormalTok"/>
        </w:rPr>
        <w:t xml:space="preserve">vcf </w:t>
      </w:r>
      <w:r>
        <w:rPr>
          <w:rStyle w:val="OtherTok"/>
        </w:rPr>
        <w:t xml:space="preserve">&lt;-</w:t>
      </w:r>
      <w:r>
        <w:rPr>
          <w:rStyle w:val="NormalTok"/>
        </w:rPr>
        <w:t xml:space="preserve"> VariantAnnotation</w:t>
      </w:r>
      <w:r>
        <w:rPr>
          <w:rStyle w:val="SpecialCharTok"/>
        </w:rPr>
        <w:t xml:space="preserve">::</w:t>
      </w:r>
      <w:r>
        <w:rPr>
          <w:rStyle w:val="FunctionTok"/>
        </w:rPr>
        <w:t xml:space="preserve">readVcf</w:t>
      </w:r>
      <w:r>
        <w:rPr>
          <w:rStyle w:val="NormalTok"/>
        </w:rPr>
        <w:t xml:space="preserve">(</w:t>
      </w:r>
      <w:r>
        <w:rPr>
          <w:rStyle w:val="AttributeTok"/>
        </w:rPr>
        <w:t xml:space="preserve">file =</w:t>
      </w:r>
      <w:r>
        <w:rPr>
          <w:rStyle w:val="NormalTok"/>
        </w:rPr>
        <w:t xml:space="preserve"> </w:t>
      </w:r>
      <w:r>
        <w:rPr>
          <w:rStyle w:val="StringTok"/>
        </w:rPr>
        <w:t xml:space="preserve">"./data/variants/chr6.HLA-A.vcf"</w:t>
      </w:r>
      <w:r>
        <w:rPr>
          <w:rStyle w:val="NormalTok"/>
        </w:rPr>
        <w:t xml:space="preserve">, </w:t>
      </w:r>
      <w:r>
        <w:br/>
      </w:r>
      <w:r>
        <w:rPr>
          <w:rStyle w:val="NormalTok"/>
        </w:rPr>
        <w:t xml:space="preserve">                                  </w:t>
      </w:r>
      <w:r>
        <w:rPr>
          <w:rStyle w:val="AttributeTok"/>
        </w:rPr>
        <w:t xml:space="preserve">genome =</w:t>
      </w:r>
      <w:r>
        <w:rPr>
          <w:rStyle w:val="NormalTok"/>
        </w:rPr>
        <w:t xml:space="preserve"> </w:t>
      </w:r>
      <w:r>
        <w:rPr>
          <w:rStyle w:val="StringTok"/>
        </w:rPr>
        <w:t xml:space="preserve">"hg38"</w:t>
      </w:r>
      <w:r>
        <w:rPr>
          <w:rStyle w:val="NormalTok"/>
        </w:rPr>
        <w:t xml:space="preserve">)</w:t>
      </w:r>
      <w:r>
        <w:br/>
      </w:r>
      <w:r>
        <w:br/>
      </w:r>
      <w:r>
        <w:rPr>
          <w:rStyle w:val="CommentTok"/>
        </w:rPr>
        <w:t xml:space="preserve"># General vcf file structure ----</w:t>
      </w:r>
      <w:r>
        <w:br/>
      </w:r>
      <w:r>
        <w:br/>
      </w:r>
      <w:r>
        <w:rPr>
          <w:rStyle w:val="NormalTok"/>
        </w:rPr>
        <w:t xml:space="preserve">VariantAnnotation</w:t>
      </w:r>
      <w:r>
        <w:rPr>
          <w:rStyle w:val="SpecialCharTok"/>
        </w:rPr>
        <w:t xml:space="preserve">::</w:t>
      </w:r>
      <w:r>
        <w:rPr>
          <w:rStyle w:val="FunctionTok"/>
        </w:rPr>
        <w:t xml:space="preserve">header</w:t>
      </w:r>
      <w:r>
        <w:rPr>
          <w:rStyle w:val="NormalTok"/>
        </w:rPr>
        <w:t xml:space="preserve">(vcf)</w:t>
      </w:r>
      <w:r>
        <w:br/>
      </w:r>
      <w:r>
        <w:rPr>
          <w:rStyle w:val="NormalTok"/>
        </w:rPr>
        <w:t xml:space="preserve">VariantAnnotation</w:t>
      </w:r>
      <w:r>
        <w:rPr>
          <w:rStyle w:val="SpecialCharTok"/>
        </w:rPr>
        <w:t xml:space="preserve">::</w:t>
      </w:r>
      <w:r>
        <w:rPr>
          <w:rStyle w:val="FunctionTok"/>
        </w:rPr>
        <w:t xml:space="preserve">samples</w:t>
      </w:r>
      <w:r>
        <w:rPr>
          <w:rStyle w:val="NormalTok"/>
        </w:rPr>
        <w:t xml:space="preserve">(VariantAnnotation</w:t>
      </w:r>
      <w:r>
        <w:rPr>
          <w:rStyle w:val="SpecialCharTok"/>
        </w:rPr>
        <w:t xml:space="preserve">::</w:t>
      </w:r>
      <w:r>
        <w:rPr>
          <w:rStyle w:val="FunctionTok"/>
        </w:rPr>
        <w:t xml:space="preserve">header</w:t>
      </w:r>
      <w:r>
        <w:rPr>
          <w:rStyle w:val="NormalTok"/>
        </w:rPr>
        <w:t xml:space="preserve">(vcf))</w:t>
      </w:r>
      <w:r>
        <w:br/>
      </w:r>
      <w:r>
        <w:rPr>
          <w:rStyle w:val="NormalTok"/>
        </w:rPr>
        <w:t xml:space="preserve">VariantAnnotation</w:t>
      </w:r>
      <w:r>
        <w:rPr>
          <w:rStyle w:val="SpecialCharTok"/>
        </w:rPr>
        <w:t xml:space="preserve">::</w:t>
      </w:r>
      <w:r>
        <w:rPr>
          <w:rStyle w:val="FunctionTok"/>
        </w:rPr>
        <w:t xml:space="preserve">geno</w:t>
      </w:r>
      <w:r>
        <w:rPr>
          <w:rStyle w:val="NormalTok"/>
        </w:rPr>
        <w:t xml:space="preserve">(VariantAnnotation</w:t>
      </w:r>
      <w:r>
        <w:rPr>
          <w:rStyle w:val="SpecialCharTok"/>
        </w:rPr>
        <w:t xml:space="preserve">::</w:t>
      </w:r>
      <w:r>
        <w:rPr>
          <w:rStyle w:val="FunctionTok"/>
        </w:rPr>
        <w:t xml:space="preserve">header</w:t>
      </w:r>
      <w:r>
        <w:rPr>
          <w:rStyle w:val="NormalTok"/>
        </w:rPr>
        <w:t xml:space="preserve">(vcf))</w:t>
      </w:r>
      <w:r>
        <w:br/>
      </w:r>
      <w:r>
        <w:br/>
      </w:r>
      <w:r>
        <w:rPr>
          <w:rStyle w:val="CommentTok"/>
        </w:rPr>
        <w:t xml:space="preserve"># Variant-specific fields, such as alternative allele configurations</w:t>
      </w:r>
      <w:r>
        <w:br/>
      </w:r>
      <w:r>
        <w:rPr>
          <w:rStyle w:val="NormalTok"/>
        </w:rPr>
        <w:t xml:space="preserve">VariantAnnotation</w:t>
      </w:r>
      <w:r>
        <w:rPr>
          <w:rStyle w:val="SpecialCharTok"/>
        </w:rPr>
        <w:t xml:space="preserve">::</w:t>
      </w:r>
      <w:r>
        <w:rPr>
          <w:rStyle w:val="FunctionTok"/>
        </w:rPr>
        <w:t xml:space="preserve">alt</w:t>
      </w:r>
      <w:r>
        <w:rPr>
          <w:rStyle w:val="NormalTok"/>
        </w:rPr>
        <w:t xml:space="preserve">(vcf)[</w:t>
      </w:r>
      <w:r>
        <w:rPr>
          <w:rStyle w:val="DecValTok"/>
        </w:rPr>
        <w:t xml:space="preserve">1</w:t>
      </w:r>
      <w:r>
        <w:rPr>
          <w:rStyle w:val="SpecialCharTok"/>
        </w:rPr>
        <w:t xml:space="preserve">:</w:t>
      </w:r>
      <w:r>
        <w:rPr>
          <w:rStyle w:val="DecValTok"/>
        </w:rPr>
        <w:t xml:space="preserve">5</w:t>
      </w:r>
      <w:r>
        <w:rPr>
          <w:rStyle w:val="NormalTok"/>
        </w:rPr>
        <w:t xml:space="preserve">]</w:t>
      </w:r>
    </w:p>
    <w:bookmarkEnd w:id="210"/>
    <w:bookmarkStart w:id="212" w:name="additional-resources"/>
    <w:p>
      <w:pPr>
        <w:pStyle w:val="Heading2"/>
      </w:pPr>
      <w:r>
        <w:t xml:space="preserve">2.4 Additional resources</w:t>
      </w:r>
    </w:p>
    <w:p>
      <w:pPr>
        <w:numPr>
          <w:ilvl w:val="0"/>
          <w:numId w:val="1062"/>
        </w:numPr>
      </w:pPr>
      <w:hyperlink r:id="rId211">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is able to detect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pStyle w:val="Compact"/>
        <w:numPr>
          <w:ilvl w:val="1"/>
          <w:numId w:val="1063"/>
        </w:numPr>
      </w:pPr>
      <w:r>
        <w:t xml:space="preserve">Provides as well a comprehensive tutorial for retrieving variants annotations.</w:t>
      </w:r>
    </w:p>
    <w:p>
      <w:pPr>
        <w:pStyle w:val="Compact"/>
        <w:numPr>
          <w:ilvl w:val="1"/>
          <w:numId w:val="1063"/>
        </w:numPr>
      </w:pPr>
      <w:r>
        <w:t xml:space="preserve">QC plots with the</w:t>
      </w:r>
      <w:r>
        <w:t xml:space="preserve"> </w:t>
      </w:r>
      <w:r>
        <w:rPr>
          <w:rStyle w:val="VerbatimChar"/>
        </w:rPr>
        <w:t xml:space="preserve">vcfR</w:t>
      </w:r>
      <w:r>
        <w:t xml:space="preserve"> </w:t>
      </w:r>
      <w:r>
        <w:t xml:space="preserve">package.</w:t>
      </w:r>
    </w:p>
    <w:bookmarkEnd w:id="212"/>
    <w:bookmarkEnd w:id="213"/>
    <w:bookmarkStart w:id="218" w:name="tools-installation"/>
    <w:p>
      <w:pPr>
        <w:pStyle w:val="Heading1"/>
      </w:pPr>
      <w:r>
        <w:t xml:space="preserve">Appendix A — Tools installation</w:t>
      </w:r>
    </w:p>
    <w:bookmarkStart w:id="217" w:name="sec-tools-install"/>
    <w:p>
      <w:pPr>
        <w:pStyle w:val="Heading2"/>
      </w:pPr>
      <w:r>
        <w:t xml:space="preserve">A.1 Build from scratch command-line GWAS tools</w:t>
      </w:r>
    </w:p>
    <w:bookmarkStart w:id="214"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14"/>
    <w:bookmarkStart w:id="215"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15"/>
    <w:bookmarkStart w:id="216"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16"/>
    <w:bookmarkEnd w:id="217"/>
    <w:bookmarkEnd w:id="218"/>
    <w:bookmarkStart w:id="266" w:name="bibliographic-references"/>
    <w:p>
      <w:pPr>
        <w:pStyle w:val="Heading1"/>
      </w:pPr>
      <w:r>
        <w:t xml:space="preserve">Bibliographic References</w:t>
      </w:r>
    </w:p>
    <w:bookmarkStart w:id="265" w:name="refs"/>
    <w:bookmarkStart w:id="220"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19">
        <w:r>
          <w:rPr>
            <w:rStyle w:val="Hyperlink"/>
          </w:rPr>
          <w:t xml:space="preserve">https://doi.org/10.1186/s12864-025-11344-z</w:t>
        </w:r>
      </w:hyperlink>
      <w:r>
        <w:t xml:space="preserve">.</w:t>
      </w:r>
    </w:p>
    <w:bookmarkEnd w:id="220"/>
    <w:bookmarkStart w:id="221"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7">
        <w:r>
          <w:rPr>
            <w:rStyle w:val="Hyperlink"/>
          </w:rPr>
          <w:t xml:space="preserve">https://doi.org/10.1093/ije/dys160</w:t>
        </w:r>
      </w:hyperlink>
      <w:r>
        <w:t xml:space="preserve">.</w:t>
      </w:r>
    </w:p>
    <w:bookmarkEnd w:id="221"/>
    <w:bookmarkStart w:id="223"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22">
        <w:r>
          <w:rPr>
            <w:rStyle w:val="Hyperlink"/>
          </w:rPr>
          <w:t xml:space="preserve">https://doi.org/10.1201/9781420010909</w:t>
        </w:r>
      </w:hyperlink>
      <w:r>
        <w:t xml:space="preserve">.</w:t>
      </w:r>
    </w:p>
    <w:bookmarkEnd w:id="223"/>
    <w:bookmarkStart w:id="225"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24">
        <w:r>
          <w:rPr>
            <w:rStyle w:val="Hyperlink"/>
          </w:rPr>
          <w:t xml:space="preserve">https://doi.org/10.1186/s12859-025-06105-4</w:t>
        </w:r>
      </w:hyperlink>
      <w:r>
        <w:t xml:space="preserve">.</w:t>
      </w:r>
    </w:p>
    <w:bookmarkEnd w:id="225"/>
    <w:bookmarkStart w:id="227"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26">
        <w:r>
          <w:rPr>
            <w:rStyle w:val="Hyperlink"/>
          </w:rPr>
          <w:t xml:space="preserve">https://doi.org/10.1093/bioinformatics/btaf071</w:t>
        </w:r>
      </w:hyperlink>
      <w:r>
        <w:t xml:space="preserve">.</w:t>
      </w:r>
    </w:p>
    <w:bookmarkEnd w:id="227"/>
    <w:bookmarkStart w:id="229"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28">
        <w:r>
          <w:rPr>
            <w:rStyle w:val="Hyperlink"/>
          </w:rPr>
          <w:t xml:space="preserve">https://doi.org/10.1186/s12859-025-06096-2</w:t>
        </w:r>
      </w:hyperlink>
      <w:r>
        <w:t xml:space="preserve">.</w:t>
      </w:r>
    </w:p>
    <w:bookmarkEnd w:id="229"/>
    <w:bookmarkStart w:id="231"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30">
        <w:r>
          <w:rPr>
            <w:rStyle w:val="Hyperlink"/>
          </w:rPr>
          <w:t xml:space="preserve">https://doi.org/10.1038/s41576-024-00778-y</w:t>
        </w:r>
      </w:hyperlink>
      <w:r>
        <w:t xml:space="preserve">.</w:t>
      </w:r>
    </w:p>
    <w:bookmarkEnd w:id="231"/>
    <w:bookmarkStart w:id="232"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4">
        <w:r>
          <w:rPr>
            <w:rStyle w:val="Hyperlink"/>
          </w:rPr>
          <w:t xml:space="preserve">https://doi.org/10.1007/978-1-62703-447-0_6</w:t>
        </w:r>
      </w:hyperlink>
      <w:r>
        <w:t xml:space="preserve">.</w:t>
      </w:r>
    </w:p>
    <w:bookmarkEnd w:id="232"/>
    <w:bookmarkStart w:id="234"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33">
        <w:r>
          <w:rPr>
            <w:rStyle w:val="Hyperlink"/>
          </w:rPr>
          <w:t xml:space="preserve">https://doi.org/10.1093/bioinformatics/btaf143</w:t>
        </w:r>
      </w:hyperlink>
      <w:r>
        <w:t xml:space="preserve">.</w:t>
      </w:r>
    </w:p>
    <w:bookmarkEnd w:id="234"/>
    <w:bookmarkStart w:id="236"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35">
        <w:r>
          <w:rPr>
            <w:rStyle w:val="Hyperlink"/>
          </w:rPr>
          <w:t xml:space="preserve">https://doi.org/10.1371/journal.pcbi.1004219</w:t>
        </w:r>
      </w:hyperlink>
      <w:r>
        <w:t xml:space="preserve">.</w:t>
      </w:r>
    </w:p>
    <w:bookmarkEnd w:id="236"/>
    <w:bookmarkStart w:id="238"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37">
        <w:r>
          <w:rPr>
            <w:rStyle w:val="Hyperlink"/>
          </w:rPr>
          <w:t xml:space="preserve">https://doi.org/10.1101/2024.08.01.606099</w:t>
        </w:r>
      </w:hyperlink>
      <w:r>
        <w:t xml:space="preserve">.</w:t>
      </w:r>
    </w:p>
    <w:bookmarkEnd w:id="238"/>
    <w:bookmarkStart w:id="240"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39">
        <w:r>
          <w:rPr>
            <w:rStyle w:val="Hyperlink"/>
          </w:rPr>
          <w:t xml:space="preserve">https://doi.org/10.1186/1471-2156-9-36</w:t>
        </w:r>
      </w:hyperlink>
      <w:r>
        <w:t xml:space="preserve">.</w:t>
      </w:r>
    </w:p>
    <w:bookmarkEnd w:id="240"/>
    <w:bookmarkStart w:id="242"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41">
        <w:r>
          <w:rPr>
            <w:rStyle w:val="Hyperlink"/>
          </w:rPr>
          <w:t xml:space="preserve">https://doi.org/10.1159/000508558</w:t>
        </w:r>
      </w:hyperlink>
      <w:r>
        <w:t xml:space="preserve">.</w:t>
      </w:r>
    </w:p>
    <w:bookmarkEnd w:id="242"/>
    <w:bookmarkStart w:id="244"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43">
        <w:r>
          <w:rPr>
            <w:rStyle w:val="Hyperlink"/>
          </w:rPr>
          <w:t xml:space="preserve">https://doi.org/10.1038/s41588-023-01529-1</w:t>
        </w:r>
      </w:hyperlink>
      <w:r>
        <w:t xml:space="preserve">.</w:t>
      </w:r>
    </w:p>
    <w:bookmarkEnd w:id="244"/>
    <w:bookmarkStart w:id="246"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245">
        <w:r>
          <w:rPr>
            <w:rStyle w:val="Hyperlink"/>
          </w:rPr>
          <w:t xml:space="preserve">https://doi.org/10.1093/bioinformatics/btaf105</w:t>
        </w:r>
      </w:hyperlink>
      <w:r>
        <w:t xml:space="preserve">.</w:t>
      </w:r>
    </w:p>
    <w:bookmarkEnd w:id="246"/>
    <w:bookmarkStart w:id="248"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247">
        <w:r>
          <w:rPr>
            <w:rStyle w:val="Hyperlink"/>
          </w:rPr>
          <w:t xml:space="preserve">http://hdl.handle.net/1866/27582</w:t>
        </w:r>
      </w:hyperlink>
      <w:r>
        <w:t xml:space="preserve">.</w:t>
      </w:r>
    </w:p>
    <w:bookmarkEnd w:id="248"/>
    <w:bookmarkStart w:id="250"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249">
        <w:r>
          <w:rPr>
            <w:rStyle w:val="Hyperlink"/>
          </w:rPr>
          <w:t xml:space="preserve">https://doi.org/10.3389/fgene.2022.1006903</w:t>
        </w:r>
      </w:hyperlink>
      <w:r>
        <w:t xml:space="preserve">.</w:t>
      </w:r>
    </w:p>
    <w:bookmarkEnd w:id="250"/>
    <w:bookmarkStart w:id="252"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251">
        <w:r>
          <w:rPr>
            <w:rStyle w:val="Hyperlink"/>
          </w:rPr>
          <w:t xml:space="preserve">https://doi.org/10.3390/life13010235</w:t>
        </w:r>
      </w:hyperlink>
      <w:r>
        <w:t xml:space="preserve">.</w:t>
      </w:r>
    </w:p>
    <w:bookmarkEnd w:id="252"/>
    <w:bookmarkStart w:id="254"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253">
        <w:r>
          <w:rPr>
            <w:rStyle w:val="Hyperlink"/>
          </w:rPr>
          <w:t xml:space="preserve">https://github.com/genepi/nf-gwas</w:t>
        </w:r>
      </w:hyperlink>
      <w:r>
        <w:t xml:space="preserve">.</w:t>
      </w:r>
    </w:p>
    <w:bookmarkEnd w:id="254"/>
    <w:bookmarkStart w:id="256"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255">
        <w:r>
          <w:rPr>
            <w:rStyle w:val="Hyperlink"/>
          </w:rPr>
          <w:t xml:space="preserve">https://doi.org/10.1186/s12859-025-06077-5</w:t>
        </w:r>
      </w:hyperlink>
      <w:r>
        <w:t xml:space="preserve">.</w:t>
      </w:r>
    </w:p>
    <w:bookmarkEnd w:id="256"/>
    <w:bookmarkStart w:id="258"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257">
        <w:r>
          <w:rPr>
            <w:rStyle w:val="Hyperlink"/>
          </w:rPr>
          <w:t xml:space="preserve">https://doi.org/10.1038/s43586-021-00056-9</w:t>
        </w:r>
      </w:hyperlink>
      <w:r>
        <w:t xml:space="preserve">.</w:t>
      </w:r>
    </w:p>
    <w:bookmarkEnd w:id="258"/>
    <w:bookmarkStart w:id="260"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259">
        <w:r>
          <w:rPr>
            <w:rStyle w:val="Hyperlink"/>
          </w:rPr>
          <w:t xml:space="preserve">https://doi.org/10.1038/nrg1522</w:t>
        </w:r>
      </w:hyperlink>
      <w:r>
        <w:t xml:space="preserve">.</w:t>
      </w:r>
    </w:p>
    <w:bookmarkEnd w:id="260"/>
    <w:bookmarkStart w:id="261"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26">
        <w:r>
          <w:rPr>
            <w:rStyle w:val="Hyperlink"/>
          </w:rPr>
          <w:t xml:space="preserve">https://doi.org/10.1093/bib/bbad437</w:t>
        </w:r>
      </w:hyperlink>
      <w:r>
        <w:t xml:space="preserve">.</w:t>
      </w:r>
    </w:p>
    <w:bookmarkEnd w:id="261"/>
    <w:bookmarkStart w:id="263"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262">
        <w:r>
          <w:rPr>
            <w:rStyle w:val="Hyperlink"/>
          </w:rPr>
          <w:t xml:space="preserve">https://doi.org/10.1093/bib/bbaf123</w:t>
        </w:r>
      </w:hyperlink>
      <w:r>
        <w:t xml:space="preserve">.</w:t>
      </w:r>
    </w:p>
    <w:bookmarkEnd w:id="263"/>
    <w:bookmarkStart w:id="264"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74">
        <w:r>
          <w:rPr>
            <w:rStyle w:val="Hyperlink"/>
          </w:rPr>
          <w:t xml:space="preserve">https://doi.org/10.1186/s13059-024-03400-w</w:t>
        </w:r>
      </w:hyperlink>
      <w:r>
        <w:t xml:space="preserve">.</w:t>
      </w:r>
    </w:p>
    <w:bookmarkEnd w:id="264"/>
    <w:bookmarkEnd w:id="265"/>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r>
        <w:t xml:space="preserve"> </w:t>
      </w:r>
      <w:r>
        <w:rPr>
          <w:b/>
          <w:bCs/>
        </w:rPr>
        <w:t xml:space="preserve">Haplotypes</w:t>
      </w:r>
      <w:r>
        <w:t xml:space="preserve">?</w:t>
      </w:r>
    </w:p>
  </w:footnote>
  <w:footnote w:id="68">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9">
            <w:r>
              <w:rPr>
                <w:rStyle w:val="Hyperlink"/>
              </w:rPr>
              <w:t xml:space="preserve">here</w:t>
            </w:r>
          </w:hyperlink>
        </w:t>
      </w:r>
    </w:p>
  </w:footnote>
  <w:footnote w:id="87">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90">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13">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14">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15">
        <w:r>
          <w:rPr>
            <w:rStyle w:val="Hyperlink"/>
          </w:rPr>
          <w:t xml:space="preserve">Genome Builds Versions</w:t>
        </w:r>
      </w:hyperlink>
      <w:r>
        <w:t xml:space="preserve"> </w:t>
      </w:r>
      <w:r>
        <w:t xml:space="preserve">for details.</w:t>
      </w:r>
    </w:p>
  </w:footnote>
  <w:footnote w:id="119">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21">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26">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27">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30">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31">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34">
    <w:p>
      <w:pPr>
        <w:pStyle w:val="FootnoteText"/>
      </w:pPr>
      <w:r>
        <w:rPr>
          <w:rStyle w:val="FootnoteReference"/>
        </w:rPr>
        <w:footnoteRef/>
      </w:r>
      <w:r>
        <w:t xml:space="preserve"> </w:t>
      </w:r>
      <w:r>
        <w:t xml:space="preserve">More customisation available in</w:t>
      </w:r>
      <w:r>
        <w:t xml:space="preserve"> </w:t>
      </w:r>
      <w:hyperlink r:id="rId135">
        <w:r>
          <w:rPr>
            <w:rStyle w:val="Hyperlink"/>
          </w:rPr>
          <w:t xml:space="preserve">Manhattan plot in R: a review</w:t>
        </w:r>
      </w:hyperlink>
    </w:p>
  </w:footnote>
  <w:footnote w:id="136">
    <w:p>
      <w:pPr>
        <w:pStyle w:val="FootnoteText"/>
      </w:pPr>
      <w:r>
        <w:rPr>
          <w:rStyle w:val="FootnoteReference"/>
        </w:rPr>
        <w:footnoteRef/>
      </w:r>
      <w:r>
        <w:t xml:space="preserve"> </w:t>
      </w:r>
      <w:hyperlink r:id="rId137">
        <w:r>
          <w:rPr>
            <w:rStyle w:val="Hyperlink"/>
          </w:rPr>
          <w:t xml:space="preserve">How to interpret a</w:t>
        </w:r>
        <w:r>
          <w:rPr>
            <w:rStyle w:val="Hyperlink"/>
          </w:rPr>
          <w:t xml:space="preserve"> </w:t>
        </w:r>
        <m:oMath>
          <m:r>
            <m:t>p</m:t>
          </m:r>
        </m:oMath>
        <w:r>
          <w:rPr>
            <w:rStyle w:val="Hyperlink"/>
          </w:rPr>
          <w:t xml:space="preserve">-value histogram</w:t>
        </w:r>
      </w:hyperlink>
    </w:p>
  </w:footnote>
  <w:footnote w:id="138">
    <w:p>
      <w:pPr>
        <w:pStyle w:val="FootnoteText"/>
      </w:pPr>
      <w:r>
        <w:rPr>
          <w:rStyle w:val="FootnoteReference"/>
        </w:rPr>
        <w:footnoteRef/>
      </w:r>
      <w:r>
        <w:t xml:space="preserve"> </w:t>
      </w:r>
      <w:hyperlink r:id="rId139">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67">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146" Target="media/rId146.png" /><Relationship Type="http://schemas.openxmlformats.org/officeDocument/2006/relationships/image" Id="rId48" Target="media/rId48.png" /><Relationship Type="http://schemas.openxmlformats.org/officeDocument/2006/relationships/image" Id="rId94" Target="media/rId94.png" /><Relationship Type="http://schemas.openxmlformats.org/officeDocument/2006/relationships/image" Id="rId198" Target="media/rId198.png" /><Relationship Type="http://schemas.openxmlformats.org/officeDocument/2006/relationships/image" Id="rId203" Target="media/rId203.png" /><Relationship Type="http://schemas.openxmlformats.org/officeDocument/2006/relationships/image" Id="rId98" Target="media/rId98.png" /><Relationship Type="http://schemas.openxmlformats.org/officeDocument/2006/relationships/hyperlink" Id="rId140" Target="./R/gwas_plots.R" TargetMode="External" /><Relationship Type="http://schemas.openxmlformats.org/officeDocument/2006/relationships/hyperlink" Id="rId80" Target="./data/phenotypes/cartagene_response_variables.xlsx" TargetMode="External" /><Relationship Type="http://schemas.openxmlformats.org/officeDocument/2006/relationships/hyperlink" Id="rId67" Target="./mnt/projects_tn01/Cartagene/analyses/QC/eur_only/related_ids/Readme.txt" TargetMode="External" /><Relationship Type="http://schemas.openxmlformats.org/officeDocument/2006/relationships/hyperlink" Id="rId58" Target="./mnt/projects_tn01/Cartagene/analyses/QC/merge_datasets.sh" TargetMode="External" /><Relationship Type="http://schemas.openxmlformats.org/officeDocument/2006/relationships/hyperlink" Id="rId120" Target="./shell/extract_variants.sh" TargetMode="External" /><Relationship Type="http://schemas.openxmlformats.org/officeDocument/2006/relationships/hyperlink" Id="rId129" Target="./shell/plink2_gwas.sh" TargetMode="External" /><Relationship Type="http://schemas.openxmlformats.org/officeDocument/2006/relationships/hyperlink" Id="rId175" Target="10.1093/bioinformatics/btaf143" TargetMode="External" /><Relationship Type="http://schemas.openxmlformats.org/officeDocument/2006/relationships/hyperlink" Id="rId69" Target="http://biostars.org/p/434832/#434898" TargetMode="External" /><Relationship Type="http://schemas.openxmlformats.org/officeDocument/2006/relationships/hyperlink" Id="rId63" Target="http://dougspeed.com/wp-content/uploads/highld.txt" TargetMode="External" /><Relationship Type="http://schemas.openxmlformats.org/officeDocument/2006/relationships/hyperlink" Id="rId247" Target="http://hdl.handle.net/1866/27582" TargetMode="External" /><Relationship Type="http://schemas.openxmlformats.org/officeDocument/2006/relationships/hyperlink" Id="rId178" Target="https://academic.oup.com/bib/article/26/2/bbaf123/8092303?searchresult=1&amp;login=false" TargetMode="External" /><Relationship Type="http://schemas.openxmlformats.org/officeDocument/2006/relationships/hyperlink" Id="rId176" Target="https://academic.oup.com/bioinformatics/advance-article/doi/10.1093/bioinformatics/btaf071/8015614" TargetMode="External" /><Relationship Type="http://schemas.openxmlformats.org/officeDocument/2006/relationships/hyperlink" Id="rId190" Target="https://academic.oup.com/bioinformatics/advance-article/doi/10.1093/bioinformatics/btaf105/8069456" TargetMode="External" /><Relationship Type="http://schemas.openxmlformats.org/officeDocument/2006/relationships/hyperlink" Id="rId150" Target="https://baselbiometrics.github.io/home/docs/talks/20220329/2_Glimm_Bretz_Xi.pdf" TargetMode="External" /><Relationship Type="http://schemas.openxmlformats.org/officeDocument/2006/relationships/hyperlink" Id="rId211" Target="https://bioinformaticsworkbook.org/dataAnalysis/VariantCalling/freebayes-dnaseq-workflow.html" TargetMode="External" /><Relationship Type="http://schemas.openxmlformats.org/officeDocument/2006/relationships/hyperlink" Id="rId172" Target="https://bmcbioinformatics.biomedcentral.com/articles/10.1186/s12859-025-06077-5" TargetMode="External" /><Relationship Type="http://schemas.openxmlformats.org/officeDocument/2006/relationships/hyperlink" Id="rId166" Target="https://bmcbioinformatics.biomedcentral.com/articles/10.1186/s12859-025-06096-2" TargetMode="External" /><Relationship Type="http://schemas.openxmlformats.org/officeDocument/2006/relationships/hyperlink" Id="rId168" Target="https://bmcbioinformatics.biomedcentral.com/articles/10.1186/s12859-025-06105-4" TargetMode="External" /><Relationship Type="http://schemas.openxmlformats.org/officeDocument/2006/relationships/hyperlink" Id="rId171" Target="https://bmcgenomics.biomedcentral.com/articles/10.1186/s12864-025-11344-z" TargetMode="External" /><Relationship Type="http://schemas.openxmlformats.org/officeDocument/2006/relationships/hyperlink" Id="rId112" Target="https://cartagene.qc.ca/files/documents/other/Info_GeneticData3juillet2023.pdf" TargetMode="External" /><Relationship Type="http://schemas.openxmlformats.org/officeDocument/2006/relationships/hyperlink" Id="rId192" Target="https://compgenomr.github.io/book/processingReads.html" TargetMode="External" /><Relationship Type="http://schemas.openxmlformats.org/officeDocument/2006/relationships/hyperlink" Id="rId46" Target="https://cran.r-project.org/web/packages/genpwr/vignettes/vignette.html" TargetMode="External" /><Relationship Type="http://schemas.openxmlformats.org/officeDocument/2006/relationships/hyperlink" Id="rId139" Target="https://danielroelfs.com/blog/how-i-make-qq-plots-using-ggplot/" TargetMode="External" /><Relationship Type="http://schemas.openxmlformats.org/officeDocument/2006/relationships/hyperlink" Id="rId34" Target="https://doi.org/10.1007/978-1-62703-447-0_6" TargetMode="External" /><Relationship Type="http://schemas.openxmlformats.org/officeDocument/2006/relationships/hyperlink" Id="rId259" Target="https://doi.org/10.1038/nrg1522" TargetMode="External" /><Relationship Type="http://schemas.openxmlformats.org/officeDocument/2006/relationships/hyperlink" Id="rId230" Target="https://doi.org/10.1038/s41576-024-00778-y" TargetMode="External" /><Relationship Type="http://schemas.openxmlformats.org/officeDocument/2006/relationships/hyperlink" Id="rId243" Target="https://doi.org/10.1038/s41588-023-01529-1" TargetMode="External" /><Relationship Type="http://schemas.openxmlformats.org/officeDocument/2006/relationships/hyperlink" Id="rId257" Target="https://doi.org/10.1038/s43586-021-00056-9" TargetMode="External" /><Relationship Type="http://schemas.openxmlformats.org/officeDocument/2006/relationships/hyperlink" Id="rId26" Target="https://doi.org/10.1093/bib/bbad437" TargetMode="External" /><Relationship Type="http://schemas.openxmlformats.org/officeDocument/2006/relationships/hyperlink" Id="rId262" Target="https://doi.org/10.1093/bib/bbaf123" TargetMode="External" /><Relationship Type="http://schemas.openxmlformats.org/officeDocument/2006/relationships/hyperlink" Id="rId226" Target="https://doi.org/10.1093/bioinformatics/btaf071" TargetMode="External" /><Relationship Type="http://schemas.openxmlformats.org/officeDocument/2006/relationships/hyperlink" Id="rId245" Target="https://doi.org/10.1093/bioinformatics/btaf105" TargetMode="External" /><Relationship Type="http://schemas.openxmlformats.org/officeDocument/2006/relationships/hyperlink" Id="rId233" Target="https://doi.org/10.1093/bioinformatics/btaf143" TargetMode="External" /><Relationship Type="http://schemas.openxmlformats.org/officeDocument/2006/relationships/hyperlink" Id="rId37" Target="https://doi.org/10.1093/ije/dys160" TargetMode="External" /><Relationship Type="http://schemas.openxmlformats.org/officeDocument/2006/relationships/hyperlink" Id="rId237" Target="https://doi.org/10.1101/2024.08.01.606099" TargetMode="External" /><Relationship Type="http://schemas.openxmlformats.org/officeDocument/2006/relationships/hyperlink" Id="rId241" Target="https://doi.org/10.1159/000508558" TargetMode="External" /><Relationship Type="http://schemas.openxmlformats.org/officeDocument/2006/relationships/hyperlink" Id="rId239" Target="https://doi.org/10.1186/1471-2156-9-36" TargetMode="External" /><Relationship Type="http://schemas.openxmlformats.org/officeDocument/2006/relationships/hyperlink" Id="rId255" Target="https://doi.org/10.1186/s12859-025-06077-5" TargetMode="External" /><Relationship Type="http://schemas.openxmlformats.org/officeDocument/2006/relationships/hyperlink" Id="rId228" Target="https://doi.org/10.1186/s12859-025-06096-2" TargetMode="External" /><Relationship Type="http://schemas.openxmlformats.org/officeDocument/2006/relationships/hyperlink" Id="rId224" Target="https://doi.org/10.1186/s12859-025-06105-4" TargetMode="External" /><Relationship Type="http://schemas.openxmlformats.org/officeDocument/2006/relationships/hyperlink" Id="rId219" Target="https://doi.org/10.1186/s12864-025-11344-z" TargetMode="External" /><Relationship Type="http://schemas.openxmlformats.org/officeDocument/2006/relationships/hyperlink" Id="rId174" Target="https://doi.org/10.1186/s13059-024-03400-w" TargetMode="External" /><Relationship Type="http://schemas.openxmlformats.org/officeDocument/2006/relationships/hyperlink" Id="rId222" Target="https://doi.org/10.1201/9781420010909" TargetMode="External" /><Relationship Type="http://schemas.openxmlformats.org/officeDocument/2006/relationships/hyperlink" Id="rId235" Target="https://doi.org/10.1371/journal.pcbi.1004219" TargetMode="External" /><Relationship Type="http://schemas.openxmlformats.org/officeDocument/2006/relationships/hyperlink" Id="rId249" Target="https://doi.org/10.3389/fgene.2022.1006903" TargetMode="External" /><Relationship Type="http://schemas.openxmlformats.org/officeDocument/2006/relationships/hyperlink" Id="rId251" Target="https://doi.org/10.3390/life13010235" TargetMode="External" /><Relationship Type="http://schemas.openxmlformats.org/officeDocument/2006/relationships/hyperlink" Id="rId186"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40" Target="https://github.com/JustinPelletier/FC-imputation" TargetMode="External" /><Relationship Type="http://schemas.openxmlformats.org/officeDocument/2006/relationships/hyperlink" Id="rId189" Target="https://github.com/MultiQC/MultiQC/tree/main/multiqc/modules/multivcfanalyzer" TargetMode="External" /><Relationship Type="http://schemas.openxmlformats.org/officeDocument/2006/relationships/hyperlink" Id="rId188" Target="https://github.com/MultiQC/MultiQC/tree/main/multiqc/modules/vcftools" TargetMode="External" /><Relationship Type="http://schemas.openxmlformats.org/officeDocument/2006/relationships/hyperlink" Id="rId179" Target="https://github.com/gefeiZ/SC_VAR" TargetMode="External" /><Relationship Type="http://schemas.openxmlformats.org/officeDocument/2006/relationships/hyperlink" Id="rId253" Target="https://github.com/genepi/nf-gwas" TargetMode="External" /><Relationship Type="http://schemas.openxmlformats.org/officeDocument/2006/relationships/hyperlink" Id="rId169" Target="https://github.com/monarch-initiative/pheval" TargetMode="External" /><Relationship Type="http://schemas.openxmlformats.org/officeDocument/2006/relationships/hyperlink" Id="rId158"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82" Target="https://github.com/statgen/fivex" TargetMode="External" /><Relationship Type="http://schemas.openxmlformats.org/officeDocument/2006/relationships/hyperlink" Id="rId180" Target="https://journals.plos.org/ploscompbiol/article?id=10.1371/journal.pcbi.1004219" TargetMode="External" /><Relationship Type="http://schemas.openxmlformats.org/officeDocument/2006/relationships/hyperlink" Id="rId77" Target="https://knausb.github.io/vcfR_documentation/genetic_differentiation.html" TargetMode="External" /><Relationship Type="http://schemas.openxmlformats.org/officeDocument/2006/relationships/hyperlink" Id="rId149" Target="https://merck.github.io/gMCPLite" TargetMode="External" /><Relationship Type="http://schemas.openxmlformats.org/officeDocument/2006/relationships/hyperlink" Id="rId47" Target="https://pmc.ncbi.nlm.nih.gov/articles/PMC2387159/" TargetMode="External" /><Relationship Type="http://schemas.openxmlformats.org/officeDocument/2006/relationships/hyperlink" Id="rId44" Target="https://pmc.ncbi.nlm.nih.gov/articles/PMC9863799/#sec5-life-13-00235" TargetMode="External" /><Relationship Type="http://schemas.openxmlformats.org/officeDocument/2006/relationships/hyperlink" Id="rId76" Target="https://popgen.nescent.org/2015-05-18-Dist-SNP.html" TargetMode="External" /><Relationship Type="http://schemas.openxmlformats.org/officeDocument/2006/relationships/hyperlink" Id="rId75" Target="https://popgen.nescent.org/DifferentiationSNP.html" TargetMode="External" /><Relationship Type="http://schemas.openxmlformats.org/officeDocument/2006/relationships/hyperlink" Id="rId74" Target="https://popgen.nescent.org/StartSNP.html#genetic-diversity-observed-and-expected-heterozygosity" TargetMode="External" /><Relationship Type="http://schemas.openxmlformats.org/officeDocument/2006/relationships/hyperlink" Id="rId135"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87" Target="https://seqera.io/multiqc/" TargetMode="External" /><Relationship Type="http://schemas.openxmlformats.org/officeDocument/2006/relationships/hyperlink" Id="rId39" Target="https://umontreal.scholaris.ca/bitstreams/83d64aa1-da20-4a6f-8ae0-9dcb0165417d/download" TargetMode="External" /><Relationship Type="http://schemas.openxmlformats.org/officeDocument/2006/relationships/hyperlink" Id="rId154" Target="https://varchat.engenome.com/" TargetMode="External" /><Relationship Type="http://schemas.openxmlformats.org/officeDocument/2006/relationships/hyperlink" Id="rId137" Target="https://varianceexplained.org/statistics/interpreting-pvalue-histogram/" TargetMode="External" /><Relationship Type="http://schemas.openxmlformats.org/officeDocument/2006/relationships/hyperlink" Id="rId132" Target="https://www.bioconductor.org/packages/devel/bioc/vignettes/GENESIS/inst/doc/assoc_test.html#mixed-model-association-testing" TargetMode="External" /><Relationship Type="http://schemas.openxmlformats.org/officeDocument/2006/relationships/hyperlink" Id="rId163" Target="https://www.bioconductor.org/packages/release/bioc/vignettes/VariantAnnotation/inst/doc/VariantAnnotation.html#amino-acid-coding-changes" TargetMode="External" /><Relationship Type="http://schemas.openxmlformats.org/officeDocument/2006/relationships/hyperlink" Id="rId159" Target="https://www.bioconductor.org/packages/release/bioc/vignettes/VariantAnnotation/inst/doc/VariantAnnotation.html#locating-variants-in-and-around-genes" TargetMode="External" /><Relationship Type="http://schemas.openxmlformats.org/officeDocument/2006/relationships/hyperlink" Id="rId164" Target="https://www.bioconductor.org/packages/release/bioc/vignettes/VariantAnnotation/inst/doc/VariantAnnotation.html#sift-and-polyphen-databases" TargetMode="External" /><Relationship Type="http://schemas.openxmlformats.org/officeDocument/2006/relationships/hyperlink" Id="rId157" Target="https://www.biorxiv.org/content/10.1101/2024.08.01.606099v1" TargetMode="External" /><Relationship Type="http://schemas.openxmlformats.org/officeDocument/2006/relationships/hyperlink" Id="rId162" Target="https://www.frontiersin.org/journals/genetics/articles/10.3389/fgene.2022.1006903/full" TargetMode="External" /><Relationship Type="http://schemas.openxmlformats.org/officeDocument/2006/relationships/hyperlink" Id="rId131" Target="https://www.linkedin.com/feed/update/urn:li:activity:7308463515432833026/" TargetMode="External" /><Relationship Type="http://schemas.openxmlformats.org/officeDocument/2006/relationships/hyperlink" Id="rId73" Target="https://www.linkedin.com/feed/update/urn:li:activity:730919293617122508" TargetMode="External" /><Relationship Type="http://schemas.openxmlformats.org/officeDocument/2006/relationships/hyperlink" Id="rId42" Target="https://www.linkedin.com/in/hussinju/" TargetMode="External" /><Relationship Type="http://schemas.openxmlformats.org/officeDocument/2006/relationships/hyperlink" Id="rId115" Target="https://www.linkedin.com/posts/%F0%9F%8E%AF-ming-tommy-tang-40650014_genome-builds-matter-avoid-costly-mistakes-activity-7293270985930141698-ZFkH" TargetMode="External" /><Relationship Type="http://schemas.openxmlformats.org/officeDocument/2006/relationships/hyperlink" Id="rId54" Target="https://www.linkedin.com/posts/%F0%9F%8E%AF-ming-tommy-tang-40650014_the-most-underrated-unix-command-for-bioinformatics-activity-7287842704753848321-qhe" TargetMode="External" /><Relationship Type="http://schemas.openxmlformats.org/officeDocument/2006/relationships/hyperlink" Id="rId143" Target="https://www.linkedin.com/posts/adrianolszewski_statistic-datascience-research-activity-7301605962820284417-ho3Z" TargetMode="External" /><Relationship Type="http://schemas.openxmlformats.org/officeDocument/2006/relationships/hyperlink" Id="rId72" Target="https://www.linkedin.com/posts/joachim-schork_statistics-research-visualanalytics-activity-7251577056570785795-b6Rk" TargetMode="External" /><Relationship Type="http://schemas.openxmlformats.org/officeDocument/2006/relationships/hyperlink" Id="rId33" Target="https://www.nature.com/articles/nrg1522" TargetMode="External" /><Relationship Type="http://schemas.openxmlformats.org/officeDocument/2006/relationships/hyperlink" Id="rId161" Target="https://www.nature.com/articles/s41576-024-00778-y" TargetMode="External" /><Relationship Type="http://schemas.openxmlformats.org/officeDocument/2006/relationships/hyperlink" Id="rId156" Target="https://www.nature.com/articles/s41588-023-01529-1" TargetMode="External" /><Relationship Type="http://schemas.openxmlformats.org/officeDocument/2006/relationships/hyperlink" Id="rId35" Target="https://www.nature.com/articles/s43586-021-00056-9" TargetMode="External" /><Relationship Type="http://schemas.openxmlformats.org/officeDocument/2006/relationships/hyperlink" Id="rId45" Target="https://www.ncbi.nlm.nih.gov/pmc/articles/PMC7666027/" TargetMode="External" /><Relationship Type="http://schemas.openxmlformats.org/officeDocument/2006/relationships/hyperlink" Id="rId144" Target="https://www.taylorfrancis.com/books/mono/10.1201/9781420010909/multiple-comparisons-using-frank-bretz-torsten-hothorn-peter-westfall" TargetMode="External" /><Relationship Type="http://schemas.openxmlformats.org/officeDocument/2006/relationships/hyperlink" Id="rId145" Target="https://yasenov.com/2022/10/multiple-hypotheses-testing-a-methods-overview/" TargetMode="External" /><Relationship Type="http://schemas.openxmlformats.org/officeDocument/2006/relationships/hyperlink" Id="rId111" Target="mailto:access@cartagene.qc.ca" TargetMode="External" /><Relationship Type="http://schemas.openxmlformats.org/officeDocument/2006/relationships/hyperlink" Id="rId41" Target="mailto:julie.hussin@umontreal.ca" TargetMode="External" /></Relationships>
</file>

<file path=word/_rels/footnotes.xml.rels><?xml version="1.0" encoding="UTF-8"?><Relationships xmlns="http://schemas.openxmlformats.org/package/2006/relationships"><Relationship Type="http://schemas.openxmlformats.org/officeDocument/2006/relationships/hyperlink" Id="rId140" Target="./R/gwas_plots.R" TargetMode="External" /><Relationship Type="http://schemas.openxmlformats.org/officeDocument/2006/relationships/hyperlink" Id="rId80" Target="./data/phenotypes/cartagene_response_variables.xlsx" TargetMode="External" /><Relationship Type="http://schemas.openxmlformats.org/officeDocument/2006/relationships/hyperlink" Id="rId67" Target="./mnt/projects_tn01/Cartagene/analyses/QC/eur_only/related_ids/Readme.txt" TargetMode="External" /><Relationship Type="http://schemas.openxmlformats.org/officeDocument/2006/relationships/hyperlink" Id="rId58" Target="./mnt/projects_tn01/Cartagene/analyses/QC/merge_datasets.sh" TargetMode="External" /><Relationship Type="http://schemas.openxmlformats.org/officeDocument/2006/relationships/hyperlink" Id="rId120" Target="./shell/extract_variants.sh" TargetMode="External" /><Relationship Type="http://schemas.openxmlformats.org/officeDocument/2006/relationships/hyperlink" Id="rId129" Target="./shell/plink2_gwas.sh" TargetMode="External" /><Relationship Type="http://schemas.openxmlformats.org/officeDocument/2006/relationships/hyperlink" Id="rId175" Target="10.1093/bioinformatics/btaf143" TargetMode="External" /><Relationship Type="http://schemas.openxmlformats.org/officeDocument/2006/relationships/hyperlink" Id="rId69" Target="http://biostars.org/p/434832/#434898" TargetMode="External" /><Relationship Type="http://schemas.openxmlformats.org/officeDocument/2006/relationships/hyperlink" Id="rId63" Target="http://dougspeed.com/wp-content/uploads/highld.txt" TargetMode="External" /><Relationship Type="http://schemas.openxmlformats.org/officeDocument/2006/relationships/hyperlink" Id="rId247" Target="http://hdl.handle.net/1866/27582" TargetMode="External" /><Relationship Type="http://schemas.openxmlformats.org/officeDocument/2006/relationships/hyperlink" Id="rId178" Target="https://academic.oup.com/bib/article/26/2/bbaf123/8092303?searchresult=1&amp;login=false" TargetMode="External" /><Relationship Type="http://schemas.openxmlformats.org/officeDocument/2006/relationships/hyperlink" Id="rId176" Target="https://academic.oup.com/bioinformatics/advance-article/doi/10.1093/bioinformatics/btaf071/8015614" TargetMode="External" /><Relationship Type="http://schemas.openxmlformats.org/officeDocument/2006/relationships/hyperlink" Id="rId190" Target="https://academic.oup.com/bioinformatics/advance-article/doi/10.1093/bioinformatics/btaf105/8069456" TargetMode="External" /><Relationship Type="http://schemas.openxmlformats.org/officeDocument/2006/relationships/hyperlink" Id="rId150" Target="https://baselbiometrics.github.io/home/docs/talks/20220329/2_Glimm_Bretz_Xi.pdf" TargetMode="External" /><Relationship Type="http://schemas.openxmlformats.org/officeDocument/2006/relationships/hyperlink" Id="rId211" Target="https://bioinformaticsworkbook.org/dataAnalysis/VariantCalling/freebayes-dnaseq-workflow.html" TargetMode="External" /><Relationship Type="http://schemas.openxmlformats.org/officeDocument/2006/relationships/hyperlink" Id="rId172" Target="https://bmcbioinformatics.biomedcentral.com/articles/10.1186/s12859-025-06077-5" TargetMode="External" /><Relationship Type="http://schemas.openxmlformats.org/officeDocument/2006/relationships/hyperlink" Id="rId166" Target="https://bmcbioinformatics.biomedcentral.com/articles/10.1186/s12859-025-06096-2" TargetMode="External" /><Relationship Type="http://schemas.openxmlformats.org/officeDocument/2006/relationships/hyperlink" Id="rId168" Target="https://bmcbioinformatics.biomedcentral.com/articles/10.1186/s12859-025-06105-4" TargetMode="External" /><Relationship Type="http://schemas.openxmlformats.org/officeDocument/2006/relationships/hyperlink" Id="rId171" Target="https://bmcgenomics.biomedcentral.com/articles/10.1186/s12864-025-11344-z" TargetMode="External" /><Relationship Type="http://schemas.openxmlformats.org/officeDocument/2006/relationships/hyperlink" Id="rId112" Target="https://cartagene.qc.ca/files/documents/other/Info_GeneticData3juillet2023.pdf" TargetMode="External" /><Relationship Type="http://schemas.openxmlformats.org/officeDocument/2006/relationships/hyperlink" Id="rId192" Target="https://compgenomr.github.io/book/processingReads.html" TargetMode="External" /><Relationship Type="http://schemas.openxmlformats.org/officeDocument/2006/relationships/hyperlink" Id="rId46" Target="https://cran.r-project.org/web/packages/genpwr/vignettes/vignette.html" TargetMode="External" /><Relationship Type="http://schemas.openxmlformats.org/officeDocument/2006/relationships/hyperlink" Id="rId139" Target="https://danielroelfs.com/blog/how-i-make-qq-plots-using-ggplot/" TargetMode="External" /><Relationship Type="http://schemas.openxmlformats.org/officeDocument/2006/relationships/hyperlink" Id="rId34" Target="https://doi.org/10.1007/978-1-62703-447-0_6" TargetMode="External" /><Relationship Type="http://schemas.openxmlformats.org/officeDocument/2006/relationships/hyperlink" Id="rId259" Target="https://doi.org/10.1038/nrg1522" TargetMode="External" /><Relationship Type="http://schemas.openxmlformats.org/officeDocument/2006/relationships/hyperlink" Id="rId230" Target="https://doi.org/10.1038/s41576-024-00778-y" TargetMode="External" /><Relationship Type="http://schemas.openxmlformats.org/officeDocument/2006/relationships/hyperlink" Id="rId243" Target="https://doi.org/10.1038/s41588-023-01529-1" TargetMode="External" /><Relationship Type="http://schemas.openxmlformats.org/officeDocument/2006/relationships/hyperlink" Id="rId257" Target="https://doi.org/10.1038/s43586-021-00056-9" TargetMode="External" /><Relationship Type="http://schemas.openxmlformats.org/officeDocument/2006/relationships/hyperlink" Id="rId26" Target="https://doi.org/10.1093/bib/bbad437" TargetMode="External" /><Relationship Type="http://schemas.openxmlformats.org/officeDocument/2006/relationships/hyperlink" Id="rId262" Target="https://doi.org/10.1093/bib/bbaf123" TargetMode="External" /><Relationship Type="http://schemas.openxmlformats.org/officeDocument/2006/relationships/hyperlink" Id="rId226" Target="https://doi.org/10.1093/bioinformatics/btaf071" TargetMode="External" /><Relationship Type="http://schemas.openxmlformats.org/officeDocument/2006/relationships/hyperlink" Id="rId245" Target="https://doi.org/10.1093/bioinformatics/btaf105" TargetMode="External" /><Relationship Type="http://schemas.openxmlformats.org/officeDocument/2006/relationships/hyperlink" Id="rId233" Target="https://doi.org/10.1093/bioinformatics/btaf143" TargetMode="External" /><Relationship Type="http://schemas.openxmlformats.org/officeDocument/2006/relationships/hyperlink" Id="rId37" Target="https://doi.org/10.1093/ije/dys160" TargetMode="External" /><Relationship Type="http://schemas.openxmlformats.org/officeDocument/2006/relationships/hyperlink" Id="rId237" Target="https://doi.org/10.1101/2024.08.01.606099" TargetMode="External" /><Relationship Type="http://schemas.openxmlformats.org/officeDocument/2006/relationships/hyperlink" Id="rId241" Target="https://doi.org/10.1159/000508558" TargetMode="External" /><Relationship Type="http://schemas.openxmlformats.org/officeDocument/2006/relationships/hyperlink" Id="rId239" Target="https://doi.org/10.1186/1471-2156-9-36" TargetMode="External" /><Relationship Type="http://schemas.openxmlformats.org/officeDocument/2006/relationships/hyperlink" Id="rId255" Target="https://doi.org/10.1186/s12859-025-06077-5" TargetMode="External" /><Relationship Type="http://schemas.openxmlformats.org/officeDocument/2006/relationships/hyperlink" Id="rId228" Target="https://doi.org/10.1186/s12859-025-06096-2" TargetMode="External" /><Relationship Type="http://schemas.openxmlformats.org/officeDocument/2006/relationships/hyperlink" Id="rId224" Target="https://doi.org/10.1186/s12859-025-06105-4" TargetMode="External" /><Relationship Type="http://schemas.openxmlformats.org/officeDocument/2006/relationships/hyperlink" Id="rId219" Target="https://doi.org/10.1186/s12864-025-11344-z" TargetMode="External" /><Relationship Type="http://schemas.openxmlformats.org/officeDocument/2006/relationships/hyperlink" Id="rId174" Target="https://doi.org/10.1186/s13059-024-03400-w" TargetMode="External" /><Relationship Type="http://schemas.openxmlformats.org/officeDocument/2006/relationships/hyperlink" Id="rId222" Target="https://doi.org/10.1201/9781420010909" TargetMode="External" /><Relationship Type="http://schemas.openxmlformats.org/officeDocument/2006/relationships/hyperlink" Id="rId235" Target="https://doi.org/10.1371/journal.pcbi.1004219" TargetMode="External" /><Relationship Type="http://schemas.openxmlformats.org/officeDocument/2006/relationships/hyperlink" Id="rId249" Target="https://doi.org/10.3389/fgene.2022.1006903" TargetMode="External" /><Relationship Type="http://schemas.openxmlformats.org/officeDocument/2006/relationships/hyperlink" Id="rId251" Target="https://doi.org/10.3390/life13010235" TargetMode="External" /><Relationship Type="http://schemas.openxmlformats.org/officeDocument/2006/relationships/hyperlink" Id="rId186"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40" Target="https://github.com/JustinPelletier/FC-imputation" TargetMode="External" /><Relationship Type="http://schemas.openxmlformats.org/officeDocument/2006/relationships/hyperlink" Id="rId189" Target="https://github.com/MultiQC/MultiQC/tree/main/multiqc/modules/multivcfanalyzer" TargetMode="External" /><Relationship Type="http://schemas.openxmlformats.org/officeDocument/2006/relationships/hyperlink" Id="rId188" Target="https://github.com/MultiQC/MultiQC/tree/main/multiqc/modules/vcftools" TargetMode="External" /><Relationship Type="http://schemas.openxmlformats.org/officeDocument/2006/relationships/hyperlink" Id="rId179" Target="https://github.com/gefeiZ/SC_VAR" TargetMode="External" /><Relationship Type="http://schemas.openxmlformats.org/officeDocument/2006/relationships/hyperlink" Id="rId253" Target="https://github.com/genepi/nf-gwas" TargetMode="External" /><Relationship Type="http://schemas.openxmlformats.org/officeDocument/2006/relationships/hyperlink" Id="rId169" Target="https://github.com/monarch-initiative/pheval" TargetMode="External" /><Relationship Type="http://schemas.openxmlformats.org/officeDocument/2006/relationships/hyperlink" Id="rId158"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82" Target="https://github.com/statgen/fivex" TargetMode="External" /><Relationship Type="http://schemas.openxmlformats.org/officeDocument/2006/relationships/hyperlink" Id="rId180" Target="https://journals.plos.org/ploscompbiol/article?id=10.1371/journal.pcbi.1004219" TargetMode="External" /><Relationship Type="http://schemas.openxmlformats.org/officeDocument/2006/relationships/hyperlink" Id="rId77" Target="https://knausb.github.io/vcfR_documentation/genetic_differentiation.html" TargetMode="External" /><Relationship Type="http://schemas.openxmlformats.org/officeDocument/2006/relationships/hyperlink" Id="rId149" Target="https://merck.github.io/gMCPLite" TargetMode="External" /><Relationship Type="http://schemas.openxmlformats.org/officeDocument/2006/relationships/hyperlink" Id="rId47" Target="https://pmc.ncbi.nlm.nih.gov/articles/PMC2387159/" TargetMode="External" /><Relationship Type="http://schemas.openxmlformats.org/officeDocument/2006/relationships/hyperlink" Id="rId44" Target="https://pmc.ncbi.nlm.nih.gov/articles/PMC9863799/#sec5-life-13-00235" TargetMode="External" /><Relationship Type="http://schemas.openxmlformats.org/officeDocument/2006/relationships/hyperlink" Id="rId76" Target="https://popgen.nescent.org/2015-05-18-Dist-SNP.html" TargetMode="External" /><Relationship Type="http://schemas.openxmlformats.org/officeDocument/2006/relationships/hyperlink" Id="rId75" Target="https://popgen.nescent.org/DifferentiationSNP.html" TargetMode="External" /><Relationship Type="http://schemas.openxmlformats.org/officeDocument/2006/relationships/hyperlink" Id="rId74" Target="https://popgen.nescent.org/StartSNP.html#genetic-diversity-observed-and-expected-heterozygosity" TargetMode="External" /><Relationship Type="http://schemas.openxmlformats.org/officeDocument/2006/relationships/hyperlink" Id="rId135"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87" Target="https://seqera.io/multiqc/" TargetMode="External" /><Relationship Type="http://schemas.openxmlformats.org/officeDocument/2006/relationships/hyperlink" Id="rId39" Target="https://umontreal.scholaris.ca/bitstreams/83d64aa1-da20-4a6f-8ae0-9dcb0165417d/download" TargetMode="External" /><Relationship Type="http://schemas.openxmlformats.org/officeDocument/2006/relationships/hyperlink" Id="rId154" Target="https://varchat.engenome.com/" TargetMode="External" /><Relationship Type="http://schemas.openxmlformats.org/officeDocument/2006/relationships/hyperlink" Id="rId137" Target="https://varianceexplained.org/statistics/interpreting-pvalue-histogram/" TargetMode="External" /><Relationship Type="http://schemas.openxmlformats.org/officeDocument/2006/relationships/hyperlink" Id="rId132" Target="https://www.bioconductor.org/packages/devel/bioc/vignettes/GENESIS/inst/doc/assoc_test.html#mixed-model-association-testing" TargetMode="External" /><Relationship Type="http://schemas.openxmlformats.org/officeDocument/2006/relationships/hyperlink" Id="rId163" Target="https://www.bioconductor.org/packages/release/bioc/vignettes/VariantAnnotation/inst/doc/VariantAnnotation.html#amino-acid-coding-changes" TargetMode="External" /><Relationship Type="http://schemas.openxmlformats.org/officeDocument/2006/relationships/hyperlink" Id="rId159" Target="https://www.bioconductor.org/packages/release/bioc/vignettes/VariantAnnotation/inst/doc/VariantAnnotation.html#locating-variants-in-and-around-genes" TargetMode="External" /><Relationship Type="http://schemas.openxmlformats.org/officeDocument/2006/relationships/hyperlink" Id="rId164" Target="https://www.bioconductor.org/packages/release/bioc/vignettes/VariantAnnotation/inst/doc/VariantAnnotation.html#sift-and-polyphen-databases" TargetMode="External" /><Relationship Type="http://schemas.openxmlformats.org/officeDocument/2006/relationships/hyperlink" Id="rId157" Target="https://www.biorxiv.org/content/10.1101/2024.08.01.606099v1" TargetMode="External" /><Relationship Type="http://schemas.openxmlformats.org/officeDocument/2006/relationships/hyperlink" Id="rId162" Target="https://www.frontiersin.org/journals/genetics/articles/10.3389/fgene.2022.1006903/full" TargetMode="External" /><Relationship Type="http://schemas.openxmlformats.org/officeDocument/2006/relationships/hyperlink" Id="rId131" Target="https://www.linkedin.com/feed/update/urn:li:activity:7308463515432833026/" TargetMode="External" /><Relationship Type="http://schemas.openxmlformats.org/officeDocument/2006/relationships/hyperlink" Id="rId73" Target="https://www.linkedin.com/feed/update/urn:li:activity:730919293617122508" TargetMode="External" /><Relationship Type="http://schemas.openxmlformats.org/officeDocument/2006/relationships/hyperlink" Id="rId42" Target="https://www.linkedin.com/in/hussinju/" TargetMode="External" /><Relationship Type="http://schemas.openxmlformats.org/officeDocument/2006/relationships/hyperlink" Id="rId115" Target="https://www.linkedin.com/posts/%F0%9F%8E%AF-ming-tommy-tang-40650014_genome-builds-matter-avoid-costly-mistakes-activity-7293270985930141698-ZFkH" TargetMode="External" /><Relationship Type="http://schemas.openxmlformats.org/officeDocument/2006/relationships/hyperlink" Id="rId54" Target="https://www.linkedin.com/posts/%F0%9F%8E%AF-ming-tommy-tang-40650014_the-most-underrated-unix-command-for-bioinformatics-activity-7287842704753848321-qhe" TargetMode="External" /><Relationship Type="http://schemas.openxmlformats.org/officeDocument/2006/relationships/hyperlink" Id="rId143" Target="https://www.linkedin.com/posts/adrianolszewski_statistic-datascience-research-activity-7301605962820284417-ho3Z" TargetMode="External" /><Relationship Type="http://schemas.openxmlformats.org/officeDocument/2006/relationships/hyperlink" Id="rId72" Target="https://www.linkedin.com/posts/joachim-schork_statistics-research-visualanalytics-activity-7251577056570785795-b6Rk" TargetMode="External" /><Relationship Type="http://schemas.openxmlformats.org/officeDocument/2006/relationships/hyperlink" Id="rId33" Target="https://www.nature.com/articles/nrg1522" TargetMode="External" /><Relationship Type="http://schemas.openxmlformats.org/officeDocument/2006/relationships/hyperlink" Id="rId161" Target="https://www.nature.com/articles/s41576-024-00778-y" TargetMode="External" /><Relationship Type="http://schemas.openxmlformats.org/officeDocument/2006/relationships/hyperlink" Id="rId156" Target="https://www.nature.com/articles/s41588-023-01529-1" TargetMode="External" /><Relationship Type="http://schemas.openxmlformats.org/officeDocument/2006/relationships/hyperlink" Id="rId35" Target="https://www.nature.com/articles/s43586-021-00056-9" TargetMode="External" /><Relationship Type="http://schemas.openxmlformats.org/officeDocument/2006/relationships/hyperlink" Id="rId45" Target="https://www.ncbi.nlm.nih.gov/pmc/articles/PMC7666027/" TargetMode="External" /><Relationship Type="http://schemas.openxmlformats.org/officeDocument/2006/relationships/hyperlink" Id="rId144" Target="https://www.taylorfrancis.com/books/mono/10.1201/9781420010909/multiple-comparisons-using-frank-bretz-torsten-hothorn-peter-westfall" TargetMode="External" /><Relationship Type="http://schemas.openxmlformats.org/officeDocument/2006/relationships/hyperlink" Id="rId145" Target="https://yasenov.com/2022/10/multiple-hypotheses-testing-a-methods-overview/" TargetMode="External" /><Relationship Type="http://schemas.openxmlformats.org/officeDocument/2006/relationships/hyperlink" Id="rId111" Target="mailto:access@cartagene.qc.ca" TargetMode="External" /><Relationship Type="http://schemas.openxmlformats.org/officeDocument/2006/relationships/hyperlink" Id="rId41" Target="mailto:julie.hussin@umontrea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2025-04-23T13:44:20Z</dcterms:created>
  <dcterms:modified xsi:type="dcterms:W3CDTF">2025-04-23T13:44:20Z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2025-04-23</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