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Requirements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architecture requirements by analyzing constraints (technical, operational,regulatory).</w:t>
      </w:r>
    </w:p>
    <w:p w:rsidR="00000000" w:rsidDel="00000000" w:rsidP="00000000" w:rsidRDefault="00000000" w:rsidRPr="00000000" w14:paraId="00000004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b w:val="1"/>
          <w:rtl w:val="0"/>
        </w:rPr>
        <w:t xml:space="preserve"> Business Requirements (BR)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BR-1: Multi-format Data Collection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platform must allow users to securely upload their accounting documents in PDF, CSV, and Excel (.xlsx) formats.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BR-2: Automated Processing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system must automatically extract, validate, and structure relevant data from the uploaded documents for further analysis.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BR-3: Financial Indicators Calculation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system must reliably compute a predefined set of key financial indicators that support strategic decision-making.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BR-4: Data Visualization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platform must display these indicators through interactive and intuitive dashboards designed for business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Technical Constraints 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Mandatory Technologies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specified in the project requirements, the following stack components are mandatory: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Containerization: Docker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Orchestration: Kubernetes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Automation: Apache Airflow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Monitoring: Grafana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Technology Choices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Provider: Google Cloud Platform (GCP)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Rationale: GCP was selected for the robustness and simplicity of its managed Kubernetes service (Google Kubernetes Engine – GKE), which significantly streamlines deployment and scaling operations. Its data- and AI-oriented ecosystem also provides strong growth potential for Quantis (e.g., predictive modeling). Additionally, GCP’s Identity and Access Management (IAM) offers granular and secure access control — a critical factor for ensuring data protection.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&amp; Framework: Python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Rationale: Python is the de facto standard for data processing, offering a mature and extensive ecosystem (Pandas, NumPy, etc.) that accelerates development and improves maintainability.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PostgreSQL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Rationale: PostgreSQL extracted financial data is highly structured and relational (linked to companies, fiscal years, etc.). PostgreSQL is the reference open-source relational database, known for its reliability, robustness, and strong performance — ideal for FinTech applications.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Operational Requirements 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Scalability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Target: Support 100 client companies in the first year.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Goal: The architecture must scale seamlessly to 5,000 clients within three years.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Workload: The system must handle up to 200 documents per day, with predictable activity peaks during month-end accounting closings.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Performance (SLOs – Service Level Objectives)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Time: 95% of uploaded documents (including extraction and computation) must be processed within 60 seconds.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Latency: The 95th percentile (P95) of API response times for dashboard endpoints must be below 200 ms.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Availability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Uptime Objective: The client-facing service must guarantee 99.9% availability.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Implications: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readiness and liveness probes in Kubernetes.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all critical microservices (e.g., API) with a minimum of two replicas to ensure redundancy and high availability.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Regulatory and Security Constraints -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Privacy (GDPR Compliance)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Isolation: Strict logical isolation will be enforced at the application level. Every database query must include a client_id filter to prevent data leaks between tenant accounts. No data should ever be accessible without this filter.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 Measures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Transit: All traffic must be secured using TLS 1.2 or higher (HTTPS).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Rest: Data stored in PostgreSQL, Redis, and Cloud Storage will be encrypted by default using GCP’s native mechanisms.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access will be secured through short-lived JSON Web Tokens (JWTs).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Storage: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Uploaded files will be stored in a private Google Cloud Storage bucket.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will be granted exclusively via short-lived, single-use signed URLs generated by the backend.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 will never have direct access to the bucket — this is a core security design principle.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