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4"/>
          <w:szCs w:val="24"/>
        </w:rPr>
        <w:t>Dissemination et  promotion de l'idex</w:t>
      </w:r>
    </w:p>
    <w:p>
      <w:pPr>
        <w:pStyle w:val="style0"/>
        <w:jc w:val="center"/>
      </w:pPr>
      <w:r>
        <w:rPr>
          <w:sz w:val="24"/>
          <w:szCs w:val="24"/>
        </w:rPr>
      </w:r>
    </w:p>
    <w:p>
      <w:pPr>
        <w:pStyle w:val="style0"/>
        <w:jc w:val="left"/>
      </w:pPr>
      <w:r>
        <w:rPr>
          <w:rFonts w:ascii="Liberation Serif" w:hAnsi="Liberation Serif"/>
          <w:color w:val="000000"/>
          <w:sz w:val="24"/>
          <w:szCs w:val="24"/>
        </w:rPr>
        <w:tab/>
        <w:t>Le travail issu du projet sera présenté  dans mon laboratoire d'accueil comme à Grenoble. Il sera mentioné le rôle important de l'IDEX et de l'université Grenoble Alpes dans sa réalisation.</w:t>
      </w:r>
    </w:p>
    <w:p>
      <w:pPr>
        <w:pStyle w:val="style0"/>
        <w:jc w:val="center"/>
      </w:pPr>
      <w:r>
        <w:rPr>
          <w:sz w:val="24"/>
          <w:szCs w:val="24"/>
        </w:rPr>
      </w:r>
    </w:p>
    <w:p>
      <w:pPr>
        <w:pStyle w:val="style0"/>
        <w:jc w:val="left"/>
      </w:pPr>
      <w:r>
        <w:rPr>
          <w:sz w:val="24"/>
          <w:szCs w:val="24"/>
        </w:rPr>
        <w:tab/>
      </w:r>
      <w:r>
        <w:rPr>
          <w:sz w:val="24"/>
          <w:szCs w:val="24"/>
        </w:rPr>
        <w:t xml:space="preserve">Concernant </w:t>
      </w:r>
      <w:r>
        <w:rPr>
          <w:sz w:val="24"/>
          <w:szCs w:val="24"/>
        </w:rPr>
        <w:t>la mise à jour de la base de donnée JASPAR, l</w:t>
      </w:r>
      <w:r>
        <w:rPr>
          <w:sz w:val="24"/>
          <w:szCs w:val="24"/>
        </w:rPr>
        <w:t xml:space="preserve">'idex bénéficiera du  grand indice de citations des publications se rapportant </w:t>
      </w:r>
      <w:r>
        <w:rPr>
          <w:sz w:val="24"/>
          <w:szCs w:val="24"/>
        </w:rPr>
        <w:t>à ces mises à jours. Vous pouvez constater ces indices ci-après.</w:t>
      </w:r>
    </w:p>
    <w:p>
      <w:pPr>
        <w:pStyle w:val="style0"/>
        <w:jc w:val="left"/>
      </w:pPr>
      <w:r>
        <w:rPr>
          <w:sz w:val="24"/>
          <w:szCs w:val="24"/>
        </w:rPr>
      </w:r>
    </w:p>
    <w:p>
      <w:pPr>
        <w:pStyle w:val="style0"/>
        <w:jc w:val="left"/>
      </w:pPr>
      <w:r>
        <w:rPr>
          <w:sz w:val="24"/>
          <w:szCs w:val="24"/>
        </w:rPr>
        <w:tab/>
        <w:tab/>
      </w:r>
      <w:r>
        <w:rPr/>
        <w:t xml:space="preserve">Sandelin </w:t>
      </w:r>
      <w:r>
        <w:rPr/>
        <w:t xml:space="preserve">et al., 2004 : </w:t>
      </w:r>
      <w:r>
        <w:rPr>
          <w:rFonts w:ascii="Liberation Serif" w:hAnsi="Liberation Serif"/>
          <w:b/>
          <w:bCs/>
          <w:sz w:val="24"/>
          <w:szCs w:val="24"/>
        </w:rPr>
        <w:t>1333</w:t>
      </w:r>
      <w:r>
        <w:rPr>
          <w:rFonts w:ascii="Liberation Serif" w:hAnsi="Liberation Serif"/>
          <w:sz w:val="24"/>
          <w:szCs w:val="24"/>
        </w:rPr>
        <w:t xml:space="preserve"> </w:t>
      </w:r>
      <w:r>
        <w:rPr>
          <w:rFonts w:ascii="Liberation Serif" w:hAnsi="Liberation Serif"/>
          <w:b/>
          <w:bCs/>
          <w:sz w:val="24"/>
          <w:szCs w:val="24"/>
        </w:rPr>
        <w:t>citations</w:t>
      </w:r>
    </w:p>
    <w:p>
      <w:pPr>
        <w:pStyle w:val="style0"/>
        <w:jc w:val="left"/>
      </w:pPr>
      <w:r>
        <w:rPr>
          <w:sz w:val="24"/>
          <w:szCs w:val="24"/>
        </w:rPr>
      </w:r>
    </w:p>
    <w:p>
      <w:pPr>
        <w:pStyle w:val="style0"/>
        <w:jc w:val="left"/>
      </w:pPr>
      <w:r>
        <w:rPr>
          <w:rFonts w:ascii="Liberation Serif" w:hAnsi="Liberation Serif"/>
          <w:sz w:val="24"/>
          <w:szCs w:val="24"/>
        </w:rPr>
        <w:tab/>
        <w:tab/>
        <w:t xml:space="preserve">Vlieghe </w:t>
      </w:r>
      <w:r>
        <w:rPr>
          <w:rFonts w:ascii="Liberation Serif" w:hAnsi="Liberation Serif"/>
          <w:sz w:val="24"/>
          <w:szCs w:val="24"/>
        </w:rPr>
        <w:t>et al., 2006 :</w:t>
      </w:r>
      <w:r>
        <w:rPr>
          <w:rFonts w:ascii="Liberation Serif" w:hAnsi="Liberation Serif"/>
          <w:sz w:val="24"/>
          <w:szCs w:val="24"/>
        </w:rPr>
        <w:t xml:space="preserve"> </w:t>
      </w:r>
      <w:r>
        <w:rPr>
          <w:rFonts w:ascii="Liberation Serif" w:hAnsi="Liberation Serif"/>
          <w:b/>
          <w:bCs/>
          <w:sz w:val="24"/>
          <w:szCs w:val="24"/>
        </w:rPr>
        <w:t>24</w:t>
      </w:r>
      <w:r>
        <w:rPr>
          <w:rFonts w:ascii="Liberation Serif" w:hAnsi="Liberation Serif"/>
          <w:b/>
          <w:bCs/>
          <w:sz w:val="24"/>
          <w:szCs w:val="24"/>
        </w:rPr>
        <w:t>9</w:t>
      </w:r>
      <w:r>
        <w:rPr>
          <w:rFonts w:ascii="Liberation Serif" w:hAnsi="Liberation Serif"/>
          <w:sz w:val="24"/>
          <w:szCs w:val="24"/>
        </w:rPr>
        <w:t xml:space="preserve"> </w:t>
      </w:r>
      <w:r>
        <w:rPr>
          <w:rFonts w:ascii="Liberation Serif" w:hAnsi="Liberation Serif"/>
          <w:b/>
          <w:bCs/>
          <w:sz w:val="24"/>
          <w:szCs w:val="24"/>
        </w:rPr>
        <w:t>citations</w:t>
      </w:r>
    </w:p>
    <w:p>
      <w:pPr>
        <w:pStyle w:val="style0"/>
        <w:jc w:val="left"/>
      </w:pPr>
      <w:r>
        <w:rPr>
          <w:rFonts w:ascii="Liberation Serif" w:hAnsi="Liberation Serif"/>
          <w:sz w:val="24"/>
          <w:szCs w:val="24"/>
        </w:rPr>
      </w:r>
    </w:p>
    <w:p>
      <w:pPr>
        <w:pStyle w:val="style0"/>
        <w:jc w:val="left"/>
      </w:pPr>
      <w:r>
        <w:rPr>
          <w:rFonts w:ascii="Liberation Serif" w:hAnsi="Liberation Serif"/>
          <w:color w:val="000000"/>
          <w:sz w:val="24"/>
          <w:szCs w:val="24"/>
        </w:rPr>
        <w:tab/>
        <w:tab/>
      </w:r>
      <w:r>
        <w:rPr/>
        <w:t xml:space="preserve">Bryne </w:t>
      </w:r>
      <w:r>
        <w:rPr/>
        <w:t xml:space="preserve">et al. </w:t>
      </w:r>
      <w:r>
        <w:rPr/>
        <w:t>2008 :</w:t>
      </w:r>
      <w:r>
        <w:rPr>
          <w:rFonts w:ascii="Liberation Serif" w:hAnsi="Liberation Serif"/>
          <w:b/>
          <w:bCs/>
          <w:color w:val="000000"/>
          <w:sz w:val="24"/>
          <w:szCs w:val="24"/>
        </w:rPr>
        <w:t xml:space="preserve">  646 citations</w:t>
      </w:r>
    </w:p>
    <w:p>
      <w:pPr>
        <w:pStyle w:val="style0"/>
        <w:jc w:val="left"/>
      </w:pPr>
      <w:r>
        <w:rPr>
          <w:rFonts w:ascii="Liberation Serif" w:hAnsi="Liberation Serif"/>
          <w:b/>
          <w:bCs/>
          <w:sz w:val="24"/>
          <w:szCs w:val="24"/>
        </w:rPr>
      </w:r>
    </w:p>
    <w:p>
      <w:pPr>
        <w:pStyle w:val="style0"/>
        <w:jc w:val="left"/>
      </w:pPr>
      <w:r>
        <w:rPr>
          <w:rFonts w:ascii="Liberation Serif" w:hAnsi="Liberation Serif"/>
          <w:color w:val="000000"/>
          <w:sz w:val="24"/>
          <w:szCs w:val="24"/>
        </w:rPr>
        <w:tab/>
        <w:tab/>
      </w:r>
      <w:r>
        <w:rPr/>
        <w:t xml:space="preserve">Portales-Casamar </w:t>
      </w:r>
      <w:r>
        <w:rPr/>
        <w:t xml:space="preserve">et al. </w:t>
      </w:r>
      <w:r>
        <w:rPr>
          <w:rFonts w:ascii="Liberation Serif" w:hAnsi="Liberation Serif"/>
          <w:color w:val="000000"/>
          <w:sz w:val="24"/>
          <w:szCs w:val="24"/>
        </w:rPr>
        <w:t xml:space="preserve"> </w:t>
      </w:r>
      <w:r>
        <w:rPr>
          <w:rFonts w:ascii="Liberation Serif" w:hAnsi="Liberation Serif"/>
          <w:b/>
          <w:bCs/>
          <w:color w:val="000000"/>
          <w:sz w:val="24"/>
          <w:szCs w:val="24"/>
        </w:rPr>
        <w:t xml:space="preserve">552 </w:t>
      </w:r>
      <w:r>
        <w:rPr>
          <w:rFonts w:ascii="Liberation Serif" w:hAnsi="Liberation Serif"/>
          <w:b/>
          <w:bCs/>
          <w:color w:val="000000"/>
          <w:sz w:val="24"/>
          <w:szCs w:val="24"/>
        </w:rPr>
        <w:t>citattions</w:t>
      </w:r>
    </w:p>
    <w:p>
      <w:pPr>
        <w:pStyle w:val="style0"/>
        <w:jc w:val="left"/>
      </w:pPr>
      <w:r>
        <w:rPr>
          <w:rFonts w:ascii="Liberation Serif" w:hAnsi="Liberation Serif"/>
          <w:sz w:val="24"/>
          <w:szCs w:val="24"/>
        </w:rPr>
      </w:r>
    </w:p>
    <w:p>
      <w:pPr>
        <w:pStyle w:val="style0"/>
        <w:jc w:val="left"/>
      </w:pPr>
      <w:r>
        <w:rPr>
          <w:sz w:val="24"/>
          <w:szCs w:val="24"/>
        </w:rPr>
        <w:tab/>
        <w:tab/>
      </w:r>
      <w:r>
        <w:rPr>
          <w:sz w:val="24"/>
          <w:szCs w:val="24"/>
        </w:rPr>
        <w:t xml:space="preserve">Mathelier </w:t>
      </w:r>
      <w:r>
        <w:rPr>
          <w:sz w:val="24"/>
          <w:szCs w:val="24"/>
        </w:rPr>
        <w:t xml:space="preserve">et al. </w:t>
      </w:r>
      <w:r>
        <w:rPr>
          <w:b/>
          <w:bCs/>
          <w:sz w:val="24"/>
          <w:szCs w:val="24"/>
        </w:rPr>
        <w:t xml:space="preserve"> 635 citations</w:t>
      </w:r>
    </w:p>
    <w:p>
      <w:pPr>
        <w:pStyle w:val="style0"/>
        <w:jc w:val="left"/>
      </w:pPr>
      <w:r>
        <w:rPr>
          <w:sz w:val="24"/>
          <w:szCs w:val="24"/>
        </w:rPr>
      </w:r>
    </w:p>
    <w:p>
      <w:pPr>
        <w:pStyle w:val="style0"/>
        <w:jc w:val="left"/>
      </w:pPr>
      <w:r>
        <w:rPr>
          <w:sz w:val="24"/>
          <w:szCs w:val="24"/>
        </w:rPr>
        <w:tab/>
        <w:tab/>
      </w:r>
      <w:r>
        <w:rPr/>
        <w:t xml:space="preserve">Mathelier </w:t>
      </w:r>
      <w:r>
        <w:rPr/>
        <w:t xml:space="preserve">et al. </w:t>
      </w:r>
      <w:r>
        <w:rPr>
          <w:b/>
          <w:bCs/>
          <w:sz w:val="24"/>
          <w:szCs w:val="24"/>
        </w:rPr>
        <w:t xml:space="preserve"> 150 citations</w:t>
      </w:r>
    </w:p>
    <w:p>
      <w:pPr>
        <w:pStyle w:val="style0"/>
        <w:jc w:val="left"/>
      </w:pPr>
      <w:r>
        <w:rPr>
          <w:rFonts w:ascii="Liberation Serif" w:hAnsi="Liberation Serif"/>
          <w:color w:val="000000"/>
          <w:sz w:val="24"/>
          <w:szCs w:val="24"/>
        </w:rPr>
        <w:tab/>
        <w:tab/>
      </w:r>
    </w:p>
    <w:p>
      <w:pPr>
        <w:pStyle w:val="style0"/>
        <w:jc w:val="left"/>
      </w:pPr>
      <w:r>
        <w:rPr>
          <w:rFonts w:ascii="Liberation Serif" w:hAnsi="Liberation Serif"/>
          <w:color w:val="000000"/>
          <w:sz w:val="24"/>
          <w:szCs w:val="24"/>
        </w:rPr>
        <w:tab/>
      </w:r>
      <w:r>
        <w:rPr>
          <w:rFonts w:ascii="Liberation Serif" w:hAnsi="Liberation Serif"/>
          <w:color w:val="000000"/>
          <w:sz w:val="24"/>
          <w:szCs w:val="24"/>
        </w:rPr>
        <w:t>Quant aux analyses sur les préférences de dispositions entre les facteurs de transcriptions, l'idex pourra apporter de nouvelles perspectives au travail déjà réalisé sur les facteurs de développement de la plante LEAFY et ARF. Il serait ainsi mentionné dans la publication issue de ces analyses.</w:t>
      </w:r>
    </w:p>
    <w:p>
      <w:pPr>
        <w:pStyle w:val="style0"/>
        <w:jc w:val="left"/>
      </w:pPr>
      <w:r>
        <w:rPr>
          <w:rFonts w:ascii="Liberation Serif" w:hAnsi="Liberation Serif"/>
          <w:color w:val="000000"/>
          <w:sz w:val="24"/>
          <w:szCs w:val="24"/>
        </w:rPr>
        <w:tab/>
        <w:t>La généralisation de ces analyses à un grand nombre de facteurs de transcriptions devrait aboutir sur une autre publication.</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Standard"/>
    <w:next w:val="style0"/>
    <w:pPr>
      <w:widowControl w:val="false"/>
      <w:tabs/>
      <w:suppressAutoHyphens w:val="true"/>
    </w:pPr>
    <w:rPr>
      <w:rFonts w:ascii="Liberation Serif" w:cs="DejaVu Sans" w:eastAsia="WenQuanYi Zen Hei Sharp" w:hAnsi="Liberation Serif"/>
      <w:color w:val="auto"/>
      <w:sz w:val="24"/>
      <w:szCs w:val="24"/>
      <w:lang w:bidi="hi-IN" w:eastAsia="zh-CN" w:val="en-GB"/>
    </w:rPr>
  </w:style>
  <w:style w:styleId="style15" w:type="character">
    <w:name w:val="Lien Internet"/>
    <w:next w:val="style15"/>
    <w:rPr>
      <w:color w:val="000080"/>
      <w:u w:val="single"/>
      <w:lang w:bidi="fr-FR" w:eastAsia="fr-FR" w:val="fr-FR"/>
    </w:rPr>
  </w:style>
  <w:style w:styleId="style16" w:type="paragraph">
    <w:name w:val="Titre"/>
    <w:basedOn w:val="style0"/>
    <w:next w:val="style17"/>
    <w:pPr>
      <w:keepNext/>
      <w:spacing w:after="120" w:before="240"/>
      <w:contextualSpacing w:val="false"/>
    </w:pPr>
    <w:rPr>
      <w:rFonts w:ascii="Liberation Sans" w:cs="DejaVu Sans" w:eastAsia="WenQuanYi Zen Hei Sharp" w:hAnsi="Liberation Sans"/>
      <w:sz w:val="28"/>
      <w:szCs w:val="28"/>
    </w:rPr>
  </w:style>
  <w:style w:styleId="style17" w:type="paragraph">
    <w:name w:val="Corps de texte"/>
    <w:basedOn w:val="style0"/>
    <w:next w:val="style17"/>
    <w:pPr>
      <w:spacing w:after="120" w:before="0"/>
      <w:contextualSpacing w:val="false"/>
    </w:pPr>
    <w:rPr/>
  </w:style>
  <w:style w:styleId="style18" w:type="paragraph">
    <w:name w:val="Liste"/>
    <w:basedOn w:val="style17"/>
    <w:next w:val="style18"/>
    <w:pPr/>
    <w:rPr>
      <w:rFonts w:cs="DejaVu Sans"/>
    </w:rPr>
  </w:style>
  <w:style w:styleId="style19" w:type="paragraph">
    <w:name w:val="Légende"/>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1037</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2017-05-12T09:56:14.00Z</dcterms:created>
  <dc:creator>Arnaud AS248291</dc:creator>
  <cp:lastModifiedBy>Arnaud AS248291</cp:lastModifiedBy>
  <dcterms:modified xsi:type="dcterms:W3CDTF">2017-05-12T11:00:33.00Z</dcterms:modified>
  <cp:revision>1</cp:revision>
</cp:coreProperties>
</file>