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46"/>
          <w:szCs w:val="46"/>
        </w:rPr>
        <w:t xml:space="preserve">HOW TO VALUE A SHARE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B4FE0"/>
          <w:sz w:val="30"/>
          <w:szCs w:val="30"/>
        </w:rPr>
        <w:t xml:space="preserve">A Step-by-Step DCF Guide</w:t>
      </w:r>
    </w:p>
    <w:p>
      <w:pPr>
        <w:pBdr>
          <w:bottom w:val="single" w:color="5B4FE0" w:sz="12" w:space="4"/>
        </w:pBdr>
        <w:spacing w:after="1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Using the IT / Technology Services DCF Template  +  Screener.in</w:t>
      </w:r>
    </w:p>
    <w:p>
      <w:pPr>
        <w:spacing w:after="120" w:line="276"/>
      </w:pPr>
      <w:r>
        <w:rPr>
          <w:rFonts w:ascii="Arial" w:cs="Arial" w:eastAsia="Arial" w:hAnsi="Arial"/>
          <w:color w:val="1A1A2E"/>
        </w:rPr>
        <w:t xml:space="preserve">This guide walks you from a blank template to a single number: the intrinsic value per share — what the business is actually worth based on the cash it can generate. You compare that number to the market price to judge whether a stock looks cheap or expensive.</w:t>
      </w:r>
    </w:p>
    <w:tbl>
      <w:tblPr>
        <w:tblW w:type="dxa" w:w="9026"/>
        <w:tblBorders>
          <w:top w:val="single" w:color="EFEFF4" w:sz="1"/>
          <w:left w:val="single" w:color="5B4FE0" w:sz="22"/>
          <w:bottom w:val="single" w:color="EFEFF4" w:sz="1"/>
          <w:right w:val="single" w:color="EFEFF4" w:sz="1"/>
          <w:insideH w:val="single" w:color="EFEFF4" w:sz="1"/>
          <w:insideV w:val="single" w:color="EFEFF4" w:sz="1"/>
        </w:tblBorders>
      </w:tblPr>
      <w:tblGrid>
        <w:gridCol w:w="9026"/>
      </w:tblGrid>
      <w:tr>
        <w:tc>
          <w:tcPr>
            <w:tcW w:type="dxa" w:w="9026"/>
            <w:shd w:fill="EFEFF4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Before you start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This template is tuned for Indian listed IT / technology-services companies (TCS, Infosys, HCL Tech, Wipro, Tech Mahindra, etc.). The assumptions engine assumes IT-style economics — net-cash balance sheets, low capex, stable margins. Use it on IT names.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You will need free accounts on Screener.in and Trendlyne, plus a couple of public web sources. Everything needed is listed in the data-sources table near the end.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3A2FA0"/>
          <w:sz w:val="30"/>
          <w:szCs w:val="30"/>
        </w:rPr>
        <w:t xml:space="preserve">First, the only rule that matters: the colour code</w:t>
      </w:r>
    </w:p>
    <w:p>
      <w:pPr>
        <w:spacing w:after="120" w:line="276"/>
      </w:pPr>
      <w:r>
        <w:rPr>
          <w:rFonts w:ascii="Arial" w:cs="Arial" w:eastAsia="Arial" w:hAnsi="Arial"/>
          <w:color w:val="1A1A2E"/>
        </w:rPr>
        <w:t xml:space="preserve">The template is colour-coded so you never have to guess which cells to touch. Learn these five colours and the rest is mechanical — you only ever type into blue and yellow cells.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26"/>
        <w:gridCol w:w="2700"/>
      </w:tblGrid>
      <w:tr>
        <w:trPr>
          <w:tblHeader/>
        </w:trPr>
        <w:tc>
          <w:tcPr>
            <w:tcW w:type="dxa" w:w="17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4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7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you type here?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DCE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Light blue</w:t>
            </w:r>
          </w:p>
        </w:tc>
        <w:tc>
          <w:tcPr>
            <w:tcW w:type="dxa" w:w="4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DCE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Historical input — paste from Screener’s expanded Balance Sheet / Cash Flow views</w:t>
            </w:r>
          </w:p>
        </w:tc>
        <w:tc>
          <w:tcPr>
            <w:tcW w:type="dxa" w:w="27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DCE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12823C"/>
                <w:sz w:val="20"/>
                <w:szCs w:val="20"/>
              </w:rPr>
              <w:t xml:space="preserve">YES — manual entry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1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Yellow</w:t>
            </w:r>
          </w:p>
        </w:tc>
        <w:tc>
          <w:tcPr>
            <w:tcW w:type="dxa" w:w="4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1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 input — forecasts (Trendlyne), Market Cap, WACC inputs, your judgment</w:t>
            </w:r>
          </w:p>
        </w:tc>
        <w:tc>
          <w:tcPr>
            <w:tcW w:type="dxa" w:w="27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1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12823C"/>
                <w:sz w:val="20"/>
                <w:szCs w:val="20"/>
              </w:rPr>
              <w:t xml:space="preserve">YES — manual entry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DC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Dark green</w:t>
            </w:r>
          </w:p>
        </w:tc>
        <w:tc>
          <w:tcPr>
            <w:tcW w:type="dxa" w:w="4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DC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Auto-filled from the Data Sheet that Screener populates on export</w:t>
            </w:r>
          </w:p>
        </w:tc>
        <w:tc>
          <w:tcPr>
            <w:tcW w:type="dxa" w:w="27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DC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— fills itself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E7E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Purple / lavender</w:t>
            </w:r>
          </w:p>
        </w:tc>
        <w:tc>
          <w:tcPr>
            <w:tcW w:type="dxa" w:w="4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E7E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Auto-projected by formula (taper / TREND). Future-year estimates</w:t>
            </w:r>
          </w:p>
        </w:tc>
        <w:tc>
          <w:tcPr>
            <w:tcW w:type="dxa" w:w="27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E7E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— never edit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Black on white</w:t>
            </w:r>
          </w:p>
        </w:tc>
        <w:tc>
          <w:tcPr>
            <w:tcW w:type="dxa" w:w="4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calculated formula cell</w:t>
            </w:r>
          </w:p>
        </w:tc>
        <w:tc>
          <w:tcPr>
            <w:tcW w:type="dxa" w:w="27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— never type here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B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 / orange</w:t>
            </w:r>
          </w:p>
        </w:tc>
        <w:tc>
          <w:tcPr>
            <w:tcW w:type="dxa" w:w="4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B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check. These must read 0 (± small rounding)</w:t>
            </w:r>
          </w:p>
        </w:tc>
        <w:tc>
          <w:tcPr>
            <w:tcW w:type="dxa" w:w="27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B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— watch it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E7E1F8" w:sz="1"/>
          <w:left w:val="single" w:color="5B4FE0" w:sz="22"/>
          <w:bottom w:val="single" w:color="E7E1F8" w:sz="1"/>
          <w:right w:val="single" w:color="E7E1F8" w:sz="1"/>
          <w:insideH w:val="single" w:color="E7E1F8" w:sz="1"/>
          <w:insideV w:val="single" w:color="E7E1F8" w:sz="1"/>
        </w:tblBorders>
      </w:tblPr>
      <w:tblGrid>
        <w:gridCol w:w="9026"/>
      </w:tblGrid>
      <w:tr>
        <w:tc>
          <w:tcPr>
            <w:tcW w:type="dxa" w:w="9026"/>
            <w:shd w:fill="E7E1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Golden rule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a cell is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not blue or yellow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leave it alone. Typing over a green/purple/black cell breaks the formulas downstream.</w:t>
            </w:r>
          </w:p>
        </w:tc>
      </w:tr>
    </w:tbl>
    <w:p>
      <w:pPr>
        <w:pBdr>
          <w:bottom w:val="single" w:color="5B4FE0" w:sz="6" w:space="1"/>
        </w:pBdr>
        <w:spacing w:after="160" w:before="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3A2FA0"/>
          <w:sz w:val="30"/>
          <w:szCs w:val="30"/>
        </w:rPr>
        <w:t xml:space="preserve">Part 1 — Load the template and pull the data from Screener</w:t>
      </w:r>
    </w:p>
    <w:p>
      <w:pPr>
        <w:spacing w:after="120" w:line="276"/>
      </w:pPr>
      <w:r>
        <w:rPr>
          <w:rFonts w:ascii="Arial" w:cs="Arial" w:eastAsia="Arial" w:hAnsi="Arial"/>
          <w:color w:val="1A1A2E"/>
        </w:rPr>
        <w:t xml:space="preserve">This is the part you already mapped out. The goal here is just to get a copy of the template with the company’s historical numbers auto-filled.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5"/>
          <w:szCs w:val="25"/>
        </w:rPr>
        <w:t xml:space="preserve">1A. Install the template into your Screener account (one time)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1A1A2E"/>
        </w:rPr>
        <w:t xml:space="preserve">Go to screener.in/excel/.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1A1A2E"/>
        </w:rPr>
        <w:t xml:space="preserve">Click </w:t>
      </w:r>
      <w:r>
        <w:rPr>
          <w:rFonts w:ascii="Arial" w:cs="Arial" w:eastAsia="Arial" w:hAnsi="Arial"/>
          <w:b/>
          <w:bCs/>
          <w:color w:val="1A1A2E"/>
        </w:rPr>
        <w:t xml:space="preserve">Reset Customization</w:t>
      </w:r>
      <w:r>
        <w:rPr>
          <w:rFonts w:ascii="Arial" w:cs="Arial" w:eastAsia="Arial" w:hAnsi="Arial"/>
          <w:color w:val="1A1A2E"/>
        </w:rPr>
        <w:t xml:space="preserve">, then confirm. This clears any old template so Screener starts clean. (You’ll see “Your Excel customizations have been reset to default.”)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1A1A2E"/>
        </w:rPr>
        <w:t xml:space="preserve">Go back to screener.in/excel/ again.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1A1A2E"/>
        </w:rPr>
        <w:t xml:space="preserve">Under </w:t>
      </w:r>
      <w:r>
        <w:rPr>
          <w:rFonts w:ascii="Arial" w:cs="Arial" w:eastAsia="Arial" w:hAnsi="Arial"/>
          <w:b/>
          <w:bCs/>
          <w:color w:val="1A1A2E"/>
        </w:rPr>
        <w:t xml:space="preserve">Excel file</w:t>
      </w:r>
      <w:r>
        <w:rPr>
          <w:rFonts w:ascii="Arial" w:cs="Arial" w:eastAsia="Arial" w:hAnsi="Arial"/>
          <w:color w:val="1A1A2E"/>
        </w:rPr>
        <w:t xml:space="preserve">, click </w:t>
      </w:r>
      <w:r>
        <w:rPr>
          <w:rFonts w:ascii="Arial" w:cs="Arial" w:eastAsia="Arial" w:hAnsi="Arial"/>
          <w:b/>
          <w:bCs/>
          <w:color w:val="1A1A2E"/>
        </w:rPr>
        <w:t xml:space="preserve">Choose file</w:t>
      </w:r>
      <w:r>
        <w:rPr>
          <w:rFonts w:ascii="Arial" w:cs="Arial" w:eastAsia="Arial" w:hAnsi="Arial"/>
          <w:color w:val="1A1A2E"/>
        </w:rPr>
        <w:t xml:space="preserve"> and select </w:t>
      </w:r>
      <w:r>
        <w:rPr>
          <w:rFonts w:ascii="Arial" w:cs="Arial" w:eastAsia="Arial" w:hAnsi="Arial"/>
          <w:b/>
          <w:bCs/>
          <w:color w:val="3A2FA0"/>
        </w:rPr>
        <w:t xml:space="preserve">DCF_IT_Template.xlsx</w:t>
      </w:r>
      <w:r>
        <w:rPr>
          <w:rFonts w:ascii="Arial" w:cs="Arial" w:eastAsia="Arial" w:hAnsi="Arial"/>
          <w:color w:val="1A1A2E"/>
        </w:rPr>
        <w:t xml:space="preserve"> (the template you built).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color w:val="1A1A2E"/>
        </w:rPr>
        <w:t xml:space="preserve">Click </w:t>
      </w:r>
      <w:r>
        <w:rPr>
          <w:rFonts w:ascii="Arial" w:cs="Arial" w:eastAsia="Arial" w:hAnsi="Arial"/>
          <w:b/>
          <w:bCs/>
          <w:color w:val="1A1A2E"/>
        </w:rPr>
        <w:t xml:space="preserve">Upload</w:t>
      </w:r>
      <w:r>
        <w:rPr>
          <w:rFonts w:ascii="Arial" w:cs="Arial" w:eastAsia="Arial" w:hAnsi="Arial"/>
          <w:color w:val="1A1A2E"/>
        </w:rPr>
        <w:t xml:space="preserve">. Screener now remembers this template as your custom export format.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5"/>
          <w:szCs w:val="25"/>
        </w:rPr>
        <w:t xml:space="preserve">1B. Export a company into the template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Arial" w:cs="Arial" w:eastAsia="Arial" w:hAnsi="Arial"/>
          <w:color w:val="1A1A2E"/>
        </w:rPr>
        <w:t xml:space="preserve">In the </w:t>
      </w:r>
      <w:r>
        <w:rPr>
          <w:rFonts w:ascii="Arial" w:cs="Arial" w:eastAsia="Arial" w:hAnsi="Arial"/>
          <w:b/>
          <w:bCs/>
          <w:color w:val="1A1A2E"/>
        </w:rPr>
        <w:t xml:space="preserve">Search for a company</w:t>
      </w:r>
      <w:r>
        <w:rPr>
          <w:rFonts w:ascii="Arial" w:cs="Arial" w:eastAsia="Arial" w:hAnsi="Arial"/>
          <w:color w:val="1A1A2E"/>
        </w:rPr>
        <w:t xml:space="preserve"> box (top right), type an IT company — e.g. </w:t>
      </w:r>
      <w:r>
        <w:rPr>
          <w:rFonts w:ascii="Arial" w:cs="Arial" w:eastAsia="Arial" w:hAnsi="Arial"/>
          <w:b/>
          <w:bCs/>
          <w:color w:val="1A1A2E"/>
        </w:rPr>
        <w:t xml:space="preserve">Infosys</w:t>
      </w:r>
      <w:r>
        <w:rPr>
          <w:rFonts w:ascii="Arial" w:cs="Arial" w:eastAsia="Arial" w:hAnsi="Arial"/>
          <w:color w:val="1A1A2E"/>
        </w:rPr>
        <w:t xml:space="preserve">. Pick an IT name, since this template is IT-specific.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Arial" w:cs="Arial" w:eastAsia="Arial" w:hAnsi="Arial"/>
          <w:color w:val="1A1A2E"/>
        </w:rPr>
        <w:t xml:space="preserve">Open the company’s page.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Arial" w:cs="Arial" w:eastAsia="Arial" w:hAnsi="Arial"/>
          <w:color w:val="1A1A2E"/>
        </w:rPr>
        <w:t xml:space="preserve">Click </w:t>
      </w:r>
      <w:r>
        <w:rPr>
          <w:rFonts w:ascii="Arial" w:cs="Arial" w:eastAsia="Arial" w:hAnsi="Arial"/>
          <w:b/>
          <w:bCs/>
          <w:color w:val="1A1A2E"/>
        </w:rPr>
        <w:t xml:space="preserve">Export to Excel</w:t>
      </w:r>
      <w:r>
        <w:rPr>
          <w:rFonts w:ascii="Arial" w:cs="Arial" w:eastAsia="Arial" w:hAnsi="Arial"/>
          <w:color w:val="1A1A2E"/>
        </w:rPr>
        <w:t xml:space="preserve"> (top right of the company page).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Arial" w:cs="Arial" w:eastAsia="Arial" w:hAnsi="Arial"/>
          <w:color w:val="1A1A2E"/>
        </w:rPr>
        <w:t xml:space="preserve">Screener generates and downloads a file — e.g. </w:t>
      </w:r>
      <w:r>
        <w:rPr>
          <w:rFonts w:ascii="Arial" w:cs="Arial" w:eastAsia="Arial" w:hAnsi="Arial"/>
          <w:b/>
          <w:bCs/>
          <w:color w:val="3A2FA0"/>
        </w:rPr>
        <w:t xml:space="preserve">Infosys.xlsx</w:t>
      </w:r>
      <w:r>
        <w:rPr>
          <w:rFonts w:ascii="Arial" w:cs="Arial" w:eastAsia="Arial" w:hAnsi="Arial"/>
          <w:color w:val="1A1A2E"/>
        </w:rPr>
        <w:t xml:space="preserve">. That’s your working copy of the model.</w:t>
      </w:r>
    </w:p>
    <w:p>
      <w:pPr>
        <w:spacing w:after="20"/>
      </w:pPr>
    </w:p>
    <w:tbl>
      <w:tblPr>
        <w:tblW w:type="dxa" w:w="9026"/>
        <w:tblBorders>
          <w:top w:val="single" w:color="DCEFE0" w:sz="1"/>
          <w:left w:val="single" w:color="5B4FE0" w:sz="22"/>
          <w:bottom w:val="single" w:color="DCEFE0" w:sz="1"/>
          <w:right w:val="single" w:color="DCEFE0" w:sz="1"/>
          <w:insideH w:val="single" w:color="DCEFE0" w:sz="1"/>
          <w:insideV w:val="single" w:color="DCEFE0" w:sz="1"/>
        </w:tblBorders>
      </w:tblPr>
      <w:tblGrid>
        <w:gridCol w:w="9026"/>
      </w:tblGrid>
      <w:tr>
        <w:tc>
          <w:tcPr>
            <w:tcW w:type="dxa" w:w="9026"/>
            <w:shd w:fill="DCEFE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you get for free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 the file. The Data Sheet and every dark-green cell across the model are already filled — 10 years of P&amp;L, balance sheet, and cash flow, plus shares, face value and current price. Screener did the data entry for you.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 not edit the Data Sheet.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It is the engine that feeds the rest of the model.</w:t>
            </w:r>
          </w:p>
        </w:tc>
      </w:tr>
    </w:tbl>
    <w:p>
      <w:pPr>
        <w:pBdr>
          <w:bottom w:val="single" w:color="5B4FE0" w:sz="6" w:space="1"/>
        </w:pBdr>
        <w:spacing w:after="160" w:before="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3A2FA0"/>
          <w:sz w:val="30"/>
          <w:szCs w:val="30"/>
        </w:rPr>
        <w:t xml:space="preserve">Part 2 — Fill in the cells Screener can’t (blue + yellow)</w:t>
      </w:r>
    </w:p>
    <w:p>
      <w:pPr>
        <w:spacing w:after="120" w:line="276"/>
      </w:pPr>
      <w:r>
        <w:rPr>
          <w:rFonts w:ascii="Arial" w:cs="Arial" w:eastAsia="Arial" w:hAnsi="Arial"/>
          <w:color w:val="1A1A2E"/>
        </w:rPr>
        <w:t xml:space="preserve">Screener fills the headline numbers, but a DCF needs a few details Screener doesn’t export by default. You’ll fill these by hand from Screener’s expanded views and a couple of other free sources. Work through the sheets left to right.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5"/>
          <w:szCs w:val="25"/>
        </w:rPr>
        <w:t xml:space="preserve">Step 1  ·  📊 Hist Data — finish the historical picture</w:t>
      </w:r>
    </w:p>
    <w:p>
      <w:pPr>
        <w:spacing w:after="120" w:line="276"/>
      </w:pPr>
      <w:r>
        <w:rPr>
          <w:rFonts w:ascii="Arial" w:cs="Arial" w:eastAsia="Arial" w:hAnsi="Arial"/>
          <w:color w:val="1A1A2E"/>
        </w:rPr>
        <w:t xml:space="preserve">The green cells are done. Fill only the light-blue and yellow cells below. In Screener, click the small “+” / expand arrows on the Balance Sheet and Cash Flow rows to reveal the sub-lines.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Borrowings breakdown (blue): </w:t>
      </w:r>
      <w:r>
        <w:rPr>
          <w:rFonts w:ascii="Arial" w:cs="Arial" w:eastAsia="Arial" w:hAnsi="Arial"/>
          <w:color w:val="1A1A2E"/>
        </w:rPr>
        <w:t xml:space="preserve">Long-Term, Short-Term and Lease Liabilities — Screener BS → expand Borrowings.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Trade Payables &amp; Advance from Customers (blue): </w:t>
      </w:r>
      <w:r>
        <w:rPr>
          <w:rFonts w:ascii="Arial" w:cs="Arial" w:eastAsia="Arial" w:hAnsi="Arial"/>
          <w:color w:val="1A1A2E"/>
        </w:rPr>
        <w:t xml:space="preserve">Screener BS → expand Other Liabilities. (Advance from customers = deferred revenue.)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Non-Controlling / Minority Interest (blue): </w:t>
      </w:r>
      <w:r>
        <w:rPr>
          <w:rFonts w:ascii="Arial" w:cs="Arial" w:eastAsia="Arial" w:hAnsi="Arial"/>
          <w:color w:val="1A1A2E"/>
        </w:rPr>
        <w:t xml:space="preserve">Screener BS → expand Other Liabilities.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Loans &amp; Advances and Other Asset items (blue): </w:t>
      </w:r>
      <w:r>
        <w:rPr>
          <w:rFonts w:ascii="Arial" w:cs="Arial" w:eastAsia="Arial" w:hAnsi="Arial"/>
          <w:color w:val="1A1A2E"/>
        </w:rPr>
        <w:t xml:space="preserve">Screener BS → expand Other Assets.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Working Capital Changes (blue): </w:t>
      </w:r>
      <w:r>
        <w:rPr>
          <w:rFonts w:ascii="Arial" w:cs="Arial" w:eastAsia="Arial" w:hAnsi="Arial"/>
          <w:color w:val="1A1A2E"/>
        </w:rPr>
        <w:t xml:space="preserve">Screener Cash Flow → expand Operating Activity.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Capex / Fixed assets purchased (blue): </w:t>
      </w:r>
      <w:r>
        <w:rPr>
          <w:rFonts w:ascii="Arial" w:cs="Arial" w:eastAsia="Arial" w:hAnsi="Arial"/>
          <w:color w:val="1A1A2E"/>
        </w:rPr>
        <w:t xml:space="preserve">Screener Cash Flow → expand Investing Activity. Enter as a negative number.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Market Capitalisation, by year (yellow): </w:t>
      </w:r>
      <w:r>
        <w:rPr>
          <w:rFonts w:ascii="Arial" w:cs="Arial" w:eastAsia="Arial" w:hAnsi="Arial"/>
          <w:color w:val="1A1A2E"/>
        </w:rPr>
        <w:t xml:space="preserve">companiesmarketcap.com → search the company → Market Cap History → annual. (Screener only exports the current market cap.)</w:t>
      </w:r>
    </w:p>
    <w:p>
      <w:pPr>
        <w:spacing w:after="20"/>
      </w:pPr>
    </w:p>
    <w:tbl>
      <w:tblPr>
        <w:tblW w:type="dxa" w:w="9026"/>
        <w:tblBorders>
          <w:top w:val="single" w:color="FBE0E0" w:sz="1"/>
          <w:left w:val="single" w:color="5B4FE0" w:sz="22"/>
          <w:bottom w:val="single" w:color="FBE0E0" w:sz="1"/>
          <w:right w:val="single" w:color="FBE0E0" w:sz="1"/>
          <w:insideH w:val="single" w:color="FBE0E0" w:sz="1"/>
          <w:insideV w:val="single" w:color="FBE0E0" w:sz="1"/>
        </w:tblBorders>
      </w:tblPr>
      <w:tblGrid>
        <w:gridCol w:w="9026"/>
      </w:tblGrid>
      <w:tr>
        <w:tc>
          <w:tcPr>
            <w:tcW w:type="dxa" w:w="9026"/>
            <w:shd w:fill="FBE0E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Check before moving on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Balance Sheet Check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row must read 0 (± a few crore of rounding). If it doesn’t, a blue cell is wrong or missing.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5"/>
          <w:szCs w:val="25"/>
        </w:rPr>
        <w:t xml:space="preserve">Step 2  ·  🔑 Assumptions (Section A) — model parameters</w:t>
      </w:r>
    </w:p>
    <w:p>
      <w:pPr>
        <w:spacing w:after="120" w:line="276"/>
      </w:pPr>
      <w:r>
        <w:rPr>
          <w:rFonts w:ascii="Arial" w:cs="Arial" w:eastAsia="Arial" w:hAnsi="Arial"/>
          <w:color w:val="1A1A2E"/>
        </w:rPr>
        <w:t xml:space="preserve">Switch to the Assumptions sheet. Fill the yellow input cells in Section A: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Company name, NSE ticker, IT sub-sector</w:t>
      </w:r>
      <w:r>
        <w:rPr>
          <w:rFonts w:ascii="Arial" w:cs="Arial" w:eastAsia="Arial" w:hAnsi="Arial"/>
          <w:color w:val="1A1A2E"/>
        </w:rPr>
        <w:t xml:space="preserve"> (Pure-Play IT Services, IT+BPO, Product+Platform, Engineering, or Diversified).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Last historical FY</w:t>
      </w:r>
      <w:r>
        <w:rPr>
          <w:rFonts w:ascii="Arial" w:cs="Arial" w:eastAsia="Arial" w:hAnsi="Arial"/>
          <w:color w:val="1A1A2E"/>
        </w:rPr>
        <w:t xml:space="preserve"> (e.g. FY2026) and the valuation date.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Corporate tax rate: </w:t>
      </w:r>
      <w:r>
        <w:rPr>
          <w:rFonts w:ascii="Arial" w:cs="Arial" w:eastAsia="Arial" w:hAnsi="Arial"/>
          <w:color w:val="1A1A2E"/>
        </w:rPr>
        <w:t xml:space="preserve">use the effective rate from Screener’s P&amp;L → Tax % row, averaged over the last 3 years. Indian IT runs ~20–23% thanks to SEZ/STPI benefits — do NOT use the headline 25.2%.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Terminal growth rate g: </w:t>
      </w:r>
      <w:r>
        <w:rPr>
          <w:rFonts w:ascii="Arial" w:cs="Arial" w:eastAsia="Arial" w:hAnsi="Arial"/>
          <w:color w:val="1A1A2E"/>
        </w:rPr>
        <w:t xml:space="preserve">the rate the company grows at forever after the forecast. Use 5–6% for large-cap Indian IT (GDP-linked). It must be lower than WACC.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5"/>
          <w:szCs w:val="25"/>
        </w:rPr>
        <w:t xml:space="preserve">Step 3  ·  🔑 Assumptions (Sections B &amp; C) — the forecast</w:t>
      </w:r>
    </w:p>
    <w:p>
      <w:pPr>
        <w:spacing w:after="120" w:line="276"/>
      </w:pPr>
      <w:r>
        <w:rPr>
          <w:rFonts w:ascii="Arial" w:cs="Arial" w:eastAsia="Arial" w:hAnsi="Arial"/>
          <w:color w:val="1A1A2E"/>
        </w:rPr>
        <w:t xml:space="preserve">These yellow cells are the heart of the valuation: what you think the business will do for the next two years. The template auto-projects years 3–8 from these. Pull the two-year estimates from Trendlyne’s Forecaster (Company → Forecaster → analyst consensus):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Revenue Growth % (FY+1, FY+2): </w:t>
      </w:r>
      <w:r>
        <w:rPr>
          <w:rFonts w:ascii="Arial" w:cs="Arial" w:eastAsia="Arial" w:hAnsi="Arial"/>
          <w:color w:val="1A1A2E"/>
        </w:rPr>
        <w:t xml:space="preserve">IT large-caps typically 8–15%. Years 3–8 taper automatically toward terminal g.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EBITDA Margin % (FY+1, FY+2): </w:t>
      </w:r>
      <w:r>
        <w:rPr>
          <w:rFonts w:ascii="Arial" w:cs="Arial" w:eastAsia="Arial" w:hAnsi="Arial"/>
          <w:color w:val="1A1A2E"/>
        </w:rPr>
        <w:t xml:space="preserve">benchmarks — TCS ~27%, Infosys ~24%, HCL ~20%. Future years extrapolate via a TREND formula.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D&amp;A / Revenue %: </w:t>
      </w:r>
      <w:r>
        <w:rPr>
          <w:rFonts w:ascii="Arial" w:cs="Arial" w:eastAsia="Arial" w:hAnsi="Arial"/>
          <w:color w:val="1A1A2E"/>
        </w:rPr>
        <w:t xml:space="preserve">derive as (EBITDA% − EBIT%) from Trendlyne. IT D&amp;A is drifting up due to lease accounting (Ind AS 116).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Capex / Revenue % (Section C): </w:t>
      </w:r>
      <w:r>
        <w:rPr>
          <w:rFonts w:ascii="Arial" w:cs="Arial" w:eastAsia="Arial" w:hAnsi="Arial"/>
          <w:color w:val="1A1A2E"/>
        </w:rPr>
        <w:t xml:space="preserve">enter as a percent, not rupees. Benchmarks — TCS ~1.5%, Infosys ~2%, HCL ~2.5%.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NWC % of Revenue (Section D): </w:t>
      </w:r>
      <w:r>
        <w:rPr>
          <w:rFonts w:ascii="Arial" w:cs="Arial" w:eastAsia="Arial" w:hAnsi="Arial"/>
          <w:color w:val="1A1A2E"/>
        </w:rPr>
        <w:t xml:space="preserve">default to the historical average the sheet shows, or use Trendlyne’s working-capital data. Working capital is modelled as a flat % of revenue.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5"/>
          <w:szCs w:val="25"/>
        </w:rPr>
        <w:t xml:space="preserve">Step 4  ·  📐 Beta Calc — the stock’s riskiness</w:t>
      </w:r>
    </w:p>
    <w:p>
      <w:pPr>
        <w:spacing w:after="120" w:line="276"/>
      </w:pPr>
      <w:r>
        <w:rPr>
          <w:rFonts w:ascii="Arial" w:cs="Arial" w:eastAsia="Arial" w:hAnsi="Arial"/>
          <w:color w:val="1A1A2E"/>
        </w:rPr>
        <w:t xml:space="preserve">Beta measures how much the stock swings relative to the market; it feeds the discount rate. The sheet calculates it for you once you paste the price history: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Arial" w:cs="Arial" w:eastAsia="Arial" w:hAnsi="Arial"/>
          <w:color w:val="1A1A2E"/>
        </w:rPr>
        <w:t xml:space="preserve">Get </w:t>
      </w:r>
      <w:r>
        <w:rPr>
          <w:rFonts w:ascii="Arial" w:cs="Arial" w:eastAsia="Arial" w:hAnsi="Arial"/>
          <w:b/>
          <w:bCs/>
          <w:color w:val="1A1A2E"/>
        </w:rPr>
        <w:t xml:space="preserve">3 years of weekly closing prices for the Nifty 50</w:t>
      </w:r>
      <w:r>
        <w:rPr>
          <w:rFonts w:ascii="Arial" w:cs="Arial" w:eastAsia="Arial" w:hAnsi="Arial"/>
          <w:color w:val="1A1A2E"/>
        </w:rPr>
        <w:t xml:space="preserve"> (Trendlyne or investing.com → Historical → Weekly) and paste into the Nifty column.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Arial" w:cs="Arial" w:eastAsia="Arial" w:hAnsi="Arial"/>
          <w:color w:val="1A1A2E"/>
        </w:rPr>
        <w:t xml:space="preserve">Get </w:t>
      </w:r>
      <w:r>
        <w:rPr>
          <w:rFonts w:ascii="Arial" w:cs="Arial" w:eastAsia="Arial" w:hAnsi="Arial"/>
          <w:b/>
          <w:bCs/>
          <w:color w:val="1A1A2E"/>
        </w:rPr>
        <w:t xml:space="preserve">3 years of weekly closing prices for your IT stock</w:t>
      </w:r>
      <w:r>
        <w:rPr>
          <w:rFonts w:ascii="Arial" w:cs="Arial" w:eastAsia="Arial" w:hAnsi="Arial"/>
          <w:color w:val="1A1A2E"/>
        </w:rPr>
        <w:t xml:space="preserve"> over the same dates and paste into the Stock column.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Arial" w:cs="Arial" w:eastAsia="Arial" w:hAnsi="Arial"/>
          <w:color w:val="1A1A2E"/>
        </w:rPr>
        <w:t xml:space="preserve">Use the </w:t>
      </w:r>
      <w:r>
        <w:rPr>
          <w:rFonts w:ascii="Arial" w:cs="Arial" w:eastAsia="Arial" w:hAnsi="Arial"/>
          <w:b/>
          <w:bCs/>
          <w:color w:val="1A1A2E"/>
        </w:rPr>
        <w:t xml:space="preserve">same date range, same number of rows, oldest date at the top</w:t>
      </w:r>
      <w:r>
        <w:rPr>
          <w:rFonts w:ascii="Arial" w:cs="Arial" w:eastAsia="Arial" w:hAnsi="Arial"/>
          <w:color w:val="1A1A2E"/>
        </w:rPr>
        <w:t xml:space="preserve">. The Beta output flows automatically into the WACC step.</w:t>
      </w:r>
    </w:p>
    <w:tbl>
      <w:tblPr>
        <w:tblW w:type="dxa" w:w="9026"/>
        <w:tblBorders>
          <w:top w:val="single" w:color="EFEFF4" w:sz="1"/>
          <w:left w:val="single" w:color="5B4FE0" w:sz="22"/>
          <w:bottom w:val="single" w:color="EFEFF4" w:sz="1"/>
          <w:right w:val="single" w:color="EFEFF4" w:sz="1"/>
          <w:insideH w:val="single" w:color="EFEFF4" w:sz="1"/>
          <w:insideV w:val="single" w:color="EFEFF4" w:sz="1"/>
        </w:tblBorders>
      </w:tblPr>
      <w:tblGrid>
        <w:gridCol w:w="9026"/>
      </w:tblGrid>
      <w:tr>
        <w:tc>
          <w:tcPr>
            <w:tcW w:type="dxa" w:w="9026"/>
            <w:shd w:fill="EFEFF4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Sanity check: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large-cap IT beta should land around 0.6–1.0 (TCS ~0.7, Infosys ~0.8). If you get &gt;1.2 for a large-cap, your data is misaligned.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5"/>
          <w:szCs w:val="25"/>
        </w:rPr>
        <w:t xml:space="preserve">Step 5  ·  🔑 Assumptions (Section F) — the discount rate (WACC)</w:t>
      </w:r>
    </w:p>
    <w:p>
      <w:pPr>
        <w:spacing w:after="120" w:line="276"/>
      </w:pPr>
      <w:r>
        <w:rPr>
          <w:rFonts w:ascii="Arial" w:cs="Arial" w:eastAsia="Arial" w:hAnsi="Arial"/>
          <w:color w:val="1A1A2E"/>
        </w:rPr>
        <w:t xml:space="preserve">WACC is the rate that converts future cash into today’s money — higher risk, higher rate, lower value. Fill three yellow inputs and the template computes WACC for you: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Risk-free rate (Rf): </w:t>
      </w:r>
      <w:r>
        <w:rPr>
          <w:rFonts w:ascii="Arial" w:cs="Arial" w:eastAsia="Arial" w:hAnsi="Arial"/>
          <w:color w:val="1A1A2E"/>
        </w:rPr>
        <w:t xml:space="preserve">India 10-year G-Sec yield. investing.com → “India 10 Year Bond Yield.” Currently around 7%.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Equity risk premium (ERP): </w:t>
      </w:r>
      <w:r>
        <w:rPr>
          <w:rFonts w:ascii="Arial" w:cs="Arial" w:eastAsia="Arial" w:hAnsi="Arial"/>
          <w:color w:val="1A1A2E"/>
        </w:rPr>
        <w:t xml:space="preserve">Damodaran’s India ERP (pages.stern.nyu.edu/~adamodar → Implied ERP → India). Around 7–7.5%.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color w:val="1A1A2E"/>
        </w:rPr>
        <w:t xml:space="preserve">Beta: </w:t>
      </w:r>
      <w:r>
        <w:rPr>
          <w:rFonts w:ascii="Arial" w:cs="Arial" w:eastAsia="Arial" w:hAnsi="Arial"/>
          <w:color w:val="1A1A2E"/>
        </w:rPr>
        <w:t xml:space="preserve">already linked from the Beta Calc tab — just confirm it looks sane.</w:t>
      </w:r>
    </w:p>
    <w:p>
      <w:pPr>
        <w:spacing w:after="120"/>
      </w:pPr>
      <w:r>
        <w:rPr>
          <w:rFonts w:ascii="Arial" w:cs="Arial" w:eastAsia="Arial" w:hAnsi="Arial"/>
          <w:color w:val="1A1A2E"/>
        </w:rPr>
        <w:t xml:space="preserve">The sheet then builds Cost of Equity = Rf + β × ERP, blends in the (tiny) cost of debt, and outputs WACC. For large-cap Indian IT this usually lands in the 11–13% range.</w:t>
      </w:r>
    </w:p>
    <w:p>
      <w:pPr>
        <w:pBdr>
          <w:bottom w:val="single" w:color="5B4FE0" w:sz="6" w:space="1"/>
        </w:pBdr>
        <w:spacing w:after="160" w:before="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3A2FA0"/>
          <w:sz w:val="30"/>
          <w:szCs w:val="30"/>
        </w:rPr>
        <w:t xml:space="preserve">Part 3 — Read the answer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5"/>
          <w:szCs w:val="25"/>
        </w:rPr>
        <w:t xml:space="preserve">💰 FCF &amp; Val — your intrinsic value per share</w:t>
      </w:r>
    </w:p>
    <w:p>
      <w:pPr>
        <w:spacing w:after="120" w:line="276"/>
      </w:pPr>
      <w:r>
        <w:rPr>
          <w:rFonts w:ascii="Arial" w:cs="Arial" w:eastAsia="Arial" w:hAnsi="Arial"/>
          <w:color w:val="1A1A2E"/>
        </w:rPr>
        <w:t xml:space="preserve">Everything now flows into the FCF &amp; Val sheet — no typing here. The model projects free cash flow for 8 years, discounts each year back to today, adds a terminal value for everything beyond, bridges from enterprise value to equity (adding the company’s net cash, which most IT majors have), and divides by shares outstanding.</w:t>
      </w:r>
    </w:p>
    <w:p>
      <w:pPr>
        <w:spacing w:after="120" w:line="276"/>
      </w:pPr>
      <w:r>
        <w:rPr>
          <w:rFonts w:ascii="Arial" w:cs="Arial" w:eastAsia="Arial" w:hAnsi="Arial"/>
          <w:color w:val="1A1A2E"/>
        </w:rPr>
        <w:t xml:space="preserve">Enter one last yellow cell — the current market price (from NSE/BSE/Google) — and read the three output rows: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row</w:t>
            </w:r>
          </w:p>
        </w:tc>
        <w:tc>
          <w:tcPr>
            <w:tcW w:type="dxa" w:w="60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Intrinsic Value per Share</w:t>
            </w:r>
          </w:p>
        </w:tc>
        <w:tc>
          <w:tcPr>
            <w:tcW w:type="dxa" w:w="60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the business is worth per share on your assumptions.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Upside / (Downside) %</w:t>
            </w:r>
          </w:p>
        </w:tc>
        <w:tc>
          <w:tcPr>
            <w:tcW w:type="dxa" w:w="60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far the market price sits below (or above) intrinsic value.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Verdict</w:t>
            </w:r>
          </w:p>
        </w:tc>
        <w:tc>
          <w:tcPr>
            <w:tcW w:type="dxa" w:w="60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quick read — undervalued vs overvalued vs fairly priced.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5"/>
          <w:szCs w:val="25"/>
        </w:rPr>
        <w:t xml:space="preserve">🔬 Sensitivity — don’t trust a single number</w:t>
      </w:r>
    </w:p>
    <w:p>
      <w:pPr>
        <w:spacing w:after="120" w:line="276"/>
      </w:pPr>
      <w:r>
        <w:rPr>
          <w:rFonts w:ascii="Arial" w:cs="Arial" w:eastAsia="Arial" w:hAnsi="Arial"/>
          <w:color w:val="1A1A2E"/>
        </w:rPr>
        <w:t xml:space="preserve">A DCF is only as good as its assumptions, and the answer moves a lot with small changes in WACC and terminal growth. The Sensitivity sheet shows a grid of intrinsic values across a range of both — green cells are where intrinsic value beats the market price. Treat the output as a range, not a precise target.</w:t>
      </w:r>
    </w:p>
    <w:p>
      <w:pPr>
        <w:spacing w:after="40"/>
      </w:pPr>
    </w:p>
    <w:tbl>
      <w:tblPr>
        <w:tblW w:type="dxa" w:w="9026"/>
        <w:tblBorders>
          <w:top w:val="single" w:color="FFF1C2" w:sz="1"/>
          <w:left w:val="single" w:color="5B4FE0" w:sz="22"/>
          <w:bottom w:val="single" w:color="FFF1C2" w:sz="1"/>
          <w:right w:val="single" w:color="FFF1C2" w:sz="1"/>
          <w:insideH w:val="single" w:color="FFF1C2" w:sz="1"/>
          <w:insideV w:val="single" w:color="FFF1C2" w:sz="1"/>
        </w:tblBorders>
      </w:tblPr>
      <w:tblGrid>
        <w:gridCol w:w="9026"/>
      </w:tblGrid>
      <w:tr>
        <w:tc>
          <w:tcPr>
            <w:tcW w:type="dxa" w:w="9026"/>
            <w:shd w:fill="FFF1C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 note on what this is — and isn’t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Intrinsic value from a DCF is an estimate built on your assumptions, not a fact. Change the growth or discount rate slightly and the number shifts meaningfully — that’s why the sensitivity table matters.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This is an educational/analytical tool to help you reason about value. It isn’t investment advice or a recommendation to buy or sell. Cross-check against peers, recent results, and your own judgment, and consider speaking to a registered advisor before investing.</w:t>
            </w:r>
          </w:p>
        </w:tc>
      </w:tr>
    </w:tbl>
    <w:p>
      <w:pPr>
        <w:pBdr>
          <w:bottom w:val="single" w:color="5B4FE0" w:sz="6" w:space="1"/>
        </w:pBdr>
        <w:spacing w:after="160" w:before="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3A2FA0"/>
          <w:sz w:val="30"/>
          <w:szCs w:val="30"/>
        </w:rPr>
        <w:t xml:space="preserve">Quick reference — where to get every number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rPr>
          <w:tblHeader/>
        </w:trP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2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how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Historical P&amp;L, BS, Cash Flow</w:t>
            </w:r>
          </w:p>
        </w:tc>
        <w:tc>
          <w:tcPr>
            <w:tcW w:type="dxa" w:w="2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Screener.in</w:t>
            </w:r>
          </w:p>
        </w:tc>
        <w:tc>
          <w:tcPr>
            <w:tcW w:type="dxa" w:w="3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page → export fills these automatically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Borrowings split, payables, capex</w:t>
            </w:r>
          </w:p>
        </w:tc>
        <w:tc>
          <w:tcPr>
            <w:tcW w:type="dxa" w:w="2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Screener.in</w:t>
            </w:r>
          </w:p>
        </w:tc>
        <w:tc>
          <w:tcPr>
            <w:tcW w:type="dxa" w:w="3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Expand the BS / CF rows (the “+” arrows)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 cap &amp; shares, by year</w:t>
            </w:r>
          </w:p>
        </w:tc>
        <w:tc>
          <w:tcPr>
            <w:tcW w:type="dxa" w:w="2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companiesmarketcap.com</w:t>
            </w:r>
          </w:p>
        </w:tc>
        <w:tc>
          <w:tcPr>
            <w:tcW w:type="dxa" w:w="3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company → Market Cap History → annual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/ EBITDA / capex forecasts</w:t>
            </w:r>
          </w:p>
        </w:tc>
        <w:tc>
          <w:tcPr>
            <w:tcW w:type="dxa" w:w="2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Trendlyne</w:t>
            </w:r>
          </w:p>
        </w:tc>
        <w:tc>
          <w:tcPr>
            <w:tcW w:type="dxa" w:w="3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→ Forecaster → analyst consensus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Beta price history (3Y weekly)</w:t>
            </w:r>
          </w:p>
        </w:tc>
        <w:tc>
          <w:tcPr>
            <w:tcW w:type="dxa" w:w="2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Trendlyne / investing.com</w:t>
            </w:r>
          </w:p>
        </w:tc>
        <w:tc>
          <w:tcPr>
            <w:tcW w:type="dxa" w:w="3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Charts or Historical → Weekly → 3 years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Risk-free rate (10Y G-Sec)</w:t>
            </w:r>
          </w:p>
        </w:tc>
        <w:tc>
          <w:tcPr>
            <w:tcW w:type="dxa" w:w="2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investing.com</w:t>
            </w:r>
          </w:p>
        </w:tc>
        <w:tc>
          <w:tcPr>
            <w:tcW w:type="dxa" w:w="3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“India 10 Year Bond Yield”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Equity risk premium (India)</w:t>
            </w:r>
          </w:p>
        </w:tc>
        <w:tc>
          <w:tcPr>
            <w:tcW w:type="dxa" w:w="2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Damodaran, NYU Stern</w:t>
            </w:r>
          </w:p>
        </w:tc>
        <w:tc>
          <w:tcPr>
            <w:tcW w:type="dxa" w:w="3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Implied ERP page → India row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Effective tax rate</w:t>
            </w:r>
          </w:p>
        </w:tc>
        <w:tc>
          <w:tcPr>
            <w:tcW w:type="dxa" w:w="2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Screener.in</w:t>
            </w:r>
          </w:p>
        </w:tc>
        <w:tc>
          <w:tcPr>
            <w:tcW w:type="dxa" w:w="3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P&amp;L → Tax % row → 3-year average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market price</w:t>
            </w:r>
          </w:p>
        </w:tc>
        <w:tc>
          <w:tcPr>
            <w:tcW w:type="dxa" w:w="2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NSE / BSE / Google</w:t>
            </w:r>
          </w:p>
        </w:tc>
        <w:tc>
          <w:tcPr>
            <w:tcW w:type="dxa" w:w="3626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7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“[ticker] share price”</w:t>
            </w:r>
          </w:p>
        </w:tc>
      </w:tr>
    </w:tbl>
    <w:p>
      <w:pPr>
        <w:spacing w:after="6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A5A6E"/>
          <w:sz w:val="21"/>
          <w:szCs w:val="21"/>
        </w:rPr>
        <w:t xml:space="preserve">Build the model once on a company you know well — the workflow becomes second nature fast.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9D6" w:sz="4" w:space="6"/>
      </w:pBdr>
      <w:tabs>
        <w:tab w:val="right" w:pos="9026"/>
      </w:tabs>
    </w:pPr>
    <w:r>
      <w:rPr>
        <w:rFonts w:ascii="Arial" w:cs="Arial" w:eastAsia="Arial" w:hAnsi="Arial"/>
        <w:color w:val="5A5A6E"/>
        <w:sz w:val="16"/>
        <w:szCs w:val="16"/>
      </w:rPr>
      <w:t xml:space="preserve">How to Value a Share — DCF Guide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A5A6E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3A2FA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3A2FA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3A2FA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3A2FA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3A2FA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3A2FA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3A2FA0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3A2FA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Value a Share — DCF Guide</dc:title>
  <dc:creator>DCF Guide</dc:creator>
  <cp:lastModifiedBy>Un-named</cp:lastModifiedBy>
  <cp:revision>1</cp:revision>
  <dcterms:created xsi:type="dcterms:W3CDTF">2026-05-31T13:29:50.713Z</dcterms:created>
  <dcterms:modified xsi:type="dcterms:W3CDTF">2026-05-31T13:29:50.713Z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