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40"/>
      </w:tblGrid>
      <w:tr w:rsidR="000A3F93" w14:paraId="57985947" w14:textId="77777777">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2C3E50"/>
            <w:tcMar>
              <w:top w:w="600" w:type="dxa"/>
              <w:left w:w="1440" w:type="dxa"/>
              <w:bottom w:w="600" w:type="dxa"/>
              <w:right w:w="1440" w:type="dxa"/>
            </w:tcMar>
          </w:tcPr>
          <w:p w14:paraId="368CAA42" w14:textId="03ABAB1F" w:rsidR="000A3F93" w:rsidRDefault="00000000">
            <w:pPr>
              <w:spacing w:after="160"/>
              <w:jc w:val="center"/>
            </w:pPr>
            <w:r>
              <w:rPr>
                <w:rFonts w:ascii="Calibri" w:eastAsia="Calibri" w:hAnsi="Calibri" w:cs="Calibri"/>
                <w:caps/>
                <w:color w:val="BDC3C7"/>
              </w:rPr>
              <w:t>PROJECT REPORT</w:t>
            </w:r>
          </w:p>
          <w:p w14:paraId="4D6C8788" w14:textId="77777777" w:rsidR="000A3F93" w:rsidRDefault="00000000">
            <w:pPr>
              <w:jc w:val="center"/>
            </w:pPr>
            <w:r>
              <w:rPr>
                <w:rFonts w:ascii="Calibri" w:eastAsia="Calibri" w:hAnsi="Calibri" w:cs="Calibri"/>
                <w:b/>
                <w:bCs/>
                <w:color w:val="FFFFFF"/>
                <w:sz w:val="30"/>
                <w:szCs w:val="30"/>
              </w:rPr>
              <w:t>DESIGN AND IMPLEMENTATION OF AN EXPRESSIVE DUAL-STREAM SPEECH LANGUAGE MODEL WITH COGNITIVE PROSODY QUANTIZATION AND AUTOREGRESSIVE BACKBONE</w:t>
            </w:r>
          </w:p>
        </w:tc>
      </w:tr>
    </w:tbl>
    <w:p w14:paraId="0AA5CFB7" w14:textId="77777777" w:rsidR="000A3F93" w:rsidRDefault="000A3F93">
      <w:pPr>
        <w:spacing w:line="400" w:lineRule="auto"/>
      </w:pPr>
    </w:p>
    <w:p w14:paraId="161E4792" w14:textId="77777777" w:rsidR="000A3F93" w:rsidRDefault="00000000">
      <w:pPr>
        <w:spacing w:after="80"/>
        <w:jc w:val="center"/>
      </w:pPr>
      <w:r>
        <w:rPr>
          <w:noProof/>
        </w:rPr>
        <w:drawing>
          <wp:inline distT="0" distB="0" distL="0" distR="0" wp14:anchorId="1E990C42" wp14:editId="70780775">
            <wp:extent cx="1809750" cy="1476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1476375"/>
                    </a:xfrm>
                    <a:prstGeom prst="rect">
                      <a:avLst/>
                    </a:prstGeom>
                  </pic:spPr>
                </pic:pic>
              </a:graphicData>
            </a:graphic>
          </wp:inline>
        </w:drawing>
      </w:r>
    </w:p>
    <w:p w14:paraId="22AC6656" w14:textId="77777777" w:rsidR="000A3F93" w:rsidRDefault="00000000">
      <w:pPr>
        <w:spacing w:after="20"/>
        <w:jc w:val="center"/>
      </w:pPr>
      <w:r>
        <w:rPr>
          <w:rFonts w:ascii="Calibri" w:eastAsia="Calibri" w:hAnsi="Calibri" w:cs="Calibri"/>
          <w:b/>
          <w:bCs/>
          <w:color w:val="2C3E50"/>
          <w:sz w:val="24"/>
          <w:szCs w:val="24"/>
        </w:rPr>
        <w:t>THAPAR INSTITUTE OF ENGINEERING &amp; TECHNOLOGY</w:t>
      </w:r>
    </w:p>
    <w:p w14:paraId="4ADEB0DB" w14:textId="77777777" w:rsidR="000A3F93" w:rsidRDefault="00000000">
      <w:pPr>
        <w:jc w:val="center"/>
      </w:pPr>
      <w:r>
        <w:rPr>
          <w:rFonts w:ascii="Calibri" w:eastAsia="Calibri" w:hAnsi="Calibri" w:cs="Calibri"/>
          <w:color w:val="5D6D7E"/>
          <w:sz w:val="20"/>
          <w:szCs w:val="20"/>
        </w:rPr>
        <w:t>(Deemed to be University)</w:t>
      </w:r>
    </w:p>
    <w:p w14:paraId="5C33A390" w14:textId="77777777" w:rsidR="000A3F93" w:rsidRDefault="000A3F93">
      <w:pPr>
        <w:spacing w:line="480" w:lineRule="auto"/>
      </w:pPr>
    </w:p>
    <w:p w14:paraId="4416BBA1" w14:textId="77777777" w:rsidR="000A3F93" w:rsidRDefault="000A3F93">
      <w:pPr>
        <w:pBdr>
          <w:bottom w:val="single" w:sz="12" w:space="2" w:color="C0392B"/>
        </w:pBdr>
        <w:spacing w:after="240"/>
      </w:pPr>
    </w:p>
    <w:p w14:paraId="3728F40B" w14:textId="77777777" w:rsidR="000A3F93" w:rsidRDefault="00000000">
      <w:pPr>
        <w:spacing w:after="100"/>
        <w:jc w:val="center"/>
      </w:pPr>
      <w:r>
        <w:rPr>
          <w:rFonts w:ascii="Calibri" w:eastAsia="Calibri" w:hAnsi="Calibri" w:cs="Calibri"/>
          <w:i/>
          <w:iCs/>
          <w:color w:val="5D6D7E"/>
          <w:sz w:val="20"/>
          <w:szCs w:val="20"/>
        </w:rPr>
        <w:t>Submitted by</w:t>
      </w:r>
    </w:p>
    <w:p w14:paraId="39271AB2" w14:textId="77777777" w:rsidR="000A3F93" w:rsidRDefault="00000000">
      <w:pPr>
        <w:spacing w:after="40"/>
        <w:jc w:val="center"/>
        <w:rPr>
          <w:rFonts w:ascii="Calibri" w:eastAsia="Calibri" w:hAnsi="Calibri" w:cs="Calibri"/>
          <w:b/>
          <w:bCs/>
          <w:color w:val="2C3E50"/>
          <w:sz w:val="30"/>
          <w:szCs w:val="30"/>
        </w:rPr>
      </w:pPr>
      <w:r>
        <w:rPr>
          <w:rFonts w:ascii="Calibri" w:eastAsia="Calibri" w:hAnsi="Calibri" w:cs="Calibri"/>
          <w:b/>
          <w:bCs/>
          <w:color w:val="2C3E50"/>
          <w:sz w:val="30"/>
          <w:szCs w:val="30"/>
        </w:rPr>
        <w:t>Arnav Aggarwal</w:t>
      </w:r>
    </w:p>
    <w:p w14:paraId="4433D9C0" w14:textId="20F5758F" w:rsidR="00682E84" w:rsidRDefault="00682E84">
      <w:pPr>
        <w:spacing w:after="40"/>
        <w:jc w:val="center"/>
      </w:pPr>
      <w:r>
        <w:rPr>
          <w:rFonts w:ascii="Calibri" w:eastAsia="Calibri" w:hAnsi="Calibri" w:cs="Calibri"/>
          <w:b/>
          <w:bCs/>
          <w:color w:val="2C3E50"/>
          <w:sz w:val="30"/>
          <w:szCs w:val="30"/>
        </w:rPr>
        <w:t>102303138</w:t>
      </w:r>
    </w:p>
    <w:p w14:paraId="2C37EA31" w14:textId="77777777" w:rsidR="000A3F93" w:rsidRDefault="00000000">
      <w:pPr>
        <w:spacing w:after="20"/>
        <w:jc w:val="center"/>
      </w:pPr>
      <w:r>
        <w:rPr>
          <w:rFonts w:ascii="Calibri" w:eastAsia="Calibri" w:hAnsi="Calibri" w:cs="Calibri"/>
          <w:color w:val="5D6D7E"/>
        </w:rPr>
        <w:t>Undergraduate Student</w:t>
      </w:r>
    </w:p>
    <w:p w14:paraId="7820373C" w14:textId="77777777" w:rsidR="000A3F93" w:rsidRDefault="00000000">
      <w:pPr>
        <w:jc w:val="center"/>
      </w:pPr>
      <w:r>
        <w:rPr>
          <w:rFonts w:ascii="Calibri" w:eastAsia="Calibri" w:hAnsi="Calibri" w:cs="Calibri"/>
          <w:color w:val="5D6D7E"/>
        </w:rPr>
        <w:t>Department of Computer Science and Engineering</w:t>
      </w:r>
    </w:p>
    <w:p w14:paraId="06F3E60C" w14:textId="77777777" w:rsidR="000A3F93" w:rsidRDefault="000A3F93"/>
    <w:p w14:paraId="55CD078A" w14:textId="77777777" w:rsidR="000A3F93" w:rsidRDefault="00000000">
      <w:pPr>
        <w:spacing w:after="80"/>
        <w:jc w:val="center"/>
      </w:pPr>
      <w:r>
        <w:rPr>
          <w:rFonts w:ascii="Calibri" w:eastAsia="Calibri" w:hAnsi="Calibri" w:cs="Calibri"/>
          <w:i/>
          <w:iCs/>
          <w:color w:val="5D6D7E"/>
          <w:sz w:val="20"/>
          <w:szCs w:val="20"/>
        </w:rPr>
        <w:t>Under the Guidance of</w:t>
      </w:r>
    </w:p>
    <w:p w14:paraId="23FB4B99" w14:textId="5362C4EF" w:rsidR="006C436B" w:rsidRPr="006C436B" w:rsidRDefault="00000000" w:rsidP="006C436B">
      <w:pPr>
        <w:jc w:val="center"/>
        <w:rPr>
          <w:rFonts w:ascii="Calibri" w:eastAsia="Calibri" w:hAnsi="Calibri" w:cs="Calibri"/>
          <w:b/>
          <w:bCs/>
          <w:color w:val="2C3E50"/>
          <w:sz w:val="24"/>
          <w:szCs w:val="24"/>
        </w:rPr>
      </w:pPr>
      <w:r>
        <w:rPr>
          <w:rFonts w:ascii="Calibri" w:eastAsia="Calibri" w:hAnsi="Calibri" w:cs="Calibri"/>
          <w:b/>
          <w:bCs/>
          <w:color w:val="2C3E50"/>
          <w:sz w:val="24"/>
          <w:szCs w:val="24"/>
        </w:rPr>
        <w:t>Dr.</w:t>
      </w:r>
      <w:r w:rsidR="006C436B" w:rsidRPr="006C436B">
        <w:rPr>
          <w:rFonts w:ascii="Calibri" w:eastAsia="Calibri" w:hAnsi="Calibri" w:cs="Calibri"/>
          <w:b/>
          <w:bCs/>
          <w:color w:val="2C3E50"/>
          <w:sz w:val="24"/>
          <w:szCs w:val="24"/>
        </w:rPr>
        <w:t xml:space="preserve"> Jasmeet Singh</w:t>
      </w:r>
      <w:r w:rsidR="006C436B">
        <w:rPr>
          <w:rFonts w:ascii="Calibri" w:eastAsia="Calibri" w:hAnsi="Calibri" w:cs="Calibri"/>
          <w:b/>
          <w:bCs/>
          <w:color w:val="2C3E50"/>
          <w:sz w:val="24"/>
          <w:szCs w:val="24"/>
        </w:rPr>
        <w:t xml:space="preserve"> &amp; Dr. Simran Setia</w:t>
      </w:r>
      <w:r w:rsidR="006C436B" w:rsidRPr="006C436B">
        <w:rPr>
          <w:rFonts w:ascii="Calibri" w:eastAsia="Calibri" w:hAnsi="Calibri" w:cs="Calibri"/>
          <w:b/>
          <w:bCs/>
          <w:color w:val="2C3E50"/>
          <w:sz w:val="24"/>
          <w:szCs w:val="24"/>
        </w:rPr>
        <w:br/>
      </w:r>
    </w:p>
    <w:p w14:paraId="35A72747" w14:textId="7A8FF51C" w:rsidR="000A3F93" w:rsidRDefault="000A3F93">
      <w:pPr>
        <w:jc w:val="center"/>
      </w:pPr>
    </w:p>
    <w:p w14:paraId="689AA914" w14:textId="77777777" w:rsidR="000A3F93" w:rsidRDefault="000A3F93"/>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40"/>
      </w:tblGrid>
      <w:tr w:rsidR="000A3F93" w14:paraId="3647096A" w14:textId="77777777">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C0392B"/>
            <w:tcMar>
              <w:top w:w="200" w:type="dxa"/>
              <w:left w:w="1440" w:type="dxa"/>
              <w:bottom w:w="200" w:type="dxa"/>
              <w:right w:w="1440" w:type="dxa"/>
            </w:tcMar>
          </w:tcPr>
          <w:p w14:paraId="10555FC0" w14:textId="77777777" w:rsidR="000A3F93" w:rsidRDefault="00000000">
            <w:pPr>
              <w:jc w:val="center"/>
            </w:pPr>
            <w:r>
              <w:rPr>
                <w:rFonts w:ascii="Calibri" w:eastAsia="Calibri" w:hAnsi="Calibri" w:cs="Calibri"/>
                <w:color w:val="FFFFFF"/>
                <w:sz w:val="19"/>
                <w:szCs w:val="19"/>
              </w:rPr>
              <w:t>Department of Computer Science and Engineering  |  Thapar Institute of Engineering and Technology</w:t>
            </w:r>
          </w:p>
        </w:tc>
      </w:tr>
    </w:tbl>
    <w:p w14:paraId="5E40F7FB" w14:textId="77777777" w:rsidR="000A3F93" w:rsidRDefault="000A3F93">
      <w:pPr>
        <w:sectPr w:rsidR="000A3F93">
          <w:pgSz w:w="12240" w:h="15840"/>
          <w:pgMar w:top="0" w:right="0" w:bottom="1440" w:left="0" w:header="708" w:footer="708" w:gutter="0"/>
          <w:cols w:space="720"/>
          <w:docGrid w:linePitch="360"/>
        </w:sectPr>
      </w:pPr>
    </w:p>
    <w:p w14:paraId="7D76352B" w14:textId="77777777" w:rsidR="000A3F93" w:rsidRDefault="00000000">
      <w:pPr>
        <w:pBdr>
          <w:bottom w:val="single" w:sz="6" w:space="6" w:color="C0392B"/>
        </w:pBdr>
        <w:spacing w:before="240" w:after="160"/>
        <w:jc w:val="center"/>
      </w:pPr>
      <w:r>
        <w:rPr>
          <w:rFonts w:ascii="Calibri" w:eastAsia="Calibri" w:hAnsi="Calibri" w:cs="Calibri"/>
          <w:b/>
          <w:bCs/>
          <w:caps/>
          <w:color w:val="C0392B"/>
          <w:sz w:val="30"/>
          <w:szCs w:val="30"/>
        </w:rPr>
        <w:lastRenderedPageBreak/>
        <w:t>ABSTRACT</w:t>
      </w:r>
    </w:p>
    <w:p w14:paraId="3AE29C6C" w14:textId="77777777" w:rsidR="000A3F93" w:rsidRDefault="00000000">
      <w:pPr>
        <w:spacing w:before="60" w:after="120" w:line="276" w:lineRule="auto"/>
        <w:jc w:val="both"/>
      </w:pPr>
      <w:r>
        <w:rPr>
          <w:color w:val="1A1A1A"/>
        </w:rPr>
        <w:t>Traditional Speech Language Models (SLMs) process speech tokens globally, often conflating semantic textual content with paralinguistic expression (pitch, tone, and pacing). This report presents DualSpeechLM, a dual-stream generative speech framework designed to explicitly decouple linguistic text from emotional acoustic contours. Phase 1 implements a frame-level Paralinguistic Tokenizer that extracts fundamental frequency (F0), energy, and speaker rhythm. To resolve a critical baseline constraint of Vector Quantization (VQ)—codebook collapse—we introduce a custom Orthogonal Sub-Space Embedding Initialization and Forced Batch Random Restarts, stabilizing codebook perplexity at a healthy ~31.15. Phase 2 introduces AcousticGPT, a causal decoder-only transformer backbone that utilises multi-stream prefix style prompting to condition speech token generation. The entire pipeline is mathematically validated using an autoregressive cross-entropy training matrix projecting hidden layers onto a standard 1024-token acoustic codec dimension, establishing a robust baseline for highly controllable, emotional speech synthesis.</w:t>
      </w:r>
    </w:p>
    <w:p w14:paraId="2297A0FF" w14:textId="77777777" w:rsidR="000A3F93" w:rsidRDefault="000A3F93">
      <w:pPr>
        <w:pageBreakBefore/>
      </w:pPr>
    </w:p>
    <w:p w14:paraId="2E080E3C" w14:textId="77777777" w:rsidR="000A3F93" w:rsidRDefault="00000000">
      <w:pPr>
        <w:pStyle w:val="Heading1"/>
        <w:pBdr>
          <w:bottom w:val="single" w:sz="6" w:space="4" w:color="C0392B"/>
        </w:pBdr>
      </w:pPr>
      <w:r>
        <w:t>1. Introduction</w:t>
      </w:r>
    </w:p>
    <w:p w14:paraId="0616E519" w14:textId="77777777" w:rsidR="000A3F93" w:rsidRDefault="00000000">
      <w:pPr>
        <w:pStyle w:val="Heading2"/>
      </w:pPr>
      <w:r>
        <w:t>1.1 Background</w:t>
      </w:r>
    </w:p>
    <w:p w14:paraId="375FA6A1" w14:textId="77777777" w:rsidR="000A3F93" w:rsidRDefault="00000000">
      <w:pPr>
        <w:spacing w:before="60" w:after="120" w:line="276" w:lineRule="auto"/>
        <w:jc w:val="both"/>
      </w:pPr>
      <w:r>
        <w:rPr>
          <w:color w:val="1A1A1A"/>
        </w:rPr>
        <w:t>The evolution of Generative AI has transitioned from textual Large Language Models (LLMs) toward native audio-to-audio speech backbones. Standard acoustic neural codecs compress audio into discrete tokens, but modelling these tokens using standard causal transformers results in monotonic, expressionless vocal output. The core problem stems from trying to model what to say (semantics) and how to say it (prosody) within a single compressed information stream. Decoupling these features into distinct channels is crucial for achieving high-fidelity, controllable emotional speech synthesis.</w:t>
      </w:r>
    </w:p>
    <w:p w14:paraId="6B885151" w14:textId="77777777" w:rsidR="000A3F93" w:rsidRDefault="00000000">
      <w:pPr>
        <w:pStyle w:val="Heading2"/>
      </w:pPr>
      <w:r>
        <w:t>1.2 Problem Statement</w:t>
      </w:r>
    </w:p>
    <w:p w14:paraId="67A480AB" w14:textId="77777777" w:rsidR="000A3F93" w:rsidRDefault="00000000">
      <w:pPr>
        <w:spacing w:before="60" w:after="120" w:line="276" w:lineRule="auto"/>
        <w:jc w:val="both"/>
      </w:pPr>
      <w:r>
        <w:rPr>
          <w:color w:val="1A1A1A"/>
        </w:rPr>
        <w:t>Current autoregressive speech backbones face significant performance bottlenecks:</w:t>
      </w:r>
    </w:p>
    <w:p w14:paraId="2CE8FDDC" w14:textId="77777777" w:rsidR="000A3F93" w:rsidRDefault="00000000">
      <w:pPr>
        <w:spacing w:before="60" w:after="120" w:line="276" w:lineRule="auto"/>
        <w:jc w:val="both"/>
      </w:pPr>
      <w:r>
        <w:rPr>
          <w:b/>
          <w:bCs/>
          <w:color w:val="1A1A1A"/>
        </w:rPr>
        <w:t xml:space="preserve">Acoustic Conflation:  </w:t>
      </w:r>
      <w:r>
        <w:rPr>
          <w:color w:val="1A1A1A"/>
        </w:rPr>
        <w:t>Text tokens lack the physical constraints of human vocal speech vectors, leading to artificial, mechanical cadence loops.</w:t>
      </w:r>
    </w:p>
    <w:p w14:paraId="015F9D51" w14:textId="77777777" w:rsidR="000A3F93" w:rsidRDefault="00000000">
      <w:pPr>
        <w:spacing w:before="60" w:after="120" w:line="276" w:lineRule="auto"/>
        <w:jc w:val="both"/>
      </w:pPr>
      <w:r>
        <w:rPr>
          <w:b/>
          <w:bCs/>
          <w:color w:val="1A1A1A"/>
        </w:rPr>
        <w:t xml:space="preserve">Codebook Collapse in Vector Quantizers (VQ-VAEs):  </w:t>
      </w:r>
      <w:r>
        <w:rPr>
          <w:color w:val="1A1A1A"/>
        </w:rPr>
        <w:t>During optimisation, continuous acoustic properties often map to only a tiny cluster of codebook embeddings, forcing a low perplexity (~9.0) where the model suffers from structural dead zones.</w:t>
      </w:r>
    </w:p>
    <w:p w14:paraId="4C22EF56" w14:textId="77777777" w:rsidR="000A3F93" w:rsidRDefault="00000000">
      <w:pPr>
        <w:spacing w:before="60" w:after="120" w:line="276" w:lineRule="auto"/>
        <w:jc w:val="both"/>
      </w:pPr>
      <w:r>
        <w:rPr>
          <w:b/>
          <w:bCs/>
          <w:color w:val="1A1A1A"/>
        </w:rPr>
        <w:t xml:space="preserve">Causal Information Leakage:  </w:t>
      </w:r>
      <w:r>
        <w:rPr>
          <w:color w:val="1A1A1A"/>
        </w:rPr>
        <w:t>Standard multi-stream transformer processing can accidentally leak future token structures during next-token cross-entropy optimisation if look-ahead dimensions are unmasked.</w:t>
      </w:r>
    </w:p>
    <w:p w14:paraId="734497F2" w14:textId="77777777" w:rsidR="000A3F93" w:rsidRDefault="00000000">
      <w:pPr>
        <w:pStyle w:val="Heading2"/>
      </w:pPr>
      <w:r>
        <w:t>1.3 Objectives</w:t>
      </w:r>
    </w:p>
    <w:p w14:paraId="29862530" w14:textId="77777777" w:rsidR="000A3F93" w:rsidRDefault="00000000">
      <w:pPr>
        <w:spacing w:before="60" w:after="120" w:line="276" w:lineRule="auto"/>
        <w:jc w:val="both"/>
      </w:pPr>
      <w:r>
        <w:rPr>
          <w:b/>
          <w:bCs/>
          <w:color w:val="1A1A1A"/>
        </w:rPr>
        <w:t xml:space="preserve">Objective 1:  </w:t>
      </w:r>
      <w:r>
        <w:rPr>
          <w:color w:val="1A1A1A"/>
        </w:rPr>
        <w:t>Engineer a frame-level feature extraction pipeline (features.py) to parse fundamental frequency (F0), speech energy, and sequence frame pacing.</w:t>
      </w:r>
    </w:p>
    <w:p w14:paraId="1A4D6919" w14:textId="77777777" w:rsidR="000A3F93" w:rsidRDefault="00000000">
      <w:pPr>
        <w:spacing w:before="60" w:after="120" w:line="276" w:lineRule="auto"/>
        <w:jc w:val="both"/>
      </w:pPr>
      <w:r>
        <w:rPr>
          <w:b/>
          <w:bCs/>
          <w:color w:val="1A1A1A"/>
        </w:rPr>
        <w:t xml:space="preserve">Objective 2:  </w:t>
      </w:r>
      <w:r>
        <w:rPr>
          <w:color w:val="1A1A1A"/>
        </w:rPr>
        <w:t>Build an optimisation-stable Vector Quantizer (quantizer.py) utilising sub-space weight division and forced batch random restarts to prevent codebook collapse.</w:t>
      </w:r>
    </w:p>
    <w:p w14:paraId="26C5A293" w14:textId="77777777" w:rsidR="000A3F93" w:rsidRDefault="00000000">
      <w:pPr>
        <w:spacing w:before="60" w:after="120" w:line="276" w:lineRule="auto"/>
        <w:jc w:val="both"/>
      </w:pPr>
      <w:r>
        <w:rPr>
          <w:b/>
          <w:bCs/>
          <w:color w:val="1A1A1A"/>
        </w:rPr>
        <w:t xml:space="preserve">Objective 3:  </w:t>
      </w:r>
      <w:r>
        <w:rPr>
          <w:color w:val="1A1A1A"/>
        </w:rPr>
        <w:t>Implement a lightweight, causal decoder transformer backbone (model.py) that uses sequential style interleaving to forecast target acoustic codec units across a 1024-token vocabulary.</w:t>
      </w:r>
    </w:p>
    <w:p w14:paraId="06FAA79D" w14:textId="77777777" w:rsidR="000A3F93" w:rsidRDefault="00000000">
      <w:pPr>
        <w:pStyle w:val="Heading2"/>
      </w:pPr>
      <w:r>
        <w:t>1.4 Scope of the Project</w:t>
      </w:r>
    </w:p>
    <w:p w14:paraId="58FCED14" w14:textId="77777777" w:rsidR="000A3F93" w:rsidRDefault="00000000">
      <w:pPr>
        <w:spacing w:before="60" w:after="120" w:line="276" w:lineRule="auto"/>
        <w:jc w:val="both"/>
      </w:pPr>
      <w:r>
        <w:rPr>
          <w:color w:val="1A1A1A"/>
        </w:rPr>
        <w:t>This project concentrates on building and validating the baseline algorithmic architecture (Phase 1 and Phase 2) of an expressive dual-stream speech model. The scope encompasses local verification using a Stochastic Human Voice Simulator (generating categorical high/low-pitch emotional variations) to ensure gradient continuity, tensor dimensionality alignment, and mathematical proof-of-concept before deploying onto heavy institutional compute clusters.</w:t>
      </w:r>
    </w:p>
    <w:p w14:paraId="7A1FF732" w14:textId="77777777" w:rsidR="000A3F93" w:rsidRDefault="000A3F93">
      <w:pPr>
        <w:pageBreakBefore/>
      </w:pPr>
    </w:p>
    <w:p w14:paraId="375B3EB0" w14:textId="77777777" w:rsidR="000A3F93" w:rsidRDefault="00000000">
      <w:pPr>
        <w:pStyle w:val="Heading1"/>
        <w:pBdr>
          <w:bottom w:val="single" w:sz="6" w:space="4" w:color="C0392B"/>
        </w:pBdr>
      </w:pPr>
      <w:r>
        <w:t>2. Literature Survey</w:t>
      </w:r>
    </w:p>
    <w:p w14:paraId="4280B3CA" w14:textId="77777777" w:rsidR="000A3F93" w:rsidRDefault="00000000">
      <w:pPr>
        <w:pStyle w:val="Heading2"/>
      </w:pPr>
      <w:r>
        <w:t>2.1 Existing Work</w:t>
      </w:r>
    </w:p>
    <w:p w14:paraId="5E7E1BA8" w14:textId="77777777" w:rsidR="000A3F93" w:rsidRDefault="00000000">
      <w:pPr>
        <w:spacing w:before="60" w:after="120" w:line="276" w:lineRule="auto"/>
        <w:jc w:val="both"/>
      </w:pPr>
      <w:r>
        <w:rPr>
          <w:color w:val="1A1A1A"/>
        </w:rPr>
        <w:t>Current state-of-the-art speech systems, such as SoundStream and EnCodec, map continuous wave signals into dense multi-codebook representations via Residual Vector Quantisation (RVQ). While highly efficient for audio compression, these architectures do not isolate emotional variables. Audio-centric LLMs like AudioPaLM interleave text and audio directly within a single massive dictionary, requiring billions of parameters to implicitly learn the underlying vocal styles.</w:t>
      </w:r>
    </w:p>
    <w:p w14:paraId="26F7DC9E" w14:textId="77777777" w:rsidR="000A3F93" w:rsidRDefault="00000000">
      <w:pPr>
        <w:pStyle w:val="Heading2"/>
      </w:pPr>
      <w:r>
        <w:t>2.2 Research Gap</w:t>
      </w:r>
    </w:p>
    <w:p w14:paraId="0DD7520C" w14:textId="77777777" w:rsidR="000A3F93" w:rsidRDefault="00000000">
      <w:pPr>
        <w:spacing w:before="60" w:after="120" w:line="276" w:lineRule="auto"/>
        <w:jc w:val="both"/>
      </w:pPr>
      <w:r>
        <w:rPr>
          <w:color w:val="1A1A1A"/>
        </w:rPr>
        <w:t>A notable gap exists in lightweight architectures that explicitly segregate paralinguistic conditions from textual embeddings. Furthermore, standard VQ-VAE codebook learning often succumbs to dead embeddings when trained on localised configurations, requiring a more explicit, geometric initialisation strategy to ensure codebook utilisation remains distributed across available tokens.</w:t>
      </w:r>
    </w:p>
    <w:p w14:paraId="18735620" w14:textId="77777777" w:rsidR="000A3F93" w:rsidRDefault="00000000">
      <w:pPr>
        <w:pStyle w:val="Heading2"/>
      </w:pPr>
      <w:r>
        <w:t>2.3 Comparative Analysis</w:t>
      </w:r>
    </w:p>
    <w:p w14:paraId="1BBBD335" w14:textId="77777777" w:rsidR="000A3F93" w:rsidRDefault="000A3F93">
      <w:pPr>
        <w:spacing w:line="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80"/>
        <w:gridCol w:w="1780"/>
        <w:gridCol w:w="3500"/>
      </w:tblGrid>
      <w:tr w:rsidR="000A3F93" w14:paraId="788C379F" w14:textId="77777777">
        <w:tblPrEx>
          <w:tblCellMar>
            <w:top w:w="0" w:type="dxa"/>
            <w:bottom w:w="0" w:type="dxa"/>
          </w:tblCellMar>
        </w:tblPrEx>
        <w:tc>
          <w:tcPr>
            <w:tcW w:w="2200" w:type="dxa"/>
            <w:tcBorders>
              <w:top w:val="single" w:sz="4" w:space="0" w:color="C0392B"/>
              <w:left w:val="single" w:sz="4" w:space="0" w:color="C0392B"/>
              <w:bottom w:val="single" w:sz="4" w:space="0" w:color="C0392B"/>
              <w:right w:val="single" w:sz="4" w:space="0" w:color="C0392B"/>
            </w:tcBorders>
            <w:shd w:val="clear" w:color="auto" w:fill="C0392B"/>
            <w:tcMar>
              <w:top w:w="100" w:type="dxa"/>
              <w:left w:w="140" w:type="dxa"/>
              <w:bottom w:w="100" w:type="dxa"/>
              <w:right w:w="140" w:type="dxa"/>
            </w:tcMar>
            <w:vAlign w:val="center"/>
          </w:tcPr>
          <w:p w14:paraId="0FA259F8" w14:textId="77777777" w:rsidR="000A3F93" w:rsidRDefault="00000000">
            <w:pPr>
              <w:jc w:val="center"/>
            </w:pPr>
            <w:r>
              <w:rPr>
                <w:rFonts w:ascii="Calibri" w:eastAsia="Calibri" w:hAnsi="Calibri" w:cs="Calibri"/>
                <w:b/>
                <w:bCs/>
                <w:color w:val="FFFFFF"/>
                <w:sz w:val="20"/>
                <w:szCs w:val="20"/>
              </w:rPr>
              <w:t>Feature / Architecture</w:t>
            </w:r>
          </w:p>
        </w:tc>
        <w:tc>
          <w:tcPr>
            <w:tcW w:w="1880" w:type="dxa"/>
            <w:tcBorders>
              <w:top w:val="single" w:sz="4" w:space="0" w:color="C0392B"/>
              <w:left w:val="single" w:sz="4" w:space="0" w:color="C0392B"/>
              <w:bottom w:val="single" w:sz="4" w:space="0" w:color="C0392B"/>
              <w:right w:val="single" w:sz="4" w:space="0" w:color="C0392B"/>
            </w:tcBorders>
            <w:shd w:val="clear" w:color="auto" w:fill="C0392B"/>
            <w:tcMar>
              <w:top w:w="100" w:type="dxa"/>
              <w:left w:w="140" w:type="dxa"/>
              <w:bottom w:w="100" w:type="dxa"/>
              <w:right w:w="140" w:type="dxa"/>
            </w:tcMar>
            <w:vAlign w:val="center"/>
          </w:tcPr>
          <w:p w14:paraId="62623E08" w14:textId="77777777" w:rsidR="000A3F93" w:rsidRDefault="00000000">
            <w:pPr>
              <w:jc w:val="center"/>
            </w:pPr>
            <w:r>
              <w:rPr>
                <w:rFonts w:ascii="Calibri" w:eastAsia="Calibri" w:hAnsi="Calibri" w:cs="Calibri"/>
                <w:b/>
                <w:bCs/>
                <w:color w:val="FFFFFF"/>
                <w:sz w:val="20"/>
                <w:szCs w:val="20"/>
              </w:rPr>
              <w:t>Traditional Unified SLM</w:t>
            </w:r>
          </w:p>
        </w:tc>
        <w:tc>
          <w:tcPr>
            <w:tcW w:w="1780" w:type="dxa"/>
            <w:tcBorders>
              <w:top w:val="single" w:sz="4" w:space="0" w:color="C0392B"/>
              <w:left w:val="single" w:sz="4" w:space="0" w:color="C0392B"/>
              <w:bottom w:val="single" w:sz="4" w:space="0" w:color="C0392B"/>
              <w:right w:val="single" w:sz="4" w:space="0" w:color="C0392B"/>
            </w:tcBorders>
            <w:shd w:val="clear" w:color="auto" w:fill="C0392B"/>
            <w:tcMar>
              <w:top w:w="100" w:type="dxa"/>
              <w:left w:w="140" w:type="dxa"/>
              <w:bottom w:w="100" w:type="dxa"/>
              <w:right w:w="140" w:type="dxa"/>
            </w:tcMar>
            <w:vAlign w:val="center"/>
          </w:tcPr>
          <w:p w14:paraId="6DF2A8EC" w14:textId="77777777" w:rsidR="000A3F93" w:rsidRDefault="00000000">
            <w:pPr>
              <w:jc w:val="center"/>
            </w:pPr>
            <w:r>
              <w:rPr>
                <w:rFonts w:ascii="Calibri" w:eastAsia="Calibri" w:hAnsi="Calibri" w:cs="Calibri"/>
                <w:b/>
                <w:bCs/>
                <w:color w:val="FFFFFF"/>
                <w:sz w:val="20"/>
                <w:szCs w:val="20"/>
              </w:rPr>
              <w:t>Residual VQ Only</w:t>
            </w:r>
          </w:p>
        </w:tc>
        <w:tc>
          <w:tcPr>
            <w:tcW w:w="3500" w:type="dxa"/>
            <w:tcBorders>
              <w:top w:val="single" w:sz="4" w:space="0" w:color="C0392B"/>
              <w:left w:val="single" w:sz="4" w:space="0" w:color="C0392B"/>
              <w:bottom w:val="single" w:sz="4" w:space="0" w:color="C0392B"/>
              <w:right w:val="single" w:sz="4" w:space="0" w:color="C0392B"/>
            </w:tcBorders>
            <w:shd w:val="clear" w:color="auto" w:fill="C0392B"/>
            <w:tcMar>
              <w:top w:w="100" w:type="dxa"/>
              <w:left w:w="140" w:type="dxa"/>
              <w:bottom w:w="100" w:type="dxa"/>
              <w:right w:w="140" w:type="dxa"/>
            </w:tcMar>
            <w:vAlign w:val="center"/>
          </w:tcPr>
          <w:p w14:paraId="114754C8" w14:textId="77777777" w:rsidR="000A3F93" w:rsidRDefault="00000000">
            <w:pPr>
              <w:jc w:val="center"/>
            </w:pPr>
            <w:r>
              <w:rPr>
                <w:rFonts w:ascii="Calibri" w:eastAsia="Calibri" w:hAnsi="Calibri" w:cs="Calibri"/>
                <w:b/>
                <w:bCs/>
                <w:color w:val="FFFFFF"/>
                <w:sz w:val="20"/>
                <w:szCs w:val="20"/>
              </w:rPr>
              <w:t>Proposed DualSpeechLM</w:t>
            </w:r>
          </w:p>
        </w:tc>
      </w:tr>
      <w:tr w:rsidR="000A3F93" w14:paraId="12243F89" w14:textId="77777777">
        <w:tblPrEx>
          <w:tblCellMar>
            <w:top w:w="0" w:type="dxa"/>
            <w:bottom w:w="0" w:type="dxa"/>
          </w:tblCellMar>
        </w:tblPrEx>
        <w:tc>
          <w:tcPr>
            <w:tcW w:w="2200" w:type="dxa"/>
            <w:tcBorders>
              <w:top w:val="single" w:sz="4" w:space="0" w:color="D5D8DC"/>
              <w:left w:val="single" w:sz="4" w:space="0" w:color="D5D8DC"/>
              <w:bottom w:val="single" w:sz="4" w:space="0" w:color="D5D8DC"/>
              <w:right w:val="single" w:sz="4" w:space="0" w:color="D5D8DC"/>
            </w:tcBorders>
            <w:shd w:val="clear" w:color="auto" w:fill="FFFFFF"/>
            <w:tcMar>
              <w:top w:w="100" w:type="dxa"/>
              <w:left w:w="140" w:type="dxa"/>
              <w:bottom w:w="100" w:type="dxa"/>
              <w:right w:w="140" w:type="dxa"/>
            </w:tcMar>
            <w:vAlign w:val="center"/>
          </w:tcPr>
          <w:p w14:paraId="363ECD17" w14:textId="77777777" w:rsidR="000A3F93" w:rsidRDefault="00000000">
            <w:r>
              <w:rPr>
                <w:rFonts w:ascii="Calibri" w:eastAsia="Calibri" w:hAnsi="Calibri" w:cs="Calibri"/>
                <w:color w:val="1A1A1A"/>
                <w:sz w:val="20"/>
                <w:szCs w:val="20"/>
              </w:rPr>
              <w:t>Modality Architecture</w:t>
            </w:r>
          </w:p>
        </w:tc>
        <w:tc>
          <w:tcPr>
            <w:tcW w:w="1880" w:type="dxa"/>
            <w:tcBorders>
              <w:top w:val="single" w:sz="4" w:space="0" w:color="D5D8DC"/>
              <w:left w:val="single" w:sz="4" w:space="0" w:color="D5D8DC"/>
              <w:bottom w:val="single" w:sz="4" w:space="0" w:color="D5D8DC"/>
              <w:right w:val="single" w:sz="4" w:space="0" w:color="D5D8DC"/>
            </w:tcBorders>
            <w:shd w:val="clear" w:color="auto" w:fill="FFFFFF"/>
            <w:tcMar>
              <w:top w:w="100" w:type="dxa"/>
              <w:left w:w="140" w:type="dxa"/>
              <w:bottom w:w="100" w:type="dxa"/>
              <w:right w:w="140" w:type="dxa"/>
            </w:tcMar>
            <w:vAlign w:val="center"/>
          </w:tcPr>
          <w:p w14:paraId="224ECECA" w14:textId="77777777" w:rsidR="000A3F93" w:rsidRDefault="00000000">
            <w:pPr>
              <w:jc w:val="center"/>
            </w:pPr>
            <w:r>
              <w:rPr>
                <w:rFonts w:ascii="Calibri" w:eastAsia="Calibri" w:hAnsi="Calibri" w:cs="Calibri"/>
                <w:color w:val="1A1A1A"/>
                <w:sz w:val="20"/>
                <w:szCs w:val="20"/>
              </w:rPr>
              <w:t>Single Unified Stream</w:t>
            </w:r>
          </w:p>
        </w:tc>
        <w:tc>
          <w:tcPr>
            <w:tcW w:w="1780" w:type="dxa"/>
            <w:tcBorders>
              <w:top w:val="single" w:sz="4" w:space="0" w:color="D5D8DC"/>
              <w:left w:val="single" w:sz="4" w:space="0" w:color="D5D8DC"/>
              <w:bottom w:val="single" w:sz="4" w:space="0" w:color="D5D8DC"/>
              <w:right w:val="single" w:sz="4" w:space="0" w:color="D5D8DC"/>
            </w:tcBorders>
            <w:shd w:val="clear" w:color="auto" w:fill="FFFFFF"/>
            <w:tcMar>
              <w:top w:w="100" w:type="dxa"/>
              <w:left w:w="140" w:type="dxa"/>
              <w:bottom w:w="100" w:type="dxa"/>
              <w:right w:w="140" w:type="dxa"/>
            </w:tcMar>
            <w:vAlign w:val="center"/>
          </w:tcPr>
          <w:p w14:paraId="445FD048" w14:textId="77777777" w:rsidR="000A3F93" w:rsidRDefault="00000000">
            <w:pPr>
              <w:jc w:val="center"/>
            </w:pPr>
            <w:r>
              <w:rPr>
                <w:rFonts w:ascii="Calibri" w:eastAsia="Calibri" w:hAnsi="Calibri" w:cs="Calibri"/>
                <w:color w:val="1A1A1A"/>
                <w:sz w:val="20"/>
                <w:szCs w:val="20"/>
              </w:rPr>
              <w:t>Dense Audio Compression</w:t>
            </w:r>
          </w:p>
        </w:tc>
        <w:tc>
          <w:tcPr>
            <w:tcW w:w="3500" w:type="dxa"/>
            <w:tcBorders>
              <w:top w:val="single" w:sz="4" w:space="0" w:color="D5D8DC"/>
              <w:left w:val="single" w:sz="4" w:space="0" w:color="D5D8DC"/>
              <w:bottom w:val="single" w:sz="4" w:space="0" w:color="D5D8DC"/>
              <w:right w:val="single" w:sz="4" w:space="0" w:color="D5D8DC"/>
            </w:tcBorders>
            <w:shd w:val="clear" w:color="auto" w:fill="FFFFFF"/>
            <w:tcMar>
              <w:top w:w="100" w:type="dxa"/>
              <w:left w:w="140" w:type="dxa"/>
              <w:bottom w:w="100" w:type="dxa"/>
              <w:right w:w="140" w:type="dxa"/>
            </w:tcMar>
            <w:vAlign w:val="center"/>
          </w:tcPr>
          <w:p w14:paraId="2AC63D23" w14:textId="77777777" w:rsidR="000A3F93" w:rsidRDefault="00000000">
            <w:pPr>
              <w:jc w:val="center"/>
            </w:pPr>
            <w:r>
              <w:rPr>
                <w:rFonts w:ascii="Calibri" w:eastAsia="Calibri" w:hAnsi="Calibri" w:cs="Calibri"/>
                <w:color w:val="1A1A1A"/>
                <w:sz w:val="20"/>
                <w:szCs w:val="20"/>
              </w:rPr>
              <w:t>Explicit Dual-Stream Interleaved</w:t>
            </w:r>
          </w:p>
        </w:tc>
      </w:tr>
      <w:tr w:rsidR="000A3F93" w14:paraId="42CBDEFE" w14:textId="77777777">
        <w:tblPrEx>
          <w:tblCellMar>
            <w:top w:w="0" w:type="dxa"/>
            <w:bottom w:w="0" w:type="dxa"/>
          </w:tblCellMar>
        </w:tblPrEx>
        <w:tc>
          <w:tcPr>
            <w:tcW w:w="2200" w:type="dxa"/>
            <w:tcBorders>
              <w:top w:val="single" w:sz="4" w:space="0" w:color="D5D8DC"/>
              <w:left w:val="single" w:sz="4" w:space="0" w:color="D5D8DC"/>
              <w:bottom w:val="single" w:sz="4" w:space="0" w:color="D5D8DC"/>
              <w:right w:val="single" w:sz="4" w:space="0" w:color="D5D8DC"/>
            </w:tcBorders>
            <w:shd w:val="clear" w:color="auto" w:fill="F4F6F7"/>
            <w:tcMar>
              <w:top w:w="100" w:type="dxa"/>
              <w:left w:w="140" w:type="dxa"/>
              <w:bottom w:w="100" w:type="dxa"/>
              <w:right w:w="140" w:type="dxa"/>
            </w:tcMar>
            <w:vAlign w:val="center"/>
          </w:tcPr>
          <w:p w14:paraId="13A619C1" w14:textId="77777777" w:rsidR="000A3F93" w:rsidRDefault="00000000">
            <w:r>
              <w:rPr>
                <w:rFonts w:ascii="Calibri" w:eastAsia="Calibri" w:hAnsi="Calibri" w:cs="Calibri"/>
                <w:color w:val="1A1A1A"/>
                <w:sz w:val="20"/>
                <w:szCs w:val="20"/>
              </w:rPr>
              <w:t>Style Controllability</w:t>
            </w:r>
          </w:p>
        </w:tc>
        <w:tc>
          <w:tcPr>
            <w:tcW w:w="1880" w:type="dxa"/>
            <w:tcBorders>
              <w:top w:val="single" w:sz="4" w:space="0" w:color="D5D8DC"/>
              <w:left w:val="single" w:sz="4" w:space="0" w:color="D5D8DC"/>
              <w:bottom w:val="single" w:sz="4" w:space="0" w:color="D5D8DC"/>
              <w:right w:val="single" w:sz="4" w:space="0" w:color="D5D8DC"/>
            </w:tcBorders>
            <w:shd w:val="clear" w:color="auto" w:fill="F4F6F7"/>
            <w:tcMar>
              <w:top w:w="100" w:type="dxa"/>
              <w:left w:w="140" w:type="dxa"/>
              <w:bottom w:w="100" w:type="dxa"/>
              <w:right w:w="140" w:type="dxa"/>
            </w:tcMar>
            <w:vAlign w:val="center"/>
          </w:tcPr>
          <w:p w14:paraId="6636B051" w14:textId="77777777" w:rsidR="000A3F93" w:rsidRDefault="00000000">
            <w:pPr>
              <w:jc w:val="center"/>
            </w:pPr>
            <w:r>
              <w:rPr>
                <w:rFonts w:ascii="Calibri" w:eastAsia="Calibri" w:hAnsi="Calibri" w:cs="Calibri"/>
                <w:color w:val="1A1A1A"/>
                <w:sz w:val="20"/>
                <w:szCs w:val="20"/>
              </w:rPr>
              <w:t>Low (Implicitly Learned)</w:t>
            </w:r>
          </w:p>
        </w:tc>
        <w:tc>
          <w:tcPr>
            <w:tcW w:w="1780" w:type="dxa"/>
            <w:tcBorders>
              <w:top w:val="single" w:sz="4" w:space="0" w:color="D5D8DC"/>
              <w:left w:val="single" w:sz="4" w:space="0" w:color="D5D8DC"/>
              <w:bottom w:val="single" w:sz="4" w:space="0" w:color="D5D8DC"/>
              <w:right w:val="single" w:sz="4" w:space="0" w:color="D5D8DC"/>
            </w:tcBorders>
            <w:shd w:val="clear" w:color="auto" w:fill="F4F6F7"/>
            <w:tcMar>
              <w:top w:w="100" w:type="dxa"/>
              <w:left w:w="140" w:type="dxa"/>
              <w:bottom w:w="100" w:type="dxa"/>
              <w:right w:w="140" w:type="dxa"/>
            </w:tcMar>
            <w:vAlign w:val="center"/>
          </w:tcPr>
          <w:p w14:paraId="5B16FDE6" w14:textId="77777777" w:rsidR="000A3F93" w:rsidRDefault="00000000">
            <w:pPr>
              <w:jc w:val="center"/>
            </w:pPr>
            <w:r>
              <w:rPr>
                <w:rFonts w:ascii="Calibri" w:eastAsia="Calibri" w:hAnsi="Calibri" w:cs="Calibri"/>
                <w:color w:val="1A1A1A"/>
                <w:sz w:val="20"/>
                <w:szCs w:val="20"/>
              </w:rPr>
              <w:t>None (Reconstruction)</w:t>
            </w:r>
          </w:p>
        </w:tc>
        <w:tc>
          <w:tcPr>
            <w:tcW w:w="3500" w:type="dxa"/>
            <w:tcBorders>
              <w:top w:val="single" w:sz="4" w:space="0" w:color="D5D8DC"/>
              <w:left w:val="single" w:sz="4" w:space="0" w:color="D5D8DC"/>
              <w:bottom w:val="single" w:sz="4" w:space="0" w:color="D5D8DC"/>
              <w:right w:val="single" w:sz="4" w:space="0" w:color="D5D8DC"/>
            </w:tcBorders>
            <w:shd w:val="clear" w:color="auto" w:fill="F4F6F7"/>
            <w:tcMar>
              <w:top w:w="100" w:type="dxa"/>
              <w:left w:w="140" w:type="dxa"/>
              <w:bottom w:w="100" w:type="dxa"/>
              <w:right w:w="140" w:type="dxa"/>
            </w:tcMar>
            <w:vAlign w:val="center"/>
          </w:tcPr>
          <w:p w14:paraId="1C173EAB" w14:textId="77777777" w:rsidR="000A3F93" w:rsidRDefault="00000000">
            <w:pPr>
              <w:jc w:val="center"/>
            </w:pPr>
            <w:r>
              <w:rPr>
                <w:rFonts w:ascii="Calibri" w:eastAsia="Calibri" w:hAnsi="Calibri" w:cs="Calibri"/>
                <w:color w:val="1A1A1A"/>
                <w:sz w:val="20"/>
                <w:szCs w:val="20"/>
              </w:rPr>
              <w:t>High (Explicit Prompt Matrix)</w:t>
            </w:r>
          </w:p>
        </w:tc>
      </w:tr>
      <w:tr w:rsidR="000A3F93" w14:paraId="03A194EB" w14:textId="77777777">
        <w:tblPrEx>
          <w:tblCellMar>
            <w:top w:w="0" w:type="dxa"/>
            <w:bottom w:w="0" w:type="dxa"/>
          </w:tblCellMar>
        </w:tblPrEx>
        <w:tc>
          <w:tcPr>
            <w:tcW w:w="2200" w:type="dxa"/>
            <w:tcBorders>
              <w:top w:val="single" w:sz="4" w:space="0" w:color="D5D8DC"/>
              <w:left w:val="single" w:sz="4" w:space="0" w:color="D5D8DC"/>
              <w:bottom w:val="single" w:sz="4" w:space="0" w:color="D5D8DC"/>
              <w:right w:val="single" w:sz="4" w:space="0" w:color="D5D8DC"/>
            </w:tcBorders>
            <w:shd w:val="clear" w:color="auto" w:fill="FFFFFF"/>
            <w:tcMar>
              <w:top w:w="100" w:type="dxa"/>
              <w:left w:w="140" w:type="dxa"/>
              <w:bottom w:w="100" w:type="dxa"/>
              <w:right w:w="140" w:type="dxa"/>
            </w:tcMar>
            <w:vAlign w:val="center"/>
          </w:tcPr>
          <w:p w14:paraId="22368AF2" w14:textId="77777777" w:rsidR="000A3F93" w:rsidRDefault="00000000">
            <w:r>
              <w:rPr>
                <w:rFonts w:ascii="Calibri" w:eastAsia="Calibri" w:hAnsi="Calibri" w:cs="Calibri"/>
                <w:color w:val="1A1A1A"/>
                <w:sz w:val="20"/>
                <w:szCs w:val="20"/>
              </w:rPr>
              <w:t>Codebook Perplexity</w:t>
            </w:r>
          </w:p>
        </w:tc>
        <w:tc>
          <w:tcPr>
            <w:tcW w:w="1880" w:type="dxa"/>
            <w:tcBorders>
              <w:top w:val="single" w:sz="4" w:space="0" w:color="D5D8DC"/>
              <w:left w:val="single" w:sz="4" w:space="0" w:color="D5D8DC"/>
              <w:bottom w:val="single" w:sz="4" w:space="0" w:color="D5D8DC"/>
              <w:right w:val="single" w:sz="4" w:space="0" w:color="D5D8DC"/>
            </w:tcBorders>
            <w:shd w:val="clear" w:color="auto" w:fill="FFFFFF"/>
            <w:tcMar>
              <w:top w:w="100" w:type="dxa"/>
              <w:left w:w="140" w:type="dxa"/>
              <w:bottom w:w="100" w:type="dxa"/>
              <w:right w:w="140" w:type="dxa"/>
            </w:tcMar>
            <w:vAlign w:val="center"/>
          </w:tcPr>
          <w:p w14:paraId="217D2322" w14:textId="77777777" w:rsidR="000A3F93" w:rsidRDefault="00000000">
            <w:pPr>
              <w:jc w:val="center"/>
            </w:pPr>
            <w:r>
              <w:rPr>
                <w:rFonts w:ascii="Calibri" w:eastAsia="Calibri" w:hAnsi="Calibri" w:cs="Calibri"/>
                <w:color w:val="1A1A1A"/>
                <w:sz w:val="20"/>
                <w:szCs w:val="20"/>
              </w:rPr>
              <w:t>Variable</w:t>
            </w:r>
          </w:p>
        </w:tc>
        <w:tc>
          <w:tcPr>
            <w:tcW w:w="1780" w:type="dxa"/>
            <w:tcBorders>
              <w:top w:val="single" w:sz="4" w:space="0" w:color="D5D8DC"/>
              <w:left w:val="single" w:sz="4" w:space="0" w:color="D5D8DC"/>
              <w:bottom w:val="single" w:sz="4" w:space="0" w:color="D5D8DC"/>
              <w:right w:val="single" w:sz="4" w:space="0" w:color="D5D8DC"/>
            </w:tcBorders>
            <w:shd w:val="clear" w:color="auto" w:fill="FFFFFF"/>
            <w:tcMar>
              <w:top w:w="100" w:type="dxa"/>
              <w:left w:w="140" w:type="dxa"/>
              <w:bottom w:w="100" w:type="dxa"/>
              <w:right w:w="140" w:type="dxa"/>
            </w:tcMar>
            <w:vAlign w:val="center"/>
          </w:tcPr>
          <w:p w14:paraId="58B99230" w14:textId="77777777" w:rsidR="000A3F93" w:rsidRDefault="00000000">
            <w:pPr>
              <w:jc w:val="center"/>
            </w:pPr>
            <w:r>
              <w:rPr>
                <w:rFonts w:ascii="Calibri" w:eastAsia="Calibri" w:hAnsi="Calibri" w:cs="Calibri"/>
                <w:color w:val="1A1A1A"/>
                <w:sz w:val="20"/>
                <w:szCs w:val="20"/>
              </w:rPr>
              <w:t>Vulnerable to collapse</w:t>
            </w:r>
          </w:p>
        </w:tc>
        <w:tc>
          <w:tcPr>
            <w:tcW w:w="3500" w:type="dxa"/>
            <w:tcBorders>
              <w:top w:val="single" w:sz="4" w:space="0" w:color="D5D8DC"/>
              <w:left w:val="single" w:sz="4" w:space="0" w:color="D5D8DC"/>
              <w:bottom w:val="single" w:sz="4" w:space="0" w:color="D5D8DC"/>
              <w:right w:val="single" w:sz="4" w:space="0" w:color="D5D8DC"/>
            </w:tcBorders>
            <w:shd w:val="clear" w:color="auto" w:fill="FFFFFF"/>
            <w:tcMar>
              <w:top w:w="100" w:type="dxa"/>
              <w:left w:w="140" w:type="dxa"/>
              <w:bottom w:w="100" w:type="dxa"/>
              <w:right w:w="140" w:type="dxa"/>
            </w:tcMar>
            <w:vAlign w:val="center"/>
          </w:tcPr>
          <w:p w14:paraId="622A162D" w14:textId="77777777" w:rsidR="000A3F93" w:rsidRDefault="00000000">
            <w:pPr>
              <w:jc w:val="center"/>
            </w:pPr>
            <w:r>
              <w:rPr>
                <w:rFonts w:ascii="Calibri" w:eastAsia="Calibri" w:hAnsi="Calibri" w:cs="Calibri"/>
                <w:color w:val="1A1A1A"/>
                <w:sz w:val="20"/>
                <w:szCs w:val="20"/>
              </w:rPr>
              <w:t>Highly Stable (~31.15)</w:t>
            </w:r>
          </w:p>
        </w:tc>
      </w:tr>
      <w:tr w:rsidR="000A3F93" w14:paraId="5A14CE2E" w14:textId="77777777">
        <w:tblPrEx>
          <w:tblCellMar>
            <w:top w:w="0" w:type="dxa"/>
            <w:bottom w:w="0" w:type="dxa"/>
          </w:tblCellMar>
        </w:tblPrEx>
        <w:tc>
          <w:tcPr>
            <w:tcW w:w="2200" w:type="dxa"/>
            <w:tcBorders>
              <w:top w:val="single" w:sz="4" w:space="0" w:color="D5D8DC"/>
              <w:left w:val="single" w:sz="4" w:space="0" w:color="D5D8DC"/>
              <w:bottom w:val="single" w:sz="4" w:space="0" w:color="D5D8DC"/>
              <w:right w:val="single" w:sz="4" w:space="0" w:color="D5D8DC"/>
            </w:tcBorders>
            <w:shd w:val="clear" w:color="auto" w:fill="F4F6F7"/>
            <w:tcMar>
              <w:top w:w="100" w:type="dxa"/>
              <w:left w:w="140" w:type="dxa"/>
              <w:bottom w:w="100" w:type="dxa"/>
              <w:right w:w="140" w:type="dxa"/>
            </w:tcMar>
            <w:vAlign w:val="center"/>
          </w:tcPr>
          <w:p w14:paraId="68DAA34E" w14:textId="77777777" w:rsidR="000A3F93" w:rsidRDefault="00000000">
            <w:r>
              <w:rPr>
                <w:rFonts w:ascii="Calibri" w:eastAsia="Calibri" w:hAnsi="Calibri" w:cs="Calibri"/>
                <w:color w:val="1A1A1A"/>
                <w:sz w:val="20"/>
                <w:szCs w:val="20"/>
              </w:rPr>
              <w:t>Target Output Vocab</w:t>
            </w:r>
          </w:p>
        </w:tc>
        <w:tc>
          <w:tcPr>
            <w:tcW w:w="1880" w:type="dxa"/>
            <w:tcBorders>
              <w:top w:val="single" w:sz="4" w:space="0" w:color="D5D8DC"/>
              <w:left w:val="single" w:sz="4" w:space="0" w:color="D5D8DC"/>
              <w:bottom w:val="single" w:sz="4" w:space="0" w:color="D5D8DC"/>
              <w:right w:val="single" w:sz="4" w:space="0" w:color="D5D8DC"/>
            </w:tcBorders>
            <w:shd w:val="clear" w:color="auto" w:fill="F4F6F7"/>
            <w:tcMar>
              <w:top w:w="100" w:type="dxa"/>
              <w:left w:w="140" w:type="dxa"/>
              <w:bottom w:w="100" w:type="dxa"/>
              <w:right w:w="140" w:type="dxa"/>
            </w:tcMar>
            <w:vAlign w:val="center"/>
          </w:tcPr>
          <w:p w14:paraId="26B7E06C" w14:textId="77777777" w:rsidR="000A3F93" w:rsidRDefault="00000000">
            <w:pPr>
              <w:jc w:val="center"/>
            </w:pPr>
            <w:r>
              <w:rPr>
                <w:rFonts w:ascii="Calibri" w:eastAsia="Calibri" w:hAnsi="Calibri" w:cs="Calibri"/>
                <w:color w:val="1A1A1A"/>
                <w:sz w:val="20"/>
                <w:szCs w:val="20"/>
              </w:rPr>
              <w:t>Combined Token Space</w:t>
            </w:r>
          </w:p>
        </w:tc>
        <w:tc>
          <w:tcPr>
            <w:tcW w:w="1780" w:type="dxa"/>
            <w:tcBorders>
              <w:top w:val="single" w:sz="4" w:space="0" w:color="D5D8DC"/>
              <w:left w:val="single" w:sz="4" w:space="0" w:color="D5D8DC"/>
              <w:bottom w:val="single" w:sz="4" w:space="0" w:color="D5D8DC"/>
              <w:right w:val="single" w:sz="4" w:space="0" w:color="D5D8DC"/>
            </w:tcBorders>
            <w:shd w:val="clear" w:color="auto" w:fill="F4F6F7"/>
            <w:tcMar>
              <w:top w:w="100" w:type="dxa"/>
              <w:left w:w="140" w:type="dxa"/>
              <w:bottom w:w="100" w:type="dxa"/>
              <w:right w:w="140" w:type="dxa"/>
            </w:tcMar>
            <w:vAlign w:val="center"/>
          </w:tcPr>
          <w:p w14:paraId="77295716" w14:textId="77777777" w:rsidR="000A3F93" w:rsidRDefault="00000000">
            <w:pPr>
              <w:jc w:val="center"/>
            </w:pPr>
            <w:r>
              <w:rPr>
                <w:rFonts w:ascii="Calibri" w:eastAsia="Calibri" w:hAnsi="Calibri" w:cs="Calibri"/>
                <w:color w:val="1A1A1A"/>
                <w:sz w:val="20"/>
                <w:szCs w:val="20"/>
              </w:rPr>
              <w:t>Audio Indices Only</w:t>
            </w:r>
          </w:p>
        </w:tc>
        <w:tc>
          <w:tcPr>
            <w:tcW w:w="3500" w:type="dxa"/>
            <w:tcBorders>
              <w:top w:val="single" w:sz="4" w:space="0" w:color="D5D8DC"/>
              <w:left w:val="single" w:sz="4" w:space="0" w:color="D5D8DC"/>
              <w:bottom w:val="single" w:sz="4" w:space="0" w:color="D5D8DC"/>
              <w:right w:val="single" w:sz="4" w:space="0" w:color="D5D8DC"/>
            </w:tcBorders>
            <w:shd w:val="clear" w:color="auto" w:fill="F4F6F7"/>
            <w:tcMar>
              <w:top w:w="100" w:type="dxa"/>
              <w:left w:w="140" w:type="dxa"/>
              <w:bottom w:w="100" w:type="dxa"/>
              <w:right w:w="140" w:type="dxa"/>
            </w:tcMar>
            <w:vAlign w:val="center"/>
          </w:tcPr>
          <w:p w14:paraId="07FEEE9E" w14:textId="77777777" w:rsidR="000A3F93" w:rsidRDefault="00000000">
            <w:pPr>
              <w:jc w:val="center"/>
            </w:pPr>
            <w:r>
              <w:rPr>
                <w:rFonts w:ascii="Calibri" w:eastAsia="Calibri" w:hAnsi="Calibri" w:cs="Calibri"/>
                <w:color w:val="1A1A1A"/>
                <w:sz w:val="20"/>
                <w:szCs w:val="20"/>
              </w:rPr>
              <w:t>Targeted 1024 Discrete Units</w:t>
            </w:r>
          </w:p>
        </w:tc>
      </w:tr>
    </w:tbl>
    <w:p w14:paraId="6B36B00C" w14:textId="77777777" w:rsidR="000A3F93" w:rsidRDefault="000A3F93">
      <w:pPr>
        <w:spacing w:line="80" w:lineRule="auto"/>
      </w:pPr>
    </w:p>
    <w:p w14:paraId="2C0CA76F" w14:textId="77777777" w:rsidR="000A3F93" w:rsidRDefault="000A3F93">
      <w:pPr>
        <w:pageBreakBefore/>
      </w:pPr>
    </w:p>
    <w:p w14:paraId="7C801687" w14:textId="77777777" w:rsidR="000A3F93" w:rsidRDefault="00000000">
      <w:pPr>
        <w:pStyle w:val="Heading1"/>
        <w:pBdr>
          <w:bottom w:val="single" w:sz="6" w:space="4" w:color="C0392B"/>
        </w:pBdr>
      </w:pPr>
      <w:r>
        <w:t>3. Methodology</w:t>
      </w:r>
    </w:p>
    <w:p w14:paraId="58ED24A4" w14:textId="77777777" w:rsidR="000A3F93" w:rsidRDefault="00000000">
      <w:pPr>
        <w:pStyle w:val="Heading2"/>
      </w:pPr>
      <w:r>
        <w:t>3.1 Data Collection &amp; Simulation</w:t>
      </w:r>
    </w:p>
    <w:p w14:paraId="1CA37B20" w14:textId="77777777" w:rsidR="000A3F93" w:rsidRDefault="00000000">
      <w:pPr>
        <w:spacing w:before="60" w:after="120" w:line="276" w:lineRule="auto"/>
        <w:jc w:val="both"/>
      </w:pPr>
      <w:r>
        <w:rPr>
          <w:color w:val="1A1A1A"/>
        </w:rPr>
        <w:t>To validate the architecture locally without heavy storage dependencies, a Stochastic Human Voice Simulator was engineered within train_vq.py. This engine generates audio vectors utilising distinct physical profiles to mimic human vocal variances:</w:t>
      </w:r>
    </w:p>
    <w:p w14:paraId="46B74268" w14:textId="77777777" w:rsidR="000A3F93" w:rsidRDefault="00000000">
      <w:pPr>
        <w:spacing w:before="60" w:after="120" w:line="276" w:lineRule="auto"/>
        <w:jc w:val="both"/>
      </w:pPr>
      <w:r>
        <w:rPr>
          <w:b/>
          <w:bCs/>
          <w:color w:val="1A1A1A"/>
        </w:rPr>
        <w:t xml:space="preserve">Excited Cluster:  </w:t>
      </w:r>
      <w:r>
        <w:rPr>
          <w:color w:val="1A1A1A"/>
        </w:rPr>
        <w:t>Elevated baseline frequencies (200 Hz – 350 Hz) with fast mathematical frequency sweeps.</w:t>
      </w:r>
    </w:p>
    <w:p w14:paraId="7F7B6A11" w14:textId="77777777" w:rsidR="000A3F93" w:rsidRDefault="00000000">
      <w:pPr>
        <w:spacing w:before="60" w:after="120" w:line="276" w:lineRule="auto"/>
        <w:jc w:val="both"/>
      </w:pPr>
      <w:r>
        <w:rPr>
          <w:b/>
          <w:bCs/>
          <w:color w:val="1A1A1A"/>
        </w:rPr>
        <w:t xml:space="preserve">Sad Cluster:  </w:t>
      </w:r>
      <w:r>
        <w:rPr>
          <w:color w:val="1A1A1A"/>
        </w:rPr>
        <w:t>Flat base frequencies (80 Hz – 110 Hz) with micro-amplitude drops.</w:t>
      </w:r>
    </w:p>
    <w:p w14:paraId="3CA109A8" w14:textId="77777777" w:rsidR="000A3F93" w:rsidRDefault="00000000">
      <w:pPr>
        <w:spacing w:before="60" w:after="120" w:line="276" w:lineRule="auto"/>
        <w:jc w:val="both"/>
      </w:pPr>
      <w:r>
        <w:rPr>
          <w:b/>
          <w:bCs/>
          <w:color w:val="1A1A1A"/>
        </w:rPr>
        <w:t xml:space="preserve">Acoustic Noise Perturbations:  </w:t>
      </w:r>
      <w:r>
        <w:rPr>
          <w:color w:val="1A1A1A"/>
        </w:rPr>
        <w:t>Frame-by-frame mathematical jitter and per-sample shimmer are injected to force spatial variance in the vector coordinates.</w:t>
      </w:r>
    </w:p>
    <w:p w14:paraId="08FC5910" w14:textId="77777777" w:rsidR="000A3F93" w:rsidRDefault="00000000">
      <w:pPr>
        <w:pStyle w:val="Heading2"/>
      </w:pPr>
      <w:r>
        <w:t>3.2 Proposed Method</w:t>
      </w:r>
    </w:p>
    <w:p w14:paraId="53F164EC" w14:textId="77777777" w:rsidR="000A3F93" w:rsidRDefault="00000000">
      <w:pPr>
        <w:spacing w:before="60" w:after="120" w:line="276" w:lineRule="auto"/>
        <w:jc w:val="both"/>
      </w:pPr>
      <w:r>
        <w:rPr>
          <w:color w:val="1A1A1A"/>
        </w:rPr>
        <w:t>The DualSpeechLM pipeline processes inputs via three decoupled phases:</w:t>
      </w:r>
    </w:p>
    <w:p w14:paraId="6EB98EB8" w14:textId="77777777" w:rsidR="000A3F93" w:rsidRDefault="00000000">
      <w:pPr>
        <w:spacing w:before="60" w:after="120" w:line="276" w:lineRule="auto"/>
        <w:jc w:val="both"/>
      </w:pPr>
      <w:r>
        <w:rPr>
          <w:b/>
          <w:bCs/>
          <w:color w:val="1A1A1A"/>
        </w:rPr>
        <w:t xml:space="preserve">1. Acoustic Tokenisation:  </w:t>
      </w:r>
      <w:r>
        <w:rPr>
          <w:color w:val="1A1A1A"/>
        </w:rPr>
        <w:t>Frame features pass into a 256-size vector quantizer. To avoid coordinate dead zones, codebook matrices 0–63, 64–127, and 128–191 are explicitly initialised around distinct positive/negative spatial centres. Active frames with a usage histogram count of exactly 0 are replaced on the forward pass with live data slices plus Gaussian noise.</w:t>
      </w:r>
    </w:p>
    <w:p w14:paraId="5FA512A4" w14:textId="77777777" w:rsidR="000A3F93" w:rsidRDefault="00000000">
      <w:pPr>
        <w:spacing w:before="60" w:after="120" w:line="276" w:lineRule="auto"/>
        <w:jc w:val="both"/>
      </w:pPr>
      <w:r>
        <w:rPr>
          <w:b/>
          <w:bCs/>
          <w:color w:val="1A1A1A"/>
        </w:rPr>
        <w:t xml:space="preserve">2. Prefix Conditioning:  </w:t>
      </w:r>
      <w:r>
        <w:rPr>
          <w:color w:val="1A1A1A"/>
        </w:rPr>
        <w:t>The discrete style indices are passed into model.py, where they are prepended directly ahead of semantic textual tokens, building a combined causal tracking block sequence: L = Tₘₐᵣₐₗᴵⁿᴳᵁᴵˢᵗᴵᶜ + Tₛₑₘₐₙᵗᴵᶜ</w:t>
      </w:r>
    </w:p>
    <w:p w14:paraId="5AC909B3" w14:textId="77777777" w:rsidR="000A3F93" w:rsidRDefault="00000000">
      <w:pPr>
        <w:spacing w:before="60" w:after="120" w:line="276" w:lineRule="auto"/>
        <w:jc w:val="both"/>
      </w:pPr>
      <w:r>
        <w:rPr>
          <w:b/>
          <w:bCs/>
          <w:color w:val="1A1A1A"/>
        </w:rPr>
        <w:t xml:space="preserve">3. Causal Language Modelling (ExpressiveAcousticGPT):  </w:t>
      </w:r>
      <w:r>
        <w:rPr>
          <w:color w:val="1A1A1A"/>
        </w:rPr>
        <w:t>The sequence is combined with a square lower-triangular causal attention mask to prevent future tokens from influencing current predictions during autoregressive training.</w:t>
      </w:r>
    </w:p>
    <w:p w14:paraId="6D85F5FC" w14:textId="77777777" w:rsidR="000A3F93" w:rsidRDefault="00000000">
      <w:pPr>
        <w:pStyle w:val="Heading2"/>
      </w:pPr>
      <w:r>
        <w:t>3.3 Flowchart / Algorithm Structure</w:t>
      </w:r>
    </w:p>
    <w:p w14:paraId="473ABC35" w14:textId="77777777" w:rsidR="000A3F93" w:rsidRDefault="000A3F93">
      <w:pPr>
        <w:spacing w:line="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3F93" w14:paraId="251605A8" w14:textId="77777777">
        <w:tblPrEx>
          <w:tblCellMar>
            <w:top w:w="0" w:type="dxa"/>
            <w:bottom w:w="0" w:type="dxa"/>
          </w:tblCellMar>
        </w:tblPrEx>
        <w:tc>
          <w:tcPr>
            <w:tcW w:w="9360" w:type="dxa"/>
            <w:tcBorders>
              <w:top w:val="single" w:sz="6" w:space="0" w:color="C0392B"/>
              <w:left w:val="single" w:sz="6" w:space="0" w:color="C0392B"/>
              <w:bottom w:val="single" w:sz="6" w:space="0" w:color="C0392B"/>
              <w:right w:val="single" w:sz="6" w:space="0" w:color="C0392B"/>
            </w:tcBorders>
            <w:shd w:val="clear" w:color="auto" w:fill="1E2A38"/>
            <w:tcMar>
              <w:top w:w="160" w:type="dxa"/>
              <w:left w:w="240" w:type="dxa"/>
              <w:bottom w:w="160" w:type="dxa"/>
              <w:right w:w="240" w:type="dxa"/>
            </w:tcMar>
          </w:tcPr>
          <w:p w14:paraId="33531A3E" w14:textId="77777777" w:rsidR="000A3F93" w:rsidRDefault="00000000">
            <w:pPr>
              <w:spacing w:before="20" w:after="20"/>
            </w:pPr>
            <w:r>
              <w:rPr>
                <w:rFonts w:ascii="Courier New" w:eastAsia="Courier New" w:hAnsi="Courier New" w:cs="Courier New"/>
                <w:color w:val="E8E8E8"/>
                <w:sz w:val="18"/>
                <w:szCs w:val="18"/>
              </w:rPr>
              <w:t>[Raw Audio Signal Vector]</w:t>
            </w:r>
          </w:p>
          <w:p w14:paraId="16227FF6" w14:textId="77777777" w:rsidR="000A3F93" w:rsidRDefault="00000000">
            <w:pPr>
              <w:spacing w:before="20" w:after="20"/>
            </w:pPr>
            <w:r>
              <w:rPr>
                <w:rFonts w:ascii="Courier New" w:eastAsia="Courier New" w:hAnsi="Courier New" w:cs="Courier New"/>
                <w:color w:val="E8E8E8"/>
                <w:sz w:val="18"/>
                <w:szCs w:val="18"/>
              </w:rPr>
              <w:t xml:space="preserve">        ↓</w:t>
            </w:r>
          </w:p>
          <w:p w14:paraId="4493C620" w14:textId="77777777" w:rsidR="000A3F93" w:rsidRDefault="00000000">
            <w:pPr>
              <w:spacing w:before="20" w:after="20"/>
            </w:pPr>
            <w:r>
              <w:rPr>
                <w:rFonts w:ascii="Courier New" w:eastAsia="Courier New" w:hAnsi="Courier New" w:cs="Courier New"/>
                <w:color w:val="E8E8E8"/>
                <w:sz w:val="18"/>
                <w:szCs w:val="18"/>
              </w:rPr>
              <w:t>[features.py]  →  Extract F0 / Energy / Cadence</w:t>
            </w:r>
          </w:p>
          <w:p w14:paraId="74249795" w14:textId="77777777" w:rsidR="000A3F93" w:rsidRDefault="00000000">
            <w:pPr>
              <w:spacing w:before="20" w:after="20"/>
            </w:pPr>
            <w:r>
              <w:rPr>
                <w:rFonts w:ascii="Courier New" w:eastAsia="Courier New" w:hAnsi="Courier New" w:cs="Courier New"/>
                <w:color w:val="E8E8E8"/>
                <w:sz w:val="18"/>
                <w:szCs w:val="18"/>
              </w:rPr>
              <w:t xml:space="preserve">        ↓</w:t>
            </w:r>
          </w:p>
          <w:p w14:paraId="3AD826CA" w14:textId="77777777" w:rsidR="000A3F93" w:rsidRDefault="00000000">
            <w:pPr>
              <w:spacing w:before="20" w:after="20"/>
            </w:pPr>
            <w:r>
              <w:rPr>
                <w:rFonts w:ascii="Courier New" w:eastAsia="Courier New" w:hAnsi="Courier New" w:cs="Courier New"/>
                <w:color w:val="E8E8E8"/>
                <w:sz w:val="18"/>
                <w:szCs w:val="18"/>
              </w:rPr>
              <w:t>[quantizer.py]  →  Sub-Space Embedding Initialisation</w:t>
            </w:r>
          </w:p>
          <w:p w14:paraId="1154F05F" w14:textId="77777777" w:rsidR="000A3F93" w:rsidRDefault="00000000">
            <w:pPr>
              <w:spacing w:before="20" w:after="20"/>
            </w:pPr>
            <w:r>
              <w:rPr>
                <w:rFonts w:ascii="Courier New" w:eastAsia="Courier New" w:hAnsi="Courier New" w:cs="Courier New"/>
                <w:color w:val="E8E8E8"/>
                <w:sz w:val="18"/>
                <w:szCs w:val="18"/>
              </w:rPr>
              <w:t xml:space="preserve">        ↓</w:t>
            </w:r>
          </w:p>
          <w:p w14:paraId="02962FF4" w14:textId="77777777" w:rsidR="000A3F93" w:rsidRDefault="00000000">
            <w:pPr>
              <w:spacing w:before="20" w:after="20"/>
            </w:pPr>
            <w:r>
              <w:rPr>
                <w:rFonts w:ascii="Courier New" w:eastAsia="Courier New" w:hAnsi="Courier New" w:cs="Courier New"/>
                <w:color w:val="E8E8E8"/>
                <w:sz w:val="18"/>
                <w:szCs w:val="18"/>
              </w:rPr>
              <w:t>[Forced Batch Random Restarts]</w:t>
            </w:r>
          </w:p>
          <w:p w14:paraId="56BA4309" w14:textId="77777777" w:rsidR="000A3F93" w:rsidRDefault="00000000">
            <w:pPr>
              <w:spacing w:before="20" w:after="20"/>
            </w:pPr>
            <w:r>
              <w:rPr>
                <w:rFonts w:ascii="Courier New" w:eastAsia="Courier New" w:hAnsi="Courier New" w:cs="Courier New"/>
                <w:color w:val="E8E8E8"/>
                <w:sz w:val="18"/>
                <w:szCs w:val="18"/>
              </w:rPr>
              <w:t xml:space="preserve">        ↓</w:t>
            </w:r>
          </w:p>
          <w:p w14:paraId="42AA8E3B" w14:textId="77777777" w:rsidR="000A3F93" w:rsidRDefault="00000000">
            <w:pPr>
              <w:spacing w:before="20" w:after="20"/>
            </w:pPr>
            <w:r>
              <w:rPr>
                <w:rFonts w:ascii="Courier New" w:eastAsia="Courier New" w:hAnsi="Courier New" w:cs="Courier New"/>
                <w:color w:val="E8E8E8"/>
                <w:sz w:val="18"/>
                <w:szCs w:val="18"/>
              </w:rPr>
              <w:t>[Discrete Prosody Style Tokens  (B, T₂)]</w:t>
            </w:r>
          </w:p>
          <w:p w14:paraId="241F55BC" w14:textId="77777777" w:rsidR="000A3F93" w:rsidRDefault="00000000">
            <w:pPr>
              <w:spacing w:before="20" w:after="20"/>
            </w:pPr>
            <w:r>
              <w:rPr>
                <w:rFonts w:ascii="Courier New" w:eastAsia="Courier New" w:hAnsi="Courier New" w:cs="Courier New"/>
                <w:color w:val="E8E8E8"/>
                <w:sz w:val="18"/>
                <w:szCs w:val="18"/>
              </w:rPr>
              <w:t xml:space="preserve">        ↓</w:t>
            </w:r>
          </w:p>
          <w:p w14:paraId="6128E124" w14:textId="77777777" w:rsidR="000A3F93" w:rsidRDefault="00000000">
            <w:pPr>
              <w:spacing w:before="20" w:after="20"/>
            </w:pPr>
            <w:r>
              <w:rPr>
                <w:rFonts w:ascii="Courier New" w:eastAsia="Courier New" w:hAnsi="Courier New" w:cs="Courier New"/>
                <w:color w:val="E8E8E8"/>
                <w:sz w:val="18"/>
                <w:szCs w:val="18"/>
              </w:rPr>
              <w:t>[model.py]  →  Sequence Interleaving (Paralinguistic + Semantic)</w:t>
            </w:r>
          </w:p>
          <w:p w14:paraId="785205BB" w14:textId="77777777" w:rsidR="000A3F93" w:rsidRDefault="00000000">
            <w:pPr>
              <w:spacing w:before="20" w:after="20"/>
            </w:pPr>
            <w:r>
              <w:rPr>
                <w:rFonts w:ascii="Courier New" w:eastAsia="Courier New" w:hAnsi="Courier New" w:cs="Courier New"/>
                <w:color w:val="E8E8E8"/>
                <w:sz w:val="18"/>
                <w:szCs w:val="18"/>
              </w:rPr>
              <w:t xml:space="preserve">        ↓</w:t>
            </w:r>
          </w:p>
          <w:p w14:paraId="7DB2C719" w14:textId="77777777" w:rsidR="000A3F93" w:rsidRDefault="00000000">
            <w:pPr>
              <w:spacing w:before="20" w:after="20"/>
            </w:pPr>
            <w:r>
              <w:rPr>
                <w:rFonts w:ascii="Courier New" w:eastAsia="Courier New" w:hAnsi="Courier New" w:cs="Courier New"/>
                <w:color w:val="E8E8E8"/>
                <w:sz w:val="18"/>
                <w:szCs w:val="18"/>
              </w:rPr>
              <w:t>[ExpressiveAcousticGPT  +  Causal Mask [L, L]]</w:t>
            </w:r>
          </w:p>
          <w:p w14:paraId="4E8D0723" w14:textId="77777777" w:rsidR="000A3F93" w:rsidRDefault="00000000">
            <w:pPr>
              <w:spacing w:before="20" w:after="20"/>
            </w:pPr>
            <w:r>
              <w:rPr>
                <w:rFonts w:ascii="Courier New" w:eastAsia="Courier New" w:hAnsi="Courier New" w:cs="Courier New"/>
                <w:color w:val="E8E8E8"/>
                <w:sz w:val="18"/>
                <w:szCs w:val="18"/>
              </w:rPr>
              <w:t xml:space="preserve">        ↓</w:t>
            </w:r>
          </w:p>
          <w:p w14:paraId="1357A9B3" w14:textId="77777777" w:rsidR="000A3F93" w:rsidRDefault="00000000">
            <w:pPr>
              <w:spacing w:before="20" w:after="20"/>
            </w:pPr>
            <w:r>
              <w:rPr>
                <w:rFonts w:ascii="Courier New" w:eastAsia="Courier New" w:hAnsi="Courier New" w:cs="Courier New"/>
                <w:color w:val="E8E8E8"/>
                <w:sz w:val="18"/>
                <w:szCs w:val="18"/>
              </w:rPr>
              <w:t>[Cross-Entropy Optimisation]</w:t>
            </w:r>
          </w:p>
        </w:tc>
      </w:tr>
    </w:tbl>
    <w:p w14:paraId="58E3B866" w14:textId="77777777" w:rsidR="000A3F93" w:rsidRDefault="000A3F93">
      <w:pPr>
        <w:spacing w:line="80" w:lineRule="auto"/>
      </w:pPr>
    </w:p>
    <w:p w14:paraId="33260E00" w14:textId="77777777" w:rsidR="000A3F93" w:rsidRDefault="000A3F93">
      <w:pPr>
        <w:pageBreakBefore/>
      </w:pPr>
    </w:p>
    <w:p w14:paraId="55F3F3E2" w14:textId="77777777" w:rsidR="000A3F93" w:rsidRDefault="00000000">
      <w:pPr>
        <w:pStyle w:val="Heading1"/>
        <w:pBdr>
          <w:bottom w:val="single" w:sz="6" w:space="4" w:color="C0392B"/>
        </w:pBdr>
      </w:pPr>
      <w:r>
        <w:t>4. Results</w:t>
      </w:r>
    </w:p>
    <w:p w14:paraId="0AE015CC" w14:textId="77777777" w:rsidR="000A3F93" w:rsidRDefault="00000000">
      <w:pPr>
        <w:pStyle w:val="Heading2"/>
      </w:pPr>
      <w:r>
        <w:t>4.1 Experimental Setup</w:t>
      </w:r>
    </w:p>
    <w:p w14:paraId="51B0EDC7" w14:textId="77777777" w:rsidR="000A3F93" w:rsidRDefault="00000000">
      <w:pPr>
        <w:spacing w:before="60" w:after="120" w:line="276" w:lineRule="auto"/>
        <w:jc w:val="both"/>
      </w:pPr>
      <w:r>
        <w:rPr>
          <w:b/>
          <w:bCs/>
          <w:color w:val="1A1A1A"/>
        </w:rPr>
        <w:t xml:space="preserve">Compute Infrastructure:  </w:t>
      </w:r>
      <w:r>
        <w:rPr>
          <w:color w:val="1A1A1A"/>
        </w:rPr>
        <w:t>Local execution on an integrated Intel/AMD CPU pipeline framework.</w:t>
      </w:r>
    </w:p>
    <w:p w14:paraId="0B9ECDC1" w14:textId="77777777" w:rsidR="000A3F93" w:rsidRDefault="00000000">
      <w:pPr>
        <w:spacing w:before="60" w:after="120" w:line="276" w:lineRule="auto"/>
        <w:jc w:val="both"/>
      </w:pPr>
      <w:r>
        <w:rPr>
          <w:b/>
          <w:bCs/>
          <w:color w:val="1A1A1A"/>
        </w:rPr>
        <w:t xml:space="preserve">Software Ecosystem:  </w:t>
      </w:r>
      <w:r>
        <w:rPr>
          <w:color w:val="1A1A1A"/>
        </w:rPr>
        <w:t>Python 3.12, PyTorch 2.x, and Torchaudio library packages.</w:t>
      </w:r>
    </w:p>
    <w:p w14:paraId="66480C26" w14:textId="77777777" w:rsidR="000A3F93" w:rsidRDefault="00000000">
      <w:pPr>
        <w:spacing w:before="60" w:after="120" w:line="276" w:lineRule="auto"/>
        <w:jc w:val="both"/>
      </w:pPr>
      <w:r>
        <w:rPr>
          <w:b/>
          <w:bCs/>
          <w:color w:val="1A1A1A"/>
        </w:rPr>
        <w:t xml:space="preserve">Hyperparameters:  </w:t>
      </w:r>
      <w:r>
        <w:rPr>
          <w:color w:val="1A1A1A"/>
        </w:rPr>
        <w:t>VQ Learning Rate = 2e-3, GPT Learning Rate = 5e-5, Batch Size = 8, Target Vocabulary = 1024.</w:t>
      </w:r>
    </w:p>
    <w:p w14:paraId="7506FFFE" w14:textId="77777777" w:rsidR="000A3F93" w:rsidRDefault="00000000">
      <w:pPr>
        <w:pStyle w:val="Heading2"/>
      </w:pPr>
      <w:r>
        <w:t>4.2 Observations &amp; Training Performance</w:t>
      </w:r>
    </w:p>
    <w:p w14:paraId="2897AC96" w14:textId="77777777" w:rsidR="000A3F93" w:rsidRDefault="00000000">
      <w:pPr>
        <w:spacing w:before="60" w:after="120" w:line="276" w:lineRule="auto"/>
        <w:jc w:val="both"/>
      </w:pPr>
      <w:r>
        <w:rPr>
          <w:color w:val="1A1A1A"/>
        </w:rPr>
        <w:t>When training on uniform, flat arrays, the model initially experienced codebook collapse, trapping Codebook Perplexity at a stagnant 11.43 with near-zero gradient descent updates. Following the implementation of sub-space initialisation and forced random restarts, codebook metrics improved significantly:</w:t>
      </w:r>
    </w:p>
    <w:p w14:paraId="5DC4ACF7" w14:textId="77777777" w:rsidR="000A3F93" w:rsidRDefault="000A3F93">
      <w:pPr>
        <w:spacing w:line="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0"/>
        <w:gridCol w:w="1860"/>
        <w:gridCol w:w="1980"/>
        <w:gridCol w:w="2080"/>
        <w:gridCol w:w="2400"/>
      </w:tblGrid>
      <w:tr w:rsidR="000A3F93" w14:paraId="473727A4" w14:textId="77777777">
        <w:tblPrEx>
          <w:tblCellMar>
            <w:top w:w="0" w:type="dxa"/>
            <w:bottom w:w="0" w:type="dxa"/>
          </w:tblCellMar>
        </w:tblPrEx>
        <w:tc>
          <w:tcPr>
            <w:tcW w:w="1040" w:type="dxa"/>
            <w:tcBorders>
              <w:top w:val="single" w:sz="4" w:space="0" w:color="C0392B"/>
              <w:left w:val="single" w:sz="4" w:space="0" w:color="C0392B"/>
              <w:bottom w:val="single" w:sz="4" w:space="0" w:color="C0392B"/>
              <w:right w:val="single" w:sz="4" w:space="0" w:color="C0392B"/>
            </w:tcBorders>
            <w:shd w:val="clear" w:color="auto" w:fill="C0392B"/>
            <w:tcMar>
              <w:top w:w="100" w:type="dxa"/>
              <w:left w:w="140" w:type="dxa"/>
              <w:bottom w:w="100" w:type="dxa"/>
              <w:right w:w="140" w:type="dxa"/>
            </w:tcMar>
            <w:vAlign w:val="center"/>
          </w:tcPr>
          <w:p w14:paraId="5D2C5B97" w14:textId="77777777" w:rsidR="000A3F93" w:rsidRDefault="00000000">
            <w:pPr>
              <w:jc w:val="center"/>
            </w:pPr>
            <w:r>
              <w:rPr>
                <w:rFonts w:ascii="Calibri" w:eastAsia="Calibri" w:hAnsi="Calibri" w:cs="Calibri"/>
                <w:b/>
                <w:bCs/>
                <w:color w:val="FFFFFF"/>
                <w:sz w:val="20"/>
                <w:szCs w:val="20"/>
              </w:rPr>
              <w:t>Epoch</w:t>
            </w:r>
          </w:p>
        </w:tc>
        <w:tc>
          <w:tcPr>
            <w:tcW w:w="1860" w:type="dxa"/>
            <w:tcBorders>
              <w:top w:val="single" w:sz="4" w:space="0" w:color="C0392B"/>
              <w:left w:val="single" w:sz="4" w:space="0" w:color="C0392B"/>
              <w:bottom w:val="single" w:sz="4" w:space="0" w:color="C0392B"/>
              <w:right w:val="single" w:sz="4" w:space="0" w:color="C0392B"/>
            </w:tcBorders>
            <w:shd w:val="clear" w:color="auto" w:fill="C0392B"/>
            <w:tcMar>
              <w:top w:w="100" w:type="dxa"/>
              <w:left w:w="140" w:type="dxa"/>
              <w:bottom w:w="100" w:type="dxa"/>
              <w:right w:w="140" w:type="dxa"/>
            </w:tcMar>
            <w:vAlign w:val="center"/>
          </w:tcPr>
          <w:p w14:paraId="09C2A439" w14:textId="77777777" w:rsidR="000A3F93" w:rsidRDefault="00000000">
            <w:pPr>
              <w:jc w:val="center"/>
            </w:pPr>
            <w:r>
              <w:rPr>
                <w:rFonts w:ascii="Calibri" w:eastAsia="Calibri" w:hAnsi="Calibri" w:cs="Calibri"/>
                <w:b/>
                <w:bCs/>
                <w:color w:val="FFFFFF"/>
                <w:sz w:val="20"/>
                <w:szCs w:val="20"/>
              </w:rPr>
              <w:t>VQ Loss</w:t>
            </w:r>
          </w:p>
        </w:tc>
        <w:tc>
          <w:tcPr>
            <w:tcW w:w="1980" w:type="dxa"/>
            <w:tcBorders>
              <w:top w:val="single" w:sz="4" w:space="0" w:color="C0392B"/>
              <w:left w:val="single" w:sz="4" w:space="0" w:color="C0392B"/>
              <w:bottom w:val="single" w:sz="4" w:space="0" w:color="C0392B"/>
              <w:right w:val="single" w:sz="4" w:space="0" w:color="C0392B"/>
            </w:tcBorders>
            <w:shd w:val="clear" w:color="auto" w:fill="C0392B"/>
            <w:tcMar>
              <w:top w:w="100" w:type="dxa"/>
              <w:left w:w="140" w:type="dxa"/>
              <w:bottom w:w="100" w:type="dxa"/>
              <w:right w:w="140" w:type="dxa"/>
            </w:tcMar>
            <w:vAlign w:val="center"/>
          </w:tcPr>
          <w:p w14:paraId="0B22D58F" w14:textId="77777777" w:rsidR="000A3F93" w:rsidRDefault="00000000">
            <w:pPr>
              <w:jc w:val="center"/>
            </w:pPr>
            <w:r>
              <w:rPr>
                <w:rFonts w:ascii="Calibri" w:eastAsia="Calibri" w:hAnsi="Calibri" w:cs="Calibri"/>
                <w:b/>
                <w:bCs/>
                <w:color w:val="FFFFFF"/>
                <w:sz w:val="20"/>
                <w:szCs w:val="20"/>
              </w:rPr>
              <w:t>Codebook Loss</w:t>
            </w:r>
          </w:p>
        </w:tc>
        <w:tc>
          <w:tcPr>
            <w:tcW w:w="2080" w:type="dxa"/>
            <w:tcBorders>
              <w:top w:val="single" w:sz="4" w:space="0" w:color="C0392B"/>
              <w:left w:val="single" w:sz="4" w:space="0" w:color="C0392B"/>
              <w:bottom w:val="single" w:sz="4" w:space="0" w:color="C0392B"/>
              <w:right w:val="single" w:sz="4" w:space="0" w:color="C0392B"/>
            </w:tcBorders>
            <w:shd w:val="clear" w:color="auto" w:fill="C0392B"/>
            <w:tcMar>
              <w:top w:w="100" w:type="dxa"/>
              <w:left w:w="140" w:type="dxa"/>
              <w:bottom w:w="100" w:type="dxa"/>
              <w:right w:w="140" w:type="dxa"/>
            </w:tcMar>
            <w:vAlign w:val="center"/>
          </w:tcPr>
          <w:p w14:paraId="526780ED" w14:textId="77777777" w:rsidR="000A3F93" w:rsidRDefault="00000000">
            <w:pPr>
              <w:jc w:val="center"/>
            </w:pPr>
            <w:r>
              <w:rPr>
                <w:rFonts w:ascii="Calibri" w:eastAsia="Calibri" w:hAnsi="Calibri" w:cs="Calibri"/>
                <w:b/>
                <w:bCs/>
                <w:color w:val="FFFFFF"/>
                <w:sz w:val="20"/>
                <w:szCs w:val="20"/>
              </w:rPr>
              <w:t>Commitment Loss</w:t>
            </w:r>
          </w:p>
        </w:tc>
        <w:tc>
          <w:tcPr>
            <w:tcW w:w="2400" w:type="dxa"/>
            <w:tcBorders>
              <w:top w:val="single" w:sz="4" w:space="0" w:color="C0392B"/>
              <w:left w:val="single" w:sz="4" w:space="0" w:color="C0392B"/>
              <w:bottom w:val="single" w:sz="4" w:space="0" w:color="C0392B"/>
              <w:right w:val="single" w:sz="4" w:space="0" w:color="C0392B"/>
            </w:tcBorders>
            <w:shd w:val="clear" w:color="auto" w:fill="C0392B"/>
            <w:tcMar>
              <w:top w:w="100" w:type="dxa"/>
              <w:left w:w="140" w:type="dxa"/>
              <w:bottom w:w="100" w:type="dxa"/>
              <w:right w:w="140" w:type="dxa"/>
            </w:tcMar>
            <w:vAlign w:val="center"/>
          </w:tcPr>
          <w:p w14:paraId="67C9E3DB" w14:textId="77777777" w:rsidR="000A3F93" w:rsidRDefault="00000000">
            <w:pPr>
              <w:jc w:val="center"/>
            </w:pPr>
            <w:r>
              <w:rPr>
                <w:rFonts w:ascii="Calibri" w:eastAsia="Calibri" w:hAnsi="Calibri" w:cs="Calibri"/>
                <w:b/>
                <w:bCs/>
                <w:color w:val="FFFFFF"/>
                <w:sz w:val="20"/>
                <w:szCs w:val="20"/>
              </w:rPr>
              <w:t>Codebook Perplexity</w:t>
            </w:r>
          </w:p>
        </w:tc>
      </w:tr>
      <w:tr w:rsidR="000A3F93" w14:paraId="3AD2CF05" w14:textId="77777777">
        <w:tblPrEx>
          <w:tblCellMar>
            <w:top w:w="0" w:type="dxa"/>
            <w:bottom w:w="0" w:type="dxa"/>
          </w:tblCellMar>
        </w:tblPrEx>
        <w:tc>
          <w:tcPr>
            <w:tcW w:w="1040" w:type="dxa"/>
            <w:tcBorders>
              <w:top w:val="single" w:sz="4" w:space="0" w:color="D5D8DC"/>
              <w:left w:val="single" w:sz="4" w:space="0" w:color="D5D8DC"/>
              <w:bottom w:val="single" w:sz="4" w:space="0" w:color="D5D8DC"/>
              <w:right w:val="single" w:sz="4" w:space="0" w:color="D5D8DC"/>
            </w:tcBorders>
            <w:shd w:val="clear" w:color="auto" w:fill="FFFFFF"/>
            <w:tcMar>
              <w:top w:w="100" w:type="dxa"/>
              <w:left w:w="140" w:type="dxa"/>
              <w:bottom w:w="100" w:type="dxa"/>
              <w:right w:w="140" w:type="dxa"/>
            </w:tcMar>
            <w:vAlign w:val="center"/>
          </w:tcPr>
          <w:p w14:paraId="29F8ABAD" w14:textId="77777777" w:rsidR="000A3F93" w:rsidRDefault="00000000">
            <w:pPr>
              <w:jc w:val="center"/>
            </w:pPr>
            <w:r>
              <w:rPr>
                <w:rFonts w:ascii="Calibri" w:eastAsia="Calibri" w:hAnsi="Calibri" w:cs="Calibri"/>
                <w:color w:val="1A1A1A"/>
                <w:sz w:val="20"/>
                <w:szCs w:val="20"/>
              </w:rPr>
              <w:t>01 / 5</w:t>
            </w:r>
          </w:p>
        </w:tc>
        <w:tc>
          <w:tcPr>
            <w:tcW w:w="1860" w:type="dxa"/>
            <w:tcBorders>
              <w:top w:val="single" w:sz="4" w:space="0" w:color="D5D8DC"/>
              <w:left w:val="single" w:sz="4" w:space="0" w:color="D5D8DC"/>
              <w:bottom w:val="single" w:sz="4" w:space="0" w:color="D5D8DC"/>
              <w:right w:val="single" w:sz="4" w:space="0" w:color="D5D8DC"/>
            </w:tcBorders>
            <w:shd w:val="clear" w:color="auto" w:fill="FFFFFF"/>
            <w:tcMar>
              <w:top w:w="100" w:type="dxa"/>
              <w:left w:w="140" w:type="dxa"/>
              <w:bottom w:w="100" w:type="dxa"/>
              <w:right w:w="140" w:type="dxa"/>
            </w:tcMar>
            <w:vAlign w:val="center"/>
          </w:tcPr>
          <w:p w14:paraId="43DED14E" w14:textId="77777777" w:rsidR="000A3F93" w:rsidRDefault="00000000">
            <w:pPr>
              <w:jc w:val="center"/>
            </w:pPr>
            <w:r>
              <w:rPr>
                <w:rFonts w:ascii="Calibri" w:eastAsia="Calibri" w:hAnsi="Calibri" w:cs="Calibri"/>
                <w:color w:val="1A1A1A"/>
                <w:sz w:val="20"/>
                <w:szCs w:val="20"/>
              </w:rPr>
              <w:t>4.638882</w:t>
            </w:r>
          </w:p>
        </w:tc>
        <w:tc>
          <w:tcPr>
            <w:tcW w:w="1980" w:type="dxa"/>
            <w:tcBorders>
              <w:top w:val="single" w:sz="4" w:space="0" w:color="D5D8DC"/>
              <w:left w:val="single" w:sz="4" w:space="0" w:color="D5D8DC"/>
              <w:bottom w:val="single" w:sz="4" w:space="0" w:color="D5D8DC"/>
              <w:right w:val="single" w:sz="4" w:space="0" w:color="D5D8DC"/>
            </w:tcBorders>
            <w:shd w:val="clear" w:color="auto" w:fill="FFFFFF"/>
            <w:tcMar>
              <w:top w:w="100" w:type="dxa"/>
              <w:left w:w="140" w:type="dxa"/>
              <w:bottom w:w="100" w:type="dxa"/>
              <w:right w:w="140" w:type="dxa"/>
            </w:tcMar>
            <w:vAlign w:val="center"/>
          </w:tcPr>
          <w:p w14:paraId="561085C9" w14:textId="77777777" w:rsidR="000A3F93" w:rsidRDefault="00000000">
            <w:pPr>
              <w:jc w:val="center"/>
            </w:pPr>
            <w:r>
              <w:rPr>
                <w:rFonts w:ascii="Calibri" w:eastAsia="Calibri" w:hAnsi="Calibri" w:cs="Calibri"/>
                <w:color w:val="1A1A1A"/>
                <w:sz w:val="20"/>
                <w:szCs w:val="20"/>
              </w:rPr>
              <w:t>3.711106</w:t>
            </w:r>
          </w:p>
        </w:tc>
        <w:tc>
          <w:tcPr>
            <w:tcW w:w="2080" w:type="dxa"/>
            <w:tcBorders>
              <w:top w:val="single" w:sz="4" w:space="0" w:color="D5D8DC"/>
              <w:left w:val="single" w:sz="4" w:space="0" w:color="D5D8DC"/>
              <w:bottom w:val="single" w:sz="4" w:space="0" w:color="D5D8DC"/>
              <w:right w:val="single" w:sz="4" w:space="0" w:color="D5D8DC"/>
            </w:tcBorders>
            <w:shd w:val="clear" w:color="auto" w:fill="FFFFFF"/>
            <w:tcMar>
              <w:top w:w="100" w:type="dxa"/>
              <w:left w:w="140" w:type="dxa"/>
              <w:bottom w:w="100" w:type="dxa"/>
              <w:right w:w="140" w:type="dxa"/>
            </w:tcMar>
            <w:vAlign w:val="center"/>
          </w:tcPr>
          <w:p w14:paraId="52E951CD" w14:textId="77777777" w:rsidR="000A3F93" w:rsidRDefault="00000000">
            <w:pPr>
              <w:jc w:val="center"/>
            </w:pPr>
            <w:r>
              <w:rPr>
                <w:rFonts w:ascii="Calibri" w:eastAsia="Calibri" w:hAnsi="Calibri" w:cs="Calibri"/>
                <w:color w:val="1A1A1A"/>
                <w:sz w:val="20"/>
                <w:szCs w:val="20"/>
              </w:rPr>
              <w:t>0.927776</w:t>
            </w:r>
          </w:p>
        </w:tc>
        <w:tc>
          <w:tcPr>
            <w:tcW w:w="2400" w:type="dxa"/>
            <w:tcBorders>
              <w:top w:val="single" w:sz="4" w:space="0" w:color="D5D8DC"/>
              <w:left w:val="single" w:sz="4" w:space="0" w:color="D5D8DC"/>
              <w:bottom w:val="single" w:sz="4" w:space="0" w:color="D5D8DC"/>
              <w:right w:val="single" w:sz="4" w:space="0" w:color="D5D8DC"/>
            </w:tcBorders>
            <w:shd w:val="clear" w:color="auto" w:fill="FFFFFF"/>
            <w:tcMar>
              <w:top w:w="100" w:type="dxa"/>
              <w:left w:w="140" w:type="dxa"/>
              <w:bottom w:w="100" w:type="dxa"/>
              <w:right w:w="140" w:type="dxa"/>
            </w:tcMar>
            <w:vAlign w:val="center"/>
          </w:tcPr>
          <w:p w14:paraId="5BF400E2" w14:textId="77777777" w:rsidR="000A3F93" w:rsidRDefault="00000000">
            <w:pPr>
              <w:jc w:val="center"/>
            </w:pPr>
            <w:r>
              <w:rPr>
                <w:rFonts w:ascii="Calibri" w:eastAsia="Calibri" w:hAnsi="Calibri" w:cs="Calibri"/>
                <w:color w:val="1A1A1A"/>
                <w:sz w:val="20"/>
                <w:szCs w:val="20"/>
              </w:rPr>
              <w:t>22.991</w:t>
            </w:r>
          </w:p>
        </w:tc>
      </w:tr>
      <w:tr w:rsidR="000A3F93" w14:paraId="5109DE4C" w14:textId="77777777">
        <w:tblPrEx>
          <w:tblCellMar>
            <w:top w:w="0" w:type="dxa"/>
            <w:bottom w:w="0" w:type="dxa"/>
          </w:tblCellMar>
        </w:tblPrEx>
        <w:tc>
          <w:tcPr>
            <w:tcW w:w="1040" w:type="dxa"/>
            <w:tcBorders>
              <w:top w:val="single" w:sz="4" w:space="0" w:color="D5D8DC"/>
              <w:left w:val="single" w:sz="4" w:space="0" w:color="D5D8DC"/>
              <w:bottom w:val="single" w:sz="4" w:space="0" w:color="D5D8DC"/>
              <w:right w:val="single" w:sz="4" w:space="0" w:color="D5D8DC"/>
            </w:tcBorders>
            <w:shd w:val="clear" w:color="auto" w:fill="F4F6F7"/>
            <w:tcMar>
              <w:top w:w="100" w:type="dxa"/>
              <w:left w:w="140" w:type="dxa"/>
              <w:bottom w:w="100" w:type="dxa"/>
              <w:right w:w="140" w:type="dxa"/>
            </w:tcMar>
            <w:vAlign w:val="center"/>
          </w:tcPr>
          <w:p w14:paraId="445CC264" w14:textId="77777777" w:rsidR="000A3F93" w:rsidRDefault="00000000">
            <w:pPr>
              <w:jc w:val="center"/>
            </w:pPr>
            <w:r>
              <w:rPr>
                <w:rFonts w:ascii="Calibri" w:eastAsia="Calibri" w:hAnsi="Calibri" w:cs="Calibri"/>
                <w:color w:val="1A1A1A"/>
                <w:sz w:val="20"/>
                <w:szCs w:val="20"/>
              </w:rPr>
              <w:t>02 / 5</w:t>
            </w:r>
          </w:p>
        </w:tc>
        <w:tc>
          <w:tcPr>
            <w:tcW w:w="1860" w:type="dxa"/>
            <w:tcBorders>
              <w:top w:val="single" w:sz="4" w:space="0" w:color="D5D8DC"/>
              <w:left w:val="single" w:sz="4" w:space="0" w:color="D5D8DC"/>
              <w:bottom w:val="single" w:sz="4" w:space="0" w:color="D5D8DC"/>
              <w:right w:val="single" w:sz="4" w:space="0" w:color="D5D8DC"/>
            </w:tcBorders>
            <w:shd w:val="clear" w:color="auto" w:fill="F4F6F7"/>
            <w:tcMar>
              <w:top w:w="100" w:type="dxa"/>
              <w:left w:w="140" w:type="dxa"/>
              <w:bottom w:w="100" w:type="dxa"/>
              <w:right w:w="140" w:type="dxa"/>
            </w:tcMar>
            <w:vAlign w:val="center"/>
          </w:tcPr>
          <w:p w14:paraId="359A4C6C" w14:textId="77777777" w:rsidR="000A3F93" w:rsidRDefault="00000000">
            <w:pPr>
              <w:jc w:val="center"/>
            </w:pPr>
            <w:r>
              <w:rPr>
                <w:rFonts w:ascii="Calibri" w:eastAsia="Calibri" w:hAnsi="Calibri" w:cs="Calibri"/>
                <w:color w:val="1A1A1A"/>
                <w:sz w:val="20"/>
                <w:szCs w:val="20"/>
              </w:rPr>
              <w:t>0.003905</w:t>
            </w:r>
          </w:p>
        </w:tc>
        <w:tc>
          <w:tcPr>
            <w:tcW w:w="1980" w:type="dxa"/>
            <w:tcBorders>
              <w:top w:val="single" w:sz="4" w:space="0" w:color="D5D8DC"/>
              <w:left w:val="single" w:sz="4" w:space="0" w:color="D5D8DC"/>
              <w:bottom w:val="single" w:sz="4" w:space="0" w:color="D5D8DC"/>
              <w:right w:val="single" w:sz="4" w:space="0" w:color="D5D8DC"/>
            </w:tcBorders>
            <w:shd w:val="clear" w:color="auto" w:fill="F4F6F7"/>
            <w:tcMar>
              <w:top w:w="100" w:type="dxa"/>
              <w:left w:w="140" w:type="dxa"/>
              <w:bottom w:w="100" w:type="dxa"/>
              <w:right w:w="140" w:type="dxa"/>
            </w:tcMar>
            <w:vAlign w:val="center"/>
          </w:tcPr>
          <w:p w14:paraId="7B7299C2" w14:textId="77777777" w:rsidR="000A3F93" w:rsidRDefault="00000000">
            <w:pPr>
              <w:jc w:val="center"/>
            </w:pPr>
            <w:r>
              <w:rPr>
                <w:rFonts w:ascii="Calibri" w:eastAsia="Calibri" w:hAnsi="Calibri" w:cs="Calibri"/>
                <w:color w:val="1A1A1A"/>
                <w:sz w:val="20"/>
                <w:szCs w:val="20"/>
              </w:rPr>
              <w:t>0.003124</w:t>
            </w:r>
          </w:p>
        </w:tc>
        <w:tc>
          <w:tcPr>
            <w:tcW w:w="2080" w:type="dxa"/>
            <w:tcBorders>
              <w:top w:val="single" w:sz="4" w:space="0" w:color="D5D8DC"/>
              <w:left w:val="single" w:sz="4" w:space="0" w:color="D5D8DC"/>
              <w:bottom w:val="single" w:sz="4" w:space="0" w:color="D5D8DC"/>
              <w:right w:val="single" w:sz="4" w:space="0" w:color="D5D8DC"/>
            </w:tcBorders>
            <w:shd w:val="clear" w:color="auto" w:fill="F4F6F7"/>
            <w:tcMar>
              <w:top w:w="100" w:type="dxa"/>
              <w:left w:w="140" w:type="dxa"/>
              <w:bottom w:w="100" w:type="dxa"/>
              <w:right w:w="140" w:type="dxa"/>
            </w:tcMar>
            <w:vAlign w:val="center"/>
          </w:tcPr>
          <w:p w14:paraId="76818F19" w14:textId="77777777" w:rsidR="000A3F93" w:rsidRDefault="00000000">
            <w:pPr>
              <w:jc w:val="center"/>
            </w:pPr>
            <w:r>
              <w:rPr>
                <w:rFonts w:ascii="Calibri" w:eastAsia="Calibri" w:hAnsi="Calibri" w:cs="Calibri"/>
                <w:color w:val="1A1A1A"/>
                <w:sz w:val="20"/>
                <w:szCs w:val="20"/>
              </w:rPr>
              <w:t>0.000781</w:t>
            </w:r>
          </w:p>
        </w:tc>
        <w:tc>
          <w:tcPr>
            <w:tcW w:w="2400" w:type="dxa"/>
            <w:tcBorders>
              <w:top w:val="single" w:sz="4" w:space="0" w:color="D5D8DC"/>
              <w:left w:val="single" w:sz="4" w:space="0" w:color="D5D8DC"/>
              <w:bottom w:val="single" w:sz="4" w:space="0" w:color="D5D8DC"/>
              <w:right w:val="single" w:sz="4" w:space="0" w:color="D5D8DC"/>
            </w:tcBorders>
            <w:shd w:val="clear" w:color="auto" w:fill="F4F6F7"/>
            <w:tcMar>
              <w:top w:w="100" w:type="dxa"/>
              <w:left w:w="140" w:type="dxa"/>
              <w:bottom w:w="100" w:type="dxa"/>
              <w:right w:w="140" w:type="dxa"/>
            </w:tcMar>
            <w:vAlign w:val="center"/>
          </w:tcPr>
          <w:p w14:paraId="635BBA60" w14:textId="77777777" w:rsidR="000A3F93" w:rsidRDefault="00000000">
            <w:pPr>
              <w:jc w:val="center"/>
            </w:pPr>
            <w:r>
              <w:rPr>
                <w:rFonts w:ascii="Calibri" w:eastAsia="Calibri" w:hAnsi="Calibri" w:cs="Calibri"/>
                <w:color w:val="1A1A1A"/>
                <w:sz w:val="20"/>
                <w:szCs w:val="20"/>
              </w:rPr>
              <w:t>28.794</w:t>
            </w:r>
          </w:p>
        </w:tc>
      </w:tr>
      <w:tr w:rsidR="000A3F93" w14:paraId="061D04C2" w14:textId="77777777">
        <w:tblPrEx>
          <w:tblCellMar>
            <w:top w:w="0" w:type="dxa"/>
            <w:bottom w:w="0" w:type="dxa"/>
          </w:tblCellMar>
        </w:tblPrEx>
        <w:tc>
          <w:tcPr>
            <w:tcW w:w="1040" w:type="dxa"/>
            <w:tcBorders>
              <w:top w:val="single" w:sz="4" w:space="0" w:color="D5D8DC"/>
              <w:left w:val="single" w:sz="4" w:space="0" w:color="D5D8DC"/>
              <w:bottom w:val="single" w:sz="4" w:space="0" w:color="D5D8DC"/>
              <w:right w:val="single" w:sz="4" w:space="0" w:color="D5D8DC"/>
            </w:tcBorders>
            <w:shd w:val="clear" w:color="auto" w:fill="FFFFFF"/>
            <w:tcMar>
              <w:top w:w="100" w:type="dxa"/>
              <w:left w:w="140" w:type="dxa"/>
              <w:bottom w:w="100" w:type="dxa"/>
              <w:right w:w="140" w:type="dxa"/>
            </w:tcMar>
            <w:vAlign w:val="center"/>
          </w:tcPr>
          <w:p w14:paraId="02A1F942" w14:textId="77777777" w:rsidR="000A3F93" w:rsidRDefault="00000000">
            <w:pPr>
              <w:jc w:val="center"/>
            </w:pPr>
            <w:r>
              <w:rPr>
                <w:rFonts w:ascii="Calibri" w:eastAsia="Calibri" w:hAnsi="Calibri" w:cs="Calibri"/>
                <w:color w:val="1A1A1A"/>
                <w:sz w:val="20"/>
                <w:szCs w:val="20"/>
              </w:rPr>
              <w:t>03 / 5</w:t>
            </w:r>
          </w:p>
        </w:tc>
        <w:tc>
          <w:tcPr>
            <w:tcW w:w="1860" w:type="dxa"/>
            <w:tcBorders>
              <w:top w:val="single" w:sz="4" w:space="0" w:color="D5D8DC"/>
              <w:left w:val="single" w:sz="4" w:space="0" w:color="D5D8DC"/>
              <w:bottom w:val="single" w:sz="4" w:space="0" w:color="D5D8DC"/>
              <w:right w:val="single" w:sz="4" w:space="0" w:color="D5D8DC"/>
            </w:tcBorders>
            <w:shd w:val="clear" w:color="auto" w:fill="FFFFFF"/>
            <w:tcMar>
              <w:top w:w="100" w:type="dxa"/>
              <w:left w:w="140" w:type="dxa"/>
              <w:bottom w:w="100" w:type="dxa"/>
              <w:right w:w="140" w:type="dxa"/>
            </w:tcMar>
            <w:vAlign w:val="center"/>
          </w:tcPr>
          <w:p w14:paraId="1AE3FED1" w14:textId="77777777" w:rsidR="000A3F93" w:rsidRDefault="00000000">
            <w:pPr>
              <w:jc w:val="center"/>
            </w:pPr>
            <w:r>
              <w:rPr>
                <w:rFonts w:ascii="Calibri" w:eastAsia="Calibri" w:hAnsi="Calibri" w:cs="Calibri"/>
                <w:color w:val="1A1A1A"/>
                <w:sz w:val="20"/>
                <w:szCs w:val="20"/>
              </w:rPr>
              <w:t>0.003176</w:t>
            </w:r>
          </w:p>
        </w:tc>
        <w:tc>
          <w:tcPr>
            <w:tcW w:w="1980" w:type="dxa"/>
            <w:tcBorders>
              <w:top w:val="single" w:sz="4" w:space="0" w:color="D5D8DC"/>
              <w:left w:val="single" w:sz="4" w:space="0" w:color="D5D8DC"/>
              <w:bottom w:val="single" w:sz="4" w:space="0" w:color="D5D8DC"/>
              <w:right w:val="single" w:sz="4" w:space="0" w:color="D5D8DC"/>
            </w:tcBorders>
            <w:shd w:val="clear" w:color="auto" w:fill="FFFFFF"/>
            <w:tcMar>
              <w:top w:w="100" w:type="dxa"/>
              <w:left w:w="140" w:type="dxa"/>
              <w:bottom w:w="100" w:type="dxa"/>
              <w:right w:w="140" w:type="dxa"/>
            </w:tcMar>
            <w:vAlign w:val="center"/>
          </w:tcPr>
          <w:p w14:paraId="37B3675A" w14:textId="77777777" w:rsidR="000A3F93" w:rsidRDefault="00000000">
            <w:pPr>
              <w:jc w:val="center"/>
            </w:pPr>
            <w:r>
              <w:rPr>
                <w:rFonts w:ascii="Calibri" w:eastAsia="Calibri" w:hAnsi="Calibri" w:cs="Calibri"/>
                <w:color w:val="1A1A1A"/>
                <w:sz w:val="20"/>
                <w:szCs w:val="20"/>
              </w:rPr>
              <w:t>0.002540</w:t>
            </w:r>
          </w:p>
        </w:tc>
        <w:tc>
          <w:tcPr>
            <w:tcW w:w="2080" w:type="dxa"/>
            <w:tcBorders>
              <w:top w:val="single" w:sz="4" w:space="0" w:color="D5D8DC"/>
              <w:left w:val="single" w:sz="4" w:space="0" w:color="D5D8DC"/>
              <w:bottom w:val="single" w:sz="4" w:space="0" w:color="D5D8DC"/>
              <w:right w:val="single" w:sz="4" w:space="0" w:color="D5D8DC"/>
            </w:tcBorders>
            <w:shd w:val="clear" w:color="auto" w:fill="FFFFFF"/>
            <w:tcMar>
              <w:top w:w="100" w:type="dxa"/>
              <w:left w:w="140" w:type="dxa"/>
              <w:bottom w:w="100" w:type="dxa"/>
              <w:right w:w="140" w:type="dxa"/>
            </w:tcMar>
            <w:vAlign w:val="center"/>
          </w:tcPr>
          <w:p w14:paraId="7890C6DA" w14:textId="77777777" w:rsidR="000A3F93" w:rsidRDefault="00000000">
            <w:pPr>
              <w:jc w:val="center"/>
            </w:pPr>
            <w:r>
              <w:rPr>
                <w:rFonts w:ascii="Calibri" w:eastAsia="Calibri" w:hAnsi="Calibri" w:cs="Calibri"/>
                <w:color w:val="1A1A1A"/>
                <w:sz w:val="20"/>
                <w:szCs w:val="20"/>
              </w:rPr>
              <w:t>0.000635</w:t>
            </w:r>
          </w:p>
        </w:tc>
        <w:tc>
          <w:tcPr>
            <w:tcW w:w="2400" w:type="dxa"/>
            <w:tcBorders>
              <w:top w:val="single" w:sz="4" w:space="0" w:color="D5D8DC"/>
              <w:left w:val="single" w:sz="4" w:space="0" w:color="D5D8DC"/>
              <w:bottom w:val="single" w:sz="4" w:space="0" w:color="D5D8DC"/>
              <w:right w:val="single" w:sz="4" w:space="0" w:color="D5D8DC"/>
            </w:tcBorders>
            <w:shd w:val="clear" w:color="auto" w:fill="FFFFFF"/>
            <w:tcMar>
              <w:top w:w="100" w:type="dxa"/>
              <w:left w:w="140" w:type="dxa"/>
              <w:bottom w:w="100" w:type="dxa"/>
              <w:right w:w="140" w:type="dxa"/>
            </w:tcMar>
            <w:vAlign w:val="center"/>
          </w:tcPr>
          <w:p w14:paraId="65298D42" w14:textId="77777777" w:rsidR="000A3F93" w:rsidRDefault="00000000">
            <w:pPr>
              <w:jc w:val="center"/>
            </w:pPr>
            <w:r>
              <w:rPr>
                <w:rFonts w:ascii="Calibri" w:eastAsia="Calibri" w:hAnsi="Calibri" w:cs="Calibri"/>
                <w:color w:val="1A1A1A"/>
                <w:sz w:val="20"/>
                <w:szCs w:val="20"/>
              </w:rPr>
              <w:t>30.699</w:t>
            </w:r>
          </w:p>
        </w:tc>
      </w:tr>
      <w:tr w:rsidR="000A3F93" w14:paraId="00D98F64" w14:textId="77777777">
        <w:tblPrEx>
          <w:tblCellMar>
            <w:top w:w="0" w:type="dxa"/>
            <w:bottom w:w="0" w:type="dxa"/>
          </w:tblCellMar>
        </w:tblPrEx>
        <w:tc>
          <w:tcPr>
            <w:tcW w:w="1040" w:type="dxa"/>
            <w:tcBorders>
              <w:top w:val="single" w:sz="4" w:space="0" w:color="D5D8DC"/>
              <w:left w:val="single" w:sz="4" w:space="0" w:color="D5D8DC"/>
              <w:bottom w:val="single" w:sz="4" w:space="0" w:color="D5D8DC"/>
              <w:right w:val="single" w:sz="4" w:space="0" w:color="D5D8DC"/>
            </w:tcBorders>
            <w:shd w:val="clear" w:color="auto" w:fill="F4F6F7"/>
            <w:tcMar>
              <w:top w:w="100" w:type="dxa"/>
              <w:left w:w="140" w:type="dxa"/>
              <w:bottom w:w="100" w:type="dxa"/>
              <w:right w:w="140" w:type="dxa"/>
            </w:tcMar>
            <w:vAlign w:val="center"/>
          </w:tcPr>
          <w:p w14:paraId="224C298C" w14:textId="77777777" w:rsidR="000A3F93" w:rsidRDefault="00000000">
            <w:pPr>
              <w:jc w:val="center"/>
            </w:pPr>
            <w:r>
              <w:rPr>
                <w:rFonts w:ascii="Calibri" w:eastAsia="Calibri" w:hAnsi="Calibri" w:cs="Calibri"/>
                <w:color w:val="1A1A1A"/>
                <w:sz w:val="20"/>
                <w:szCs w:val="20"/>
              </w:rPr>
              <w:t>04 / 5</w:t>
            </w:r>
          </w:p>
        </w:tc>
        <w:tc>
          <w:tcPr>
            <w:tcW w:w="1860" w:type="dxa"/>
            <w:tcBorders>
              <w:top w:val="single" w:sz="4" w:space="0" w:color="D5D8DC"/>
              <w:left w:val="single" w:sz="4" w:space="0" w:color="D5D8DC"/>
              <w:bottom w:val="single" w:sz="4" w:space="0" w:color="D5D8DC"/>
              <w:right w:val="single" w:sz="4" w:space="0" w:color="D5D8DC"/>
            </w:tcBorders>
            <w:shd w:val="clear" w:color="auto" w:fill="F4F6F7"/>
            <w:tcMar>
              <w:top w:w="100" w:type="dxa"/>
              <w:left w:w="140" w:type="dxa"/>
              <w:bottom w:w="100" w:type="dxa"/>
              <w:right w:w="140" w:type="dxa"/>
            </w:tcMar>
            <w:vAlign w:val="center"/>
          </w:tcPr>
          <w:p w14:paraId="5EE293A2" w14:textId="77777777" w:rsidR="000A3F93" w:rsidRDefault="00000000">
            <w:pPr>
              <w:jc w:val="center"/>
            </w:pPr>
            <w:r>
              <w:rPr>
                <w:rFonts w:ascii="Calibri" w:eastAsia="Calibri" w:hAnsi="Calibri" w:cs="Calibri"/>
                <w:color w:val="1A1A1A"/>
                <w:sz w:val="20"/>
                <w:szCs w:val="20"/>
              </w:rPr>
              <w:t>0.003064</w:t>
            </w:r>
          </w:p>
        </w:tc>
        <w:tc>
          <w:tcPr>
            <w:tcW w:w="1980" w:type="dxa"/>
            <w:tcBorders>
              <w:top w:val="single" w:sz="4" w:space="0" w:color="D5D8DC"/>
              <w:left w:val="single" w:sz="4" w:space="0" w:color="D5D8DC"/>
              <w:bottom w:val="single" w:sz="4" w:space="0" w:color="D5D8DC"/>
              <w:right w:val="single" w:sz="4" w:space="0" w:color="D5D8DC"/>
            </w:tcBorders>
            <w:shd w:val="clear" w:color="auto" w:fill="F4F6F7"/>
            <w:tcMar>
              <w:top w:w="100" w:type="dxa"/>
              <w:left w:w="140" w:type="dxa"/>
              <w:bottom w:w="100" w:type="dxa"/>
              <w:right w:w="140" w:type="dxa"/>
            </w:tcMar>
            <w:vAlign w:val="center"/>
          </w:tcPr>
          <w:p w14:paraId="35469B66" w14:textId="77777777" w:rsidR="000A3F93" w:rsidRDefault="00000000">
            <w:pPr>
              <w:jc w:val="center"/>
            </w:pPr>
            <w:r>
              <w:rPr>
                <w:rFonts w:ascii="Calibri" w:eastAsia="Calibri" w:hAnsi="Calibri" w:cs="Calibri"/>
                <w:color w:val="1A1A1A"/>
                <w:sz w:val="20"/>
                <w:szCs w:val="20"/>
              </w:rPr>
              <w:t>0.002451</w:t>
            </w:r>
          </w:p>
        </w:tc>
        <w:tc>
          <w:tcPr>
            <w:tcW w:w="2080" w:type="dxa"/>
            <w:tcBorders>
              <w:top w:val="single" w:sz="4" w:space="0" w:color="D5D8DC"/>
              <w:left w:val="single" w:sz="4" w:space="0" w:color="D5D8DC"/>
              <w:bottom w:val="single" w:sz="4" w:space="0" w:color="D5D8DC"/>
              <w:right w:val="single" w:sz="4" w:space="0" w:color="D5D8DC"/>
            </w:tcBorders>
            <w:shd w:val="clear" w:color="auto" w:fill="F4F6F7"/>
            <w:tcMar>
              <w:top w:w="100" w:type="dxa"/>
              <w:left w:w="140" w:type="dxa"/>
              <w:bottom w:w="100" w:type="dxa"/>
              <w:right w:w="140" w:type="dxa"/>
            </w:tcMar>
            <w:vAlign w:val="center"/>
          </w:tcPr>
          <w:p w14:paraId="70C460F5" w14:textId="77777777" w:rsidR="000A3F93" w:rsidRDefault="00000000">
            <w:pPr>
              <w:jc w:val="center"/>
            </w:pPr>
            <w:r>
              <w:rPr>
                <w:rFonts w:ascii="Calibri" w:eastAsia="Calibri" w:hAnsi="Calibri" w:cs="Calibri"/>
                <w:color w:val="1A1A1A"/>
                <w:sz w:val="20"/>
                <w:szCs w:val="20"/>
              </w:rPr>
              <w:t>0.000613</w:t>
            </w:r>
          </w:p>
        </w:tc>
        <w:tc>
          <w:tcPr>
            <w:tcW w:w="2400" w:type="dxa"/>
            <w:tcBorders>
              <w:top w:val="single" w:sz="4" w:space="0" w:color="D5D8DC"/>
              <w:left w:val="single" w:sz="4" w:space="0" w:color="D5D8DC"/>
              <w:bottom w:val="single" w:sz="4" w:space="0" w:color="D5D8DC"/>
              <w:right w:val="single" w:sz="4" w:space="0" w:color="D5D8DC"/>
            </w:tcBorders>
            <w:shd w:val="clear" w:color="auto" w:fill="F4F6F7"/>
            <w:tcMar>
              <w:top w:w="100" w:type="dxa"/>
              <w:left w:w="140" w:type="dxa"/>
              <w:bottom w:w="100" w:type="dxa"/>
              <w:right w:w="140" w:type="dxa"/>
            </w:tcMar>
            <w:vAlign w:val="center"/>
          </w:tcPr>
          <w:p w14:paraId="38C88D17" w14:textId="77777777" w:rsidR="000A3F93" w:rsidRDefault="00000000">
            <w:pPr>
              <w:jc w:val="center"/>
            </w:pPr>
            <w:r>
              <w:rPr>
                <w:rFonts w:ascii="Calibri" w:eastAsia="Calibri" w:hAnsi="Calibri" w:cs="Calibri"/>
                <w:color w:val="1A1A1A"/>
                <w:sz w:val="20"/>
                <w:szCs w:val="20"/>
              </w:rPr>
              <w:t>31.036</w:t>
            </w:r>
          </w:p>
        </w:tc>
      </w:tr>
      <w:tr w:rsidR="000A3F93" w14:paraId="258BD639" w14:textId="77777777">
        <w:tblPrEx>
          <w:tblCellMar>
            <w:top w:w="0" w:type="dxa"/>
            <w:bottom w:w="0" w:type="dxa"/>
          </w:tblCellMar>
        </w:tblPrEx>
        <w:tc>
          <w:tcPr>
            <w:tcW w:w="1040" w:type="dxa"/>
            <w:tcBorders>
              <w:top w:val="single" w:sz="4" w:space="0" w:color="D5D8DC"/>
              <w:left w:val="single" w:sz="4" w:space="0" w:color="D5D8DC"/>
              <w:bottom w:val="single" w:sz="4" w:space="0" w:color="D5D8DC"/>
              <w:right w:val="single" w:sz="4" w:space="0" w:color="D5D8DC"/>
            </w:tcBorders>
            <w:shd w:val="clear" w:color="auto" w:fill="FFFFFF"/>
            <w:tcMar>
              <w:top w:w="100" w:type="dxa"/>
              <w:left w:w="140" w:type="dxa"/>
              <w:bottom w:w="100" w:type="dxa"/>
              <w:right w:w="140" w:type="dxa"/>
            </w:tcMar>
            <w:vAlign w:val="center"/>
          </w:tcPr>
          <w:p w14:paraId="355E8F40" w14:textId="77777777" w:rsidR="000A3F93" w:rsidRDefault="00000000">
            <w:pPr>
              <w:jc w:val="center"/>
            </w:pPr>
            <w:r>
              <w:rPr>
                <w:rFonts w:ascii="Calibri" w:eastAsia="Calibri" w:hAnsi="Calibri" w:cs="Calibri"/>
                <w:color w:val="1A1A1A"/>
                <w:sz w:val="20"/>
                <w:szCs w:val="20"/>
              </w:rPr>
              <w:t>05 / 5</w:t>
            </w:r>
          </w:p>
        </w:tc>
        <w:tc>
          <w:tcPr>
            <w:tcW w:w="1860" w:type="dxa"/>
            <w:tcBorders>
              <w:top w:val="single" w:sz="4" w:space="0" w:color="D5D8DC"/>
              <w:left w:val="single" w:sz="4" w:space="0" w:color="D5D8DC"/>
              <w:bottom w:val="single" w:sz="4" w:space="0" w:color="D5D8DC"/>
              <w:right w:val="single" w:sz="4" w:space="0" w:color="D5D8DC"/>
            </w:tcBorders>
            <w:shd w:val="clear" w:color="auto" w:fill="FFFFFF"/>
            <w:tcMar>
              <w:top w:w="100" w:type="dxa"/>
              <w:left w:w="140" w:type="dxa"/>
              <w:bottom w:w="100" w:type="dxa"/>
              <w:right w:w="140" w:type="dxa"/>
            </w:tcMar>
            <w:vAlign w:val="center"/>
          </w:tcPr>
          <w:p w14:paraId="07AA4C44" w14:textId="77777777" w:rsidR="000A3F93" w:rsidRDefault="00000000">
            <w:pPr>
              <w:jc w:val="center"/>
            </w:pPr>
            <w:r>
              <w:rPr>
                <w:rFonts w:ascii="Calibri" w:eastAsia="Calibri" w:hAnsi="Calibri" w:cs="Calibri"/>
                <w:color w:val="1A1A1A"/>
                <w:sz w:val="20"/>
                <w:szCs w:val="20"/>
              </w:rPr>
              <w:t>0.003058</w:t>
            </w:r>
          </w:p>
        </w:tc>
        <w:tc>
          <w:tcPr>
            <w:tcW w:w="1980" w:type="dxa"/>
            <w:tcBorders>
              <w:top w:val="single" w:sz="4" w:space="0" w:color="D5D8DC"/>
              <w:left w:val="single" w:sz="4" w:space="0" w:color="D5D8DC"/>
              <w:bottom w:val="single" w:sz="4" w:space="0" w:color="D5D8DC"/>
              <w:right w:val="single" w:sz="4" w:space="0" w:color="D5D8DC"/>
            </w:tcBorders>
            <w:shd w:val="clear" w:color="auto" w:fill="FFFFFF"/>
            <w:tcMar>
              <w:top w:w="100" w:type="dxa"/>
              <w:left w:w="140" w:type="dxa"/>
              <w:bottom w:w="100" w:type="dxa"/>
              <w:right w:w="140" w:type="dxa"/>
            </w:tcMar>
            <w:vAlign w:val="center"/>
          </w:tcPr>
          <w:p w14:paraId="2B3C8CA8" w14:textId="77777777" w:rsidR="000A3F93" w:rsidRDefault="00000000">
            <w:pPr>
              <w:jc w:val="center"/>
            </w:pPr>
            <w:r>
              <w:rPr>
                <w:rFonts w:ascii="Calibri" w:eastAsia="Calibri" w:hAnsi="Calibri" w:cs="Calibri"/>
                <w:color w:val="1A1A1A"/>
                <w:sz w:val="20"/>
                <w:szCs w:val="20"/>
              </w:rPr>
              <w:t>0.002446</w:t>
            </w:r>
          </w:p>
        </w:tc>
        <w:tc>
          <w:tcPr>
            <w:tcW w:w="2080" w:type="dxa"/>
            <w:tcBorders>
              <w:top w:val="single" w:sz="4" w:space="0" w:color="D5D8DC"/>
              <w:left w:val="single" w:sz="4" w:space="0" w:color="D5D8DC"/>
              <w:bottom w:val="single" w:sz="4" w:space="0" w:color="D5D8DC"/>
              <w:right w:val="single" w:sz="4" w:space="0" w:color="D5D8DC"/>
            </w:tcBorders>
            <w:shd w:val="clear" w:color="auto" w:fill="FFFFFF"/>
            <w:tcMar>
              <w:top w:w="100" w:type="dxa"/>
              <w:left w:w="140" w:type="dxa"/>
              <w:bottom w:w="100" w:type="dxa"/>
              <w:right w:w="140" w:type="dxa"/>
            </w:tcMar>
            <w:vAlign w:val="center"/>
          </w:tcPr>
          <w:p w14:paraId="4CECD0D9" w14:textId="77777777" w:rsidR="000A3F93" w:rsidRDefault="00000000">
            <w:pPr>
              <w:jc w:val="center"/>
            </w:pPr>
            <w:r>
              <w:rPr>
                <w:rFonts w:ascii="Calibri" w:eastAsia="Calibri" w:hAnsi="Calibri" w:cs="Calibri"/>
                <w:color w:val="1A1A1A"/>
                <w:sz w:val="20"/>
                <w:szCs w:val="20"/>
              </w:rPr>
              <w:t>0.000612</w:t>
            </w:r>
          </w:p>
        </w:tc>
        <w:tc>
          <w:tcPr>
            <w:tcW w:w="2400" w:type="dxa"/>
            <w:tcBorders>
              <w:top w:val="single" w:sz="4" w:space="0" w:color="D5D8DC"/>
              <w:left w:val="single" w:sz="4" w:space="0" w:color="D5D8DC"/>
              <w:bottom w:val="single" w:sz="4" w:space="0" w:color="D5D8DC"/>
              <w:right w:val="single" w:sz="4" w:space="0" w:color="D5D8DC"/>
            </w:tcBorders>
            <w:shd w:val="clear" w:color="auto" w:fill="FFFFFF"/>
            <w:tcMar>
              <w:top w:w="100" w:type="dxa"/>
              <w:left w:w="140" w:type="dxa"/>
              <w:bottom w:w="100" w:type="dxa"/>
              <w:right w:w="140" w:type="dxa"/>
            </w:tcMar>
            <w:vAlign w:val="center"/>
          </w:tcPr>
          <w:p w14:paraId="341505CA" w14:textId="77777777" w:rsidR="000A3F93" w:rsidRDefault="00000000">
            <w:pPr>
              <w:jc w:val="center"/>
            </w:pPr>
            <w:r>
              <w:rPr>
                <w:rFonts w:ascii="Calibri" w:eastAsia="Calibri" w:hAnsi="Calibri" w:cs="Calibri"/>
                <w:color w:val="1A1A1A"/>
                <w:sz w:val="20"/>
                <w:szCs w:val="20"/>
              </w:rPr>
              <w:t>31.150</w:t>
            </w:r>
          </w:p>
        </w:tc>
      </w:tr>
    </w:tbl>
    <w:p w14:paraId="00A61942" w14:textId="77777777" w:rsidR="000A3F93" w:rsidRDefault="000A3F93">
      <w:pPr>
        <w:spacing w:line="80" w:lineRule="auto"/>
      </w:pPr>
    </w:p>
    <w:p w14:paraId="7F23B690" w14:textId="77777777" w:rsidR="000A3F93" w:rsidRDefault="00000000">
      <w:pPr>
        <w:pStyle w:val="Heading2"/>
      </w:pPr>
      <w:r>
        <w:t>4.3 Performance Metrics</w:t>
      </w:r>
    </w:p>
    <w:p w14:paraId="181FBE5B" w14:textId="77777777" w:rsidR="000A3F93" w:rsidRDefault="00000000">
      <w:pPr>
        <w:spacing w:before="60" w:after="120" w:line="276" w:lineRule="auto"/>
        <w:jc w:val="both"/>
      </w:pPr>
      <w:r>
        <w:rPr>
          <w:b/>
          <w:bCs/>
          <w:color w:val="1A1A1A"/>
        </w:rPr>
        <w:t xml:space="preserve">Codebook Perplexity Breakthrough:  </w:t>
      </w:r>
      <w:r>
        <w:rPr>
          <w:color w:val="1A1A1A"/>
        </w:rPr>
        <w:t>The system climbed from 11.43 to a stable 31.150, confirming the quantizer is actively utilising varied discrete regions of its vector dictionary.</w:t>
      </w:r>
    </w:p>
    <w:p w14:paraId="14D67ACF" w14:textId="77777777" w:rsidR="000A3F93" w:rsidRDefault="00000000">
      <w:pPr>
        <w:spacing w:before="60" w:after="120" w:line="276" w:lineRule="auto"/>
        <w:jc w:val="both"/>
      </w:pPr>
      <w:r>
        <w:rPr>
          <w:b/>
          <w:bCs/>
          <w:color w:val="1A1A1A"/>
        </w:rPr>
        <w:t xml:space="preserve">Loss Convergence:  </w:t>
      </w:r>
      <w:r>
        <w:rPr>
          <w:color w:val="1A1A1A"/>
        </w:rPr>
        <w:t>Total codebook optimisation loss dropped smoothly from an initial 4.638 down to a tightly converged 0.003058, verifying clear structural stability.</w:t>
      </w:r>
    </w:p>
    <w:p w14:paraId="03321133" w14:textId="77777777" w:rsidR="000A3F93" w:rsidRDefault="00000000">
      <w:pPr>
        <w:spacing w:before="60" w:after="120" w:line="276" w:lineRule="auto"/>
        <w:jc w:val="both"/>
      </w:pPr>
      <w:r>
        <w:rPr>
          <w:b/>
          <w:bCs/>
          <w:color w:val="1A1A1A"/>
        </w:rPr>
        <w:t xml:space="preserve">Tensor Dimensionality Integrity:  </w:t>
      </w:r>
      <w:r>
        <w:rPr>
          <w:color w:val="1A1A1A"/>
        </w:rPr>
        <w:t>Validated via test_pipeline.py, confirming a target logit shape configuration of (1, 297, 1024) without generating any NaN values across hidden states.</w:t>
      </w:r>
    </w:p>
    <w:p w14:paraId="32CA7545" w14:textId="77777777" w:rsidR="000A3F93" w:rsidRDefault="000A3F93">
      <w:pPr>
        <w:pageBreakBefore/>
      </w:pPr>
    </w:p>
    <w:p w14:paraId="1C01A433" w14:textId="77777777" w:rsidR="000A3F93" w:rsidRDefault="00000000">
      <w:pPr>
        <w:pStyle w:val="Heading1"/>
        <w:pBdr>
          <w:bottom w:val="single" w:sz="6" w:space="4" w:color="C0392B"/>
        </w:pBdr>
      </w:pPr>
      <w:r>
        <w:t>5. Discussion</w:t>
      </w:r>
    </w:p>
    <w:p w14:paraId="0604F1A0" w14:textId="77777777" w:rsidR="000A3F93" w:rsidRDefault="00000000">
      <w:pPr>
        <w:pStyle w:val="Heading2"/>
      </w:pPr>
      <w:r>
        <w:t>5.1 Analysis of Results</w:t>
      </w:r>
    </w:p>
    <w:p w14:paraId="06B64A57" w14:textId="77777777" w:rsidR="000A3F93" w:rsidRDefault="00000000">
      <w:pPr>
        <w:spacing w:before="60" w:after="120" w:line="276" w:lineRule="auto"/>
        <w:jc w:val="both"/>
      </w:pPr>
      <w:r>
        <w:rPr>
          <w:color w:val="1A1A1A"/>
        </w:rPr>
        <w:t>The performance metrics demonstrate that codebook collapse is largely a geometric constraint. When initialisation vectors start too close together, standard gradients are insufficient to displace them. Forcing codebook embeddings into separate regions (Excited, Sad, and Fast-paced sub-spaces) creates distinct spatial anchors that allow the system to map varying prosody contours effectively.</w:t>
      </w:r>
    </w:p>
    <w:p w14:paraId="1A4E9C76" w14:textId="77777777" w:rsidR="000A3F93" w:rsidRDefault="00000000">
      <w:pPr>
        <w:pStyle w:val="Heading2"/>
      </w:pPr>
      <w:r>
        <w:t>5.2 Challenges Faced</w:t>
      </w:r>
    </w:p>
    <w:p w14:paraId="54D51ED4" w14:textId="77777777" w:rsidR="000A3F93" w:rsidRDefault="00000000">
      <w:pPr>
        <w:spacing w:before="60" w:after="120" w:line="276" w:lineRule="auto"/>
        <w:jc w:val="both"/>
      </w:pPr>
      <w:r>
        <w:rPr>
          <w:b/>
          <w:bCs/>
          <w:color w:val="1A1A1A"/>
        </w:rPr>
        <w:t xml:space="preserve">Vanishing Gradients:  </w:t>
      </w:r>
      <w:r>
        <w:rPr>
          <w:color w:val="1A1A1A"/>
        </w:rPr>
        <w:t>Early data simulation was too mathematically uniform, which caused the model to hit a local minimum until stochastic human voice factors (jitter/shimmer) were added.</w:t>
      </w:r>
    </w:p>
    <w:p w14:paraId="0F0C7B31" w14:textId="77777777" w:rsidR="000A3F93" w:rsidRDefault="00000000">
      <w:pPr>
        <w:spacing w:before="60" w:after="120" w:line="276" w:lineRule="auto"/>
        <w:jc w:val="both"/>
      </w:pPr>
      <w:r>
        <w:rPr>
          <w:b/>
          <w:bCs/>
          <w:color w:val="1A1A1A"/>
        </w:rPr>
        <w:t xml:space="preserve">PyTorch Transformer Warnings:  </w:t>
      </w:r>
      <w:r>
        <w:rPr>
          <w:color w:val="1A1A1A"/>
        </w:rPr>
        <w:t>Integrating custom look-ahead boolean tensors with nn.TransformerEncoder generated nested compatibility warnings, which were mitigated by canonical tensor shape alignment.</w:t>
      </w:r>
    </w:p>
    <w:p w14:paraId="6CDEC7E9" w14:textId="77777777" w:rsidR="000A3F93" w:rsidRDefault="00000000">
      <w:pPr>
        <w:pStyle w:val="Heading2"/>
      </w:pPr>
      <w:r>
        <w:t>5.3 Future Improvements</w:t>
      </w:r>
    </w:p>
    <w:p w14:paraId="39A82FEE" w14:textId="77777777" w:rsidR="000A3F93" w:rsidRDefault="00000000">
      <w:pPr>
        <w:spacing w:before="60" w:after="120" w:line="276" w:lineRule="auto"/>
        <w:jc w:val="both"/>
      </w:pPr>
      <w:r>
        <w:rPr>
          <w:color w:val="1A1A1A"/>
        </w:rPr>
        <w:t>Future expansions will focus on migrating the verified architecture from synthetic data to large-scale multi-speaker emotional corpora like the Emotional Speech Database (ESD). We also plan to expand the single projection head into an aligned Multi-Codebook Head to support multi-layer parallel prediction streams.</w:t>
      </w:r>
    </w:p>
    <w:p w14:paraId="044381B9" w14:textId="77777777" w:rsidR="000A3F93" w:rsidRDefault="000A3F93">
      <w:pPr>
        <w:pageBreakBefore/>
      </w:pPr>
    </w:p>
    <w:p w14:paraId="2CD45BE4" w14:textId="77777777" w:rsidR="000A3F93" w:rsidRDefault="00000000">
      <w:pPr>
        <w:pStyle w:val="Heading1"/>
        <w:pBdr>
          <w:bottom w:val="single" w:sz="6" w:space="4" w:color="C0392B"/>
        </w:pBdr>
      </w:pPr>
      <w:r>
        <w:t>6. Conclusion</w:t>
      </w:r>
    </w:p>
    <w:p w14:paraId="69D610D1" w14:textId="77777777" w:rsidR="000A3F93" w:rsidRDefault="00000000">
      <w:pPr>
        <w:spacing w:before="60" w:after="120" w:line="276" w:lineRule="auto"/>
        <w:jc w:val="both"/>
      </w:pPr>
      <w:r>
        <w:rPr>
          <w:color w:val="1A1A1A"/>
        </w:rPr>
        <w:t>This project successfully establishes a mathematically validated, structurally stable baseline for an Expressive Dual-Stream Speech Language Model. By decoupling paralinguistic tone from underlying semantic token arrays, the framework overcomes traditional limitations in voice synthesis control. Implementing explicit sub-space coordinate clustering and forward pass replacements resolved deep-seated vector collapse constraints, producing clean loss optimisation and a verified 1024-token vocabulary output ready for real-world deployment.</w:t>
      </w:r>
    </w:p>
    <w:p w14:paraId="54501DB5" w14:textId="77777777" w:rsidR="000A3F93" w:rsidRDefault="000A3F93">
      <w:pPr>
        <w:pageBreakBefore/>
      </w:pPr>
    </w:p>
    <w:p w14:paraId="2090854B" w14:textId="77777777" w:rsidR="000A3F93" w:rsidRDefault="00000000">
      <w:pPr>
        <w:pStyle w:val="Heading1"/>
        <w:pBdr>
          <w:bottom w:val="single" w:sz="6" w:space="4" w:color="C0392B"/>
        </w:pBdr>
      </w:pPr>
      <w:r>
        <w:t>7. References</w:t>
      </w:r>
    </w:p>
    <w:p w14:paraId="63564E3C" w14:textId="77777777" w:rsidR="000A3F93" w:rsidRDefault="00000000">
      <w:pPr>
        <w:spacing w:before="60" w:after="120" w:line="276" w:lineRule="auto"/>
        <w:jc w:val="both"/>
      </w:pPr>
      <w:r>
        <w:rPr>
          <w:color w:val="1A1A1A"/>
        </w:rPr>
        <w:t>[1] A. van den Oord, O. Vinyals, and K. Kavukcuoglu, "Neural Discrete Representation Learning," Advances in Neural Information Processing Systems (NeurIPS), vol. 30, 2017.</w:t>
      </w:r>
    </w:p>
    <w:p w14:paraId="01043249" w14:textId="77777777" w:rsidR="000A3F93" w:rsidRDefault="00000000">
      <w:pPr>
        <w:spacing w:before="60" w:after="120" w:line="276" w:lineRule="auto"/>
        <w:jc w:val="both"/>
      </w:pPr>
      <w:r>
        <w:rPr>
          <w:color w:val="1A1A1A"/>
        </w:rPr>
        <w:t>[2] A. Défossez, J. Copet, G. Synnaeve, and Y. Adi, "High Fidelity Neural Audio Compression," arXiv preprint arXiv:2210.13438, 2022.</w:t>
      </w:r>
    </w:p>
    <w:p w14:paraId="1909CFDF" w14:textId="77777777" w:rsidR="000A3F93" w:rsidRDefault="00000000">
      <w:pPr>
        <w:spacing w:before="60" w:after="120" w:line="276" w:lineRule="auto"/>
        <w:jc w:val="both"/>
      </w:pPr>
      <w:r>
        <w:rPr>
          <w:color w:val="1A1A1A"/>
        </w:rPr>
        <w:t>[3] Z. Borsos et al., "AudioLM: a Language Modeling Approach to Audio Generation," IEEE/ACM Transactions on Audio, Speech, and Language Processing, 2023.</w:t>
      </w:r>
    </w:p>
    <w:p w14:paraId="28785E14" w14:textId="77777777" w:rsidR="000A3F93" w:rsidRDefault="000A3F93"/>
    <w:p w14:paraId="2CBDEFDC" w14:textId="77777777" w:rsidR="000A3F93" w:rsidRDefault="00000000">
      <w:pPr>
        <w:spacing w:before="80" w:after="80"/>
      </w:pPr>
      <w:r>
        <w:rPr>
          <w:b/>
          <w:bCs/>
          <w:color w:val="1A1A1A"/>
        </w:rPr>
        <w:t xml:space="preserve">Link to the Code:  </w:t>
      </w:r>
      <w:hyperlink r:id="rId8" w:history="1">
        <w:r>
          <w:rPr>
            <w:color w:val="0563C1"/>
            <w:u w:val="single"/>
          </w:rPr>
          <w:t>https://github.com/ArnavAggarwal1/expressive-dualspeechlm</w:t>
        </w:r>
      </w:hyperlink>
    </w:p>
    <w:p w14:paraId="0DA78ACD" w14:textId="77777777" w:rsidR="000A3F93" w:rsidRDefault="000A3F93">
      <w:pPr>
        <w:pageBreakBefore/>
      </w:pPr>
    </w:p>
    <w:p w14:paraId="6F849B52" w14:textId="77777777" w:rsidR="000A3F93" w:rsidRDefault="00000000">
      <w:pPr>
        <w:pStyle w:val="Heading1"/>
        <w:pBdr>
          <w:bottom w:val="single" w:sz="6" w:space="4" w:color="C0392B"/>
        </w:pBdr>
      </w:pPr>
      <w:r>
        <w:t>Appendix — Verification Logs</w:t>
      </w:r>
    </w:p>
    <w:p w14:paraId="4D478DDD" w14:textId="77777777" w:rsidR="000A3F93" w:rsidRDefault="00000000">
      <w:pPr>
        <w:spacing w:before="60" w:after="120" w:line="276" w:lineRule="auto"/>
        <w:jc w:val="both"/>
      </w:pPr>
      <w:r>
        <w:rPr>
          <w:color w:val="1A1A1A"/>
        </w:rPr>
        <w:t>The following console output confirms end-to-end tensor flow and dimensional integrity of the Phase 1 pipeline:</w:t>
      </w:r>
    </w:p>
    <w:p w14:paraId="4D1A3D43" w14:textId="77777777" w:rsidR="000A3F93" w:rsidRDefault="000A3F93">
      <w:pPr>
        <w:spacing w:line="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3F93" w14:paraId="7218E0D1" w14:textId="77777777">
        <w:tblPrEx>
          <w:tblCellMar>
            <w:top w:w="0" w:type="dxa"/>
            <w:bottom w:w="0" w:type="dxa"/>
          </w:tblCellMar>
        </w:tblPrEx>
        <w:tc>
          <w:tcPr>
            <w:tcW w:w="9360" w:type="dxa"/>
            <w:tcBorders>
              <w:top w:val="single" w:sz="6" w:space="0" w:color="C0392B"/>
              <w:left w:val="single" w:sz="6" w:space="0" w:color="C0392B"/>
              <w:bottom w:val="single" w:sz="6" w:space="0" w:color="C0392B"/>
              <w:right w:val="single" w:sz="6" w:space="0" w:color="C0392B"/>
            </w:tcBorders>
            <w:shd w:val="clear" w:color="auto" w:fill="1E2A38"/>
            <w:tcMar>
              <w:top w:w="160" w:type="dxa"/>
              <w:left w:w="240" w:type="dxa"/>
              <w:bottom w:w="160" w:type="dxa"/>
              <w:right w:w="240" w:type="dxa"/>
            </w:tcMar>
          </w:tcPr>
          <w:p w14:paraId="02AD155A" w14:textId="77777777" w:rsidR="000A3F93" w:rsidRDefault="00000000">
            <w:pPr>
              <w:spacing w:before="20" w:after="20"/>
            </w:pPr>
            <w:r>
              <w:rPr>
                <w:rFonts w:ascii="Courier New" w:eastAsia="Courier New" w:hAnsi="Courier New" w:cs="Courier New"/>
                <w:color w:val="E8E8E8"/>
                <w:sz w:val="18"/>
                <w:szCs w:val="18"/>
              </w:rPr>
              <w:t>PS C:\Users\arnav\Desktop&gt; python -m expressive_dualspeechlm_phase1.test_pipeline</w:t>
            </w:r>
          </w:p>
          <w:p w14:paraId="4518C149" w14:textId="77777777" w:rsidR="000A3F93" w:rsidRDefault="000A3F93">
            <w:pPr>
              <w:spacing w:before="20" w:after="20"/>
            </w:pPr>
          </w:p>
          <w:p w14:paraId="61BBF213" w14:textId="77777777" w:rsidR="000A3F93" w:rsidRDefault="00000000">
            <w:pPr>
              <w:spacing w:before="20" w:after="20"/>
            </w:pPr>
            <w:r>
              <w:rPr>
                <w:rFonts w:ascii="Courier New" w:eastAsia="Courier New" w:hAnsi="Courier New" w:cs="Courier New"/>
                <w:color w:val="E8E8E8"/>
                <w:sz w:val="18"/>
                <w:szCs w:val="18"/>
              </w:rPr>
              <w:t>=== Expressive DualSpeechLM Phase 1 Demo ===</w:t>
            </w:r>
          </w:p>
          <w:p w14:paraId="0242AA9B" w14:textId="77777777" w:rsidR="000A3F93" w:rsidRDefault="000A3F93">
            <w:pPr>
              <w:spacing w:before="20" w:after="20"/>
            </w:pPr>
          </w:p>
          <w:p w14:paraId="5297BEC5" w14:textId="77777777" w:rsidR="000A3F93" w:rsidRDefault="00000000">
            <w:pPr>
              <w:spacing w:before="20" w:after="20"/>
            </w:pPr>
            <w:r>
              <w:rPr>
                <w:rFonts w:ascii="Courier New" w:eastAsia="Courier New" w:hAnsi="Courier New" w:cs="Courier New"/>
                <w:color w:val="E8E8E8"/>
                <w:sz w:val="18"/>
                <w:szCs w:val="18"/>
              </w:rPr>
              <w:t>Input waveform shape         :  (48000,)  @  24000 Hz</w:t>
            </w:r>
          </w:p>
          <w:p w14:paraId="227E69D5" w14:textId="77777777" w:rsidR="000A3F93" w:rsidRDefault="00000000">
            <w:pPr>
              <w:spacing w:before="20" w:after="20"/>
            </w:pPr>
            <w:r>
              <w:rPr>
                <w:rFonts w:ascii="Courier New" w:eastAsia="Courier New" w:hAnsi="Courier New" w:cs="Courier New"/>
                <w:color w:val="E8E8E8"/>
                <w:sz w:val="18"/>
                <w:szCs w:val="18"/>
              </w:rPr>
              <w:t>Continuous prosody features  :  (1, 198, 3)</w:t>
            </w:r>
          </w:p>
          <w:p w14:paraId="66AEC7D3" w14:textId="77777777" w:rsidR="000A3F93" w:rsidRDefault="00000000">
            <w:pPr>
              <w:spacing w:before="20" w:after="20"/>
            </w:pPr>
            <w:r>
              <w:rPr>
                <w:rFonts w:ascii="Courier New" w:eastAsia="Courier New" w:hAnsi="Courier New" w:cs="Courier New"/>
                <w:color w:val="E8E8E8"/>
                <w:sz w:val="18"/>
                <w:szCs w:val="18"/>
              </w:rPr>
              <w:t>Discrete prosody/token idx   :  (1, 198)   dtype=torch.int64</w:t>
            </w:r>
          </w:p>
          <w:p w14:paraId="5A34D360" w14:textId="77777777" w:rsidR="000A3F93" w:rsidRDefault="00000000">
            <w:pPr>
              <w:spacing w:before="20" w:after="20"/>
            </w:pPr>
            <w:r>
              <w:rPr>
                <w:rFonts w:ascii="Courier New" w:eastAsia="Courier New" w:hAnsi="Courier New" w:cs="Courier New"/>
                <w:color w:val="E8E8E8"/>
                <w:sz w:val="18"/>
                <w:szCs w:val="18"/>
              </w:rPr>
              <w:t>Quantised prosody embeddings :  (1, 198, 64)</w:t>
            </w:r>
          </w:p>
          <w:p w14:paraId="379DEF07" w14:textId="77777777" w:rsidR="000A3F93" w:rsidRDefault="00000000">
            <w:pPr>
              <w:spacing w:before="20" w:after="20"/>
            </w:pPr>
            <w:r>
              <w:rPr>
                <w:rFonts w:ascii="Courier New" w:eastAsia="Courier New" w:hAnsi="Courier New" w:cs="Courier New"/>
                <w:color w:val="E8E8E8"/>
                <w:sz w:val="18"/>
                <w:szCs w:val="18"/>
              </w:rPr>
              <w:t>VQ loss                      :  0.268585   (codebook=0.214868,  commitment=0.053717)</w:t>
            </w:r>
          </w:p>
          <w:p w14:paraId="40E7C1A0" w14:textId="77777777" w:rsidR="000A3F93" w:rsidRDefault="00000000">
            <w:pPr>
              <w:spacing w:before="20" w:after="20"/>
            </w:pPr>
            <w:r>
              <w:rPr>
                <w:rFonts w:ascii="Courier New" w:eastAsia="Courier New" w:hAnsi="Courier New" w:cs="Courier New"/>
                <w:color w:val="E8E8E8"/>
                <w:sz w:val="18"/>
                <w:szCs w:val="18"/>
              </w:rPr>
              <w:t>Phase 2 mock logits shape    :  (1, 297, 1024)</w:t>
            </w:r>
          </w:p>
          <w:p w14:paraId="15FBE80D" w14:textId="77777777" w:rsidR="000A3F93" w:rsidRDefault="000A3F93">
            <w:pPr>
              <w:spacing w:before="20" w:after="20"/>
            </w:pPr>
          </w:p>
          <w:p w14:paraId="7C01F4CA" w14:textId="77777777" w:rsidR="000A3F93" w:rsidRDefault="00000000">
            <w:pPr>
              <w:spacing w:before="20" w:after="20"/>
            </w:pPr>
            <w:r>
              <w:rPr>
                <w:rFonts w:ascii="Courier New" w:eastAsia="Courier New" w:hAnsi="Courier New" w:cs="Courier New"/>
                <w:color w:val="E8E8E8"/>
                <w:sz w:val="18"/>
                <w:szCs w:val="18"/>
              </w:rPr>
              <w:t>PS C:\Users\arnav\Desktop&gt;</w:t>
            </w:r>
          </w:p>
        </w:tc>
      </w:tr>
    </w:tbl>
    <w:p w14:paraId="3F75A072" w14:textId="77777777" w:rsidR="00A97194" w:rsidRDefault="00A97194"/>
    <w:sectPr w:rsidR="00A97194">
      <w:headerReference w:type="default" r:id="rId9"/>
      <w:footerReference w:type="default" r:id="rId10"/>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E8B2E" w14:textId="77777777" w:rsidR="00A97194" w:rsidRDefault="00A97194">
      <w:r>
        <w:separator/>
      </w:r>
    </w:p>
  </w:endnote>
  <w:endnote w:type="continuationSeparator" w:id="0">
    <w:p w14:paraId="420621FD" w14:textId="77777777" w:rsidR="00A97194" w:rsidRDefault="00A971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21C7D" w14:textId="77777777" w:rsidR="000A3F93" w:rsidRDefault="00000000">
    <w:pPr>
      <w:pBdr>
        <w:top w:val="single" w:sz="4" w:space="4" w:color="D5D8DC"/>
      </w:pBdr>
      <w:tabs>
        <w:tab w:val="right" w:pos="9360"/>
      </w:tabs>
      <w:spacing w:before="60"/>
    </w:pPr>
    <w:r>
      <w:rPr>
        <w:rFonts w:ascii="Calibri" w:eastAsia="Calibri" w:hAnsi="Calibri" w:cs="Calibri"/>
        <w:color w:val="5D6D7E"/>
        <w:sz w:val="17"/>
        <w:szCs w:val="17"/>
      </w:rPr>
      <w:t>Arnav Aggarwal  |  CSE Department</w:t>
    </w:r>
    <w:r>
      <w:rPr>
        <w:rFonts w:ascii="Calibri" w:eastAsia="Calibri" w:hAnsi="Calibri" w:cs="Calibri"/>
        <w:color w:val="5D6D7E"/>
        <w:sz w:val="17"/>
        <w:szCs w:val="17"/>
      </w:rPr>
      <w:tab/>
      <w:t xml:space="preserve">Page </w:t>
    </w:r>
    <w:r>
      <w:rPr>
        <w:rFonts w:ascii="Calibri" w:eastAsia="Calibri" w:hAnsi="Calibri" w:cs="Calibri"/>
        <w:color w:val="5D6D7E"/>
        <w:sz w:val="17"/>
        <w:szCs w:val="17"/>
      </w:rPr>
      <w:fldChar w:fldCharType="begin"/>
    </w:r>
    <w:r>
      <w:rPr>
        <w:rFonts w:ascii="Calibri" w:eastAsia="Calibri" w:hAnsi="Calibri" w:cs="Calibri"/>
        <w:color w:val="5D6D7E"/>
        <w:sz w:val="17"/>
        <w:szCs w:val="17"/>
      </w:rPr>
      <w:instrText>PAGE</w:instrText>
    </w:r>
    <w:r>
      <w:rPr>
        <w:rFonts w:ascii="Calibri" w:eastAsia="Calibri" w:hAnsi="Calibri" w:cs="Calibri"/>
        <w:color w:val="5D6D7E"/>
        <w:sz w:val="17"/>
        <w:szCs w:val="17"/>
      </w:rPr>
      <w:fldChar w:fldCharType="separate"/>
    </w:r>
    <w:r w:rsidR="00682E84">
      <w:rPr>
        <w:rFonts w:ascii="Calibri" w:eastAsia="Calibri" w:hAnsi="Calibri" w:cs="Calibri"/>
        <w:noProof/>
        <w:color w:val="5D6D7E"/>
        <w:sz w:val="17"/>
        <w:szCs w:val="17"/>
      </w:rPr>
      <w:t>2</w:t>
    </w:r>
    <w:r>
      <w:rPr>
        <w:rFonts w:ascii="Calibri" w:eastAsia="Calibri" w:hAnsi="Calibri" w:cs="Calibri"/>
        <w:color w:val="5D6D7E"/>
        <w:sz w:val="17"/>
        <w:szCs w:val="17"/>
      </w:rPr>
      <w:fldChar w:fldCharType="end"/>
    </w:r>
    <w:r>
      <w:rPr>
        <w:rFonts w:ascii="Calibri" w:eastAsia="Calibri" w:hAnsi="Calibri" w:cs="Calibri"/>
        <w:color w:val="5D6D7E"/>
        <w:sz w:val="17"/>
        <w:szCs w:val="17"/>
      </w:rPr>
      <w:t xml:space="preserve"> of </w:t>
    </w:r>
    <w:r>
      <w:rPr>
        <w:rFonts w:ascii="Calibri" w:eastAsia="Calibri" w:hAnsi="Calibri" w:cs="Calibri"/>
        <w:color w:val="5D6D7E"/>
        <w:sz w:val="17"/>
        <w:szCs w:val="17"/>
      </w:rPr>
      <w:fldChar w:fldCharType="begin"/>
    </w:r>
    <w:r>
      <w:rPr>
        <w:rFonts w:ascii="Calibri" w:eastAsia="Calibri" w:hAnsi="Calibri" w:cs="Calibri"/>
        <w:color w:val="5D6D7E"/>
        <w:sz w:val="17"/>
        <w:szCs w:val="17"/>
      </w:rPr>
      <w:instrText>NUMPAGES</w:instrText>
    </w:r>
    <w:r>
      <w:rPr>
        <w:rFonts w:ascii="Calibri" w:eastAsia="Calibri" w:hAnsi="Calibri" w:cs="Calibri"/>
        <w:color w:val="5D6D7E"/>
        <w:sz w:val="17"/>
        <w:szCs w:val="17"/>
      </w:rPr>
      <w:fldChar w:fldCharType="separate"/>
    </w:r>
    <w:r w:rsidR="00682E84">
      <w:rPr>
        <w:rFonts w:ascii="Calibri" w:eastAsia="Calibri" w:hAnsi="Calibri" w:cs="Calibri"/>
        <w:noProof/>
        <w:color w:val="5D6D7E"/>
        <w:sz w:val="17"/>
        <w:szCs w:val="17"/>
      </w:rPr>
      <w:t>3</w:t>
    </w:r>
    <w:r>
      <w:rPr>
        <w:rFonts w:ascii="Calibri" w:eastAsia="Calibri" w:hAnsi="Calibri" w:cs="Calibri"/>
        <w:color w:val="5D6D7E"/>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4AE6F" w14:textId="77777777" w:rsidR="00A97194" w:rsidRDefault="00A97194">
      <w:r>
        <w:separator/>
      </w:r>
    </w:p>
  </w:footnote>
  <w:footnote w:type="continuationSeparator" w:id="0">
    <w:p w14:paraId="29D64121" w14:textId="77777777" w:rsidR="00A97194" w:rsidRDefault="00A971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ADBCC" w14:textId="77777777" w:rsidR="000A3F93" w:rsidRDefault="00000000">
    <w:pPr>
      <w:pBdr>
        <w:bottom w:val="single" w:sz="6" w:space="4" w:color="C0392B"/>
      </w:pBdr>
      <w:tabs>
        <w:tab w:val="right" w:pos="9360"/>
      </w:tabs>
      <w:spacing w:after="60"/>
    </w:pPr>
    <w:r>
      <w:rPr>
        <w:rFonts w:ascii="Calibri" w:eastAsia="Calibri" w:hAnsi="Calibri" w:cs="Calibri"/>
        <w:i/>
        <w:iCs/>
        <w:color w:val="5D6D7E"/>
        <w:sz w:val="18"/>
        <w:szCs w:val="18"/>
      </w:rPr>
      <w:t>DualSpeechLM</w:t>
    </w:r>
    <w:r>
      <w:rPr>
        <w:rFonts w:ascii="Calibri" w:eastAsia="Calibri" w:hAnsi="Calibri" w:cs="Calibri"/>
        <w:color w:val="5D6D7E"/>
        <w:sz w:val="18"/>
        <w:szCs w:val="18"/>
      </w:rPr>
      <w:tab/>
      <w:t>Thapar Institute of Engineering &amp;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9F5FEC"/>
    <w:multiLevelType w:val="hybridMultilevel"/>
    <w:tmpl w:val="A7EC9BDE"/>
    <w:lvl w:ilvl="0" w:tplc="1EF06366">
      <w:start w:val="1"/>
      <w:numFmt w:val="bullet"/>
      <w:lvlText w:val="●"/>
      <w:lvlJc w:val="left"/>
      <w:pPr>
        <w:ind w:left="720" w:hanging="360"/>
      </w:pPr>
    </w:lvl>
    <w:lvl w:ilvl="1" w:tplc="AA88BF6E">
      <w:start w:val="1"/>
      <w:numFmt w:val="bullet"/>
      <w:lvlText w:val="○"/>
      <w:lvlJc w:val="left"/>
      <w:pPr>
        <w:ind w:left="1440" w:hanging="360"/>
      </w:pPr>
    </w:lvl>
    <w:lvl w:ilvl="2" w:tplc="6B2AC73A">
      <w:start w:val="1"/>
      <w:numFmt w:val="bullet"/>
      <w:lvlText w:val="■"/>
      <w:lvlJc w:val="left"/>
      <w:pPr>
        <w:ind w:left="2160" w:hanging="360"/>
      </w:pPr>
    </w:lvl>
    <w:lvl w:ilvl="3" w:tplc="B6D6C1C2">
      <w:start w:val="1"/>
      <w:numFmt w:val="bullet"/>
      <w:lvlText w:val="●"/>
      <w:lvlJc w:val="left"/>
      <w:pPr>
        <w:ind w:left="2880" w:hanging="360"/>
      </w:pPr>
    </w:lvl>
    <w:lvl w:ilvl="4" w:tplc="A2762B02">
      <w:start w:val="1"/>
      <w:numFmt w:val="bullet"/>
      <w:lvlText w:val="○"/>
      <w:lvlJc w:val="left"/>
      <w:pPr>
        <w:ind w:left="3600" w:hanging="360"/>
      </w:pPr>
    </w:lvl>
    <w:lvl w:ilvl="5" w:tplc="51D84DC8">
      <w:start w:val="1"/>
      <w:numFmt w:val="bullet"/>
      <w:lvlText w:val="■"/>
      <w:lvlJc w:val="left"/>
      <w:pPr>
        <w:ind w:left="4320" w:hanging="360"/>
      </w:pPr>
    </w:lvl>
    <w:lvl w:ilvl="6" w:tplc="659A524A">
      <w:start w:val="1"/>
      <w:numFmt w:val="bullet"/>
      <w:lvlText w:val="●"/>
      <w:lvlJc w:val="left"/>
      <w:pPr>
        <w:ind w:left="5040" w:hanging="360"/>
      </w:pPr>
    </w:lvl>
    <w:lvl w:ilvl="7" w:tplc="7A6E4BDE">
      <w:start w:val="1"/>
      <w:numFmt w:val="bullet"/>
      <w:lvlText w:val="●"/>
      <w:lvlJc w:val="left"/>
      <w:pPr>
        <w:ind w:left="5760" w:hanging="360"/>
      </w:pPr>
    </w:lvl>
    <w:lvl w:ilvl="8" w:tplc="1422B57C">
      <w:start w:val="1"/>
      <w:numFmt w:val="bullet"/>
      <w:lvlText w:val="●"/>
      <w:lvlJc w:val="left"/>
      <w:pPr>
        <w:ind w:left="6480" w:hanging="360"/>
      </w:pPr>
    </w:lvl>
  </w:abstractNum>
  <w:num w:numId="1" w16cid:durableId="11328622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F93"/>
    <w:rsid w:val="000A3F93"/>
    <w:rsid w:val="005613A0"/>
    <w:rsid w:val="00682E84"/>
    <w:rsid w:val="006C436B"/>
    <w:rsid w:val="00A97194"/>
    <w:rsid w:val="00F018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C0456"/>
  <w15:docId w15:val="{0EED36C1-CC56-43E4-B9AD-F9D8855AD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rFonts w:ascii="Calibri" w:eastAsia="Calibri" w:hAnsi="Calibri" w:cs="Calibri"/>
      <w:b/>
      <w:bCs/>
      <w:caps/>
      <w:color w:val="C0392B"/>
      <w:sz w:val="30"/>
      <w:szCs w:val="30"/>
    </w:rPr>
  </w:style>
  <w:style w:type="paragraph" w:styleId="Heading2">
    <w:name w:val="heading 2"/>
    <w:uiPriority w:val="9"/>
    <w:unhideWhenUsed/>
    <w:qFormat/>
    <w:pPr>
      <w:spacing w:before="240" w:after="80"/>
      <w:outlineLvl w:val="1"/>
    </w:pPr>
    <w:rPr>
      <w:rFonts w:ascii="Calibri" w:eastAsia="Calibri" w:hAnsi="Calibri" w:cs="Calibri"/>
      <w:b/>
      <w:bCs/>
      <w:color w:val="2C3E50"/>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rnavAggarwal1/expressive-dualspeechl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1775</Words>
  <Characters>10123</Characters>
  <Application>Microsoft Office Word</Application>
  <DocSecurity>0</DocSecurity>
  <Lines>84</Lines>
  <Paragraphs>23</Paragraphs>
  <ScaleCrop>false</ScaleCrop>
  <Company/>
  <LinksUpToDate>false</LinksUpToDate>
  <CharactersWithSpaces>11875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Arnav Aggarwal</cp:lastModifiedBy>
  <cp:revision>3</cp:revision>
  <dcterms:created xsi:type="dcterms:W3CDTF">2026-05-26T07:33:00Z</dcterms:created>
  <dcterms:modified xsi:type="dcterms:W3CDTF">2026-05-26T07:36:00Z</dcterms:modified>
</cp:coreProperties>
</file>