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0000"/>
          <w:sz w:val="38"/>
          <w:szCs w:val="38"/>
        </w:rPr>
        <w:t xml:space="preserve">Digital Twin-Assisted Workload Allocation and Cooling Optimisation</w:t>
      </w:r>
    </w:p>
    <w:p>
      <w:pPr>
        <w:spacing w:after="60"/>
      </w:pPr>
      <w:r>
        <w:rPr>
          <w:i/>
          <w:iCs/>
          <w:color w:val="000000"/>
          <w:sz w:val="22"/>
          <w:szCs w:val="22"/>
        </w:rPr>
        <w:t xml:space="preserve">Two thermal twins: air-cooled recirculation and direct-to-chip liquid</w:t>
      </w:r>
    </w:p>
    <w:p>
      <w:pPr>
        <w:pBdr>
          <w:bottom w:val="single" w:color="000000" w:sz="14" w:space="6"/>
        </w:pBdr>
        <w:spacing w:after="200"/>
      </w:pPr>
    </w:p>
    <w:p>
      <w:pPr>
        <w:spacing w:after="140" w:line="264"/>
        <w:jc w:val="both"/>
      </w:pPr>
      <w:r>
        <w:rPr>
          <w:color w:val="000000"/>
          <w:sz w:val="21"/>
          <w:szCs w:val="21"/>
        </w:rPr>
        <w:t xml:space="preserve">This document combines the two thermal models built for this project and the results measured from each. It is written to be checked rather than trusted: every number below is produced by a script in the repository and logged to </w:t>
      </w:r>
      <w:r>
        <w:rPr>
          <w:i/>
          <w:iCs/>
          <w:color w:val="000000"/>
          <w:sz w:val="21"/>
          <w:szCs w:val="21"/>
        </w:rPr>
        <w:t xml:space="preserve">results/runs.csv</w:t>
      </w:r>
      <w:r>
        <w:rPr>
          <w:color w:val="000000"/>
          <w:sz w:val="21"/>
          <w:szCs w:val="21"/>
        </w:rPr>
        <w:t xml:space="preserve"> with its configuration hash, seed and git commit.</w:t>
      </w:r>
    </w:p>
    <w:tbl>
      <w:tblPr>
        <w:tblW w:type="dxa" w:w="9638"/>
        <w:tblBorders>
          <w:top w:val="single" w:color="000000" w:sz="8"/>
          <w:left w:val="none" w:color="FFFFFF" w:sz="0"/>
          <w:bottom w:val="single" w:color="000000" w:sz="8"/>
          <w:right w:val="none" w:color="FFFFFF" w:sz="0"/>
          <w:insideH w:val="single" w:color="BBBBBB" w:sz="2"/>
          <w:insideV w:val="none" w:color="FFFFFF" w:sz="0"/>
        </w:tblBorders>
      </w:tblPr>
      <w:tblGrid>
        <w:gridCol w:w="2313"/>
        <w:gridCol w:w="1542"/>
        <w:gridCol w:w="2024"/>
        <w:gridCol w:w="1638"/>
        <w:gridCol w:w="2120"/>
      </w:tblGrid>
      <w:tr>
        <w:trPr>
          <w:tblHeader/>
        </w:trPr>
        <w:tc>
          <w:tcPr>
            <w:tcW w:type="dxa" w:w="2313"/>
            <w:shd w:fill="EFEFEF" w:color="auto" w:val="clear"/>
            <w:tcMar>
              <w:top w:type="dxa" w:w="60"/>
              <w:left w:type="dxa" w:w="90"/>
              <w:bottom w:type="dxa" w:w="60"/>
              <w:right w:type="dxa" w:w="90"/>
            </w:tcMar>
          </w:tcPr>
          <w:p>
            <w:pPr>
              <w:spacing w:after="0" w:line="230"/>
              <w:jc w:val="left"/>
            </w:pPr>
            <w:r>
              <w:rPr>
                <w:b/>
                <w:bCs/>
                <w:color w:val="000000"/>
                <w:sz w:val="17"/>
                <w:szCs w:val="17"/>
              </w:rPr>
              <w:t xml:space="preserve">Phases complete</w:t>
            </w:r>
          </w:p>
        </w:tc>
        <w:tc>
          <w:tcPr>
            <w:tcW w:type="dxa" w:w="1542"/>
            <w:shd w:fill="EFEFEF" w:color="auto" w:val="clear"/>
            <w:tcMar>
              <w:top w:type="dxa" w:w="60"/>
              <w:left w:type="dxa" w:w="90"/>
              <w:bottom w:type="dxa" w:w="60"/>
              <w:right w:type="dxa" w:w="90"/>
            </w:tcMar>
          </w:tcPr>
          <w:p>
            <w:pPr>
              <w:spacing w:after="0" w:line="230"/>
              <w:jc w:val="left"/>
            </w:pPr>
            <w:r>
              <w:rPr>
                <w:b/>
                <w:bCs/>
                <w:color w:val="000000"/>
                <w:sz w:val="17"/>
                <w:szCs w:val="17"/>
              </w:rPr>
              <w:t xml:space="preserve">Tests</w:t>
            </w:r>
          </w:p>
        </w:tc>
        <w:tc>
          <w:tcPr>
            <w:tcW w:type="dxa" w:w="2024"/>
            <w:shd w:fill="EFEFEF" w:color="auto" w:val="clear"/>
            <w:tcMar>
              <w:top w:type="dxa" w:w="60"/>
              <w:left w:type="dxa" w:w="90"/>
              <w:bottom w:type="dxa" w:w="60"/>
              <w:right w:type="dxa" w:w="90"/>
            </w:tcMar>
          </w:tcPr>
          <w:p>
            <w:pPr>
              <w:spacing w:after="0" w:line="230"/>
              <w:jc w:val="left"/>
            </w:pPr>
            <w:r>
              <w:rPr>
                <w:b/>
                <w:bCs/>
                <w:color w:val="000000"/>
                <w:sz w:val="17"/>
                <w:szCs w:val="17"/>
              </w:rPr>
              <w:t xml:space="preserve">Simulated time</w:t>
            </w:r>
          </w:p>
        </w:tc>
        <w:tc>
          <w:tcPr>
            <w:tcW w:type="dxa" w:w="1638"/>
            <w:shd w:fill="EFEFEF" w:color="auto" w:val="clear"/>
            <w:tcMar>
              <w:top w:type="dxa" w:w="60"/>
              <w:left w:type="dxa" w:w="90"/>
              <w:bottom w:type="dxa" w:w="60"/>
              <w:right w:type="dxa" w:w="90"/>
            </w:tcMar>
          </w:tcPr>
          <w:p>
            <w:pPr>
              <w:spacing w:after="0" w:line="230"/>
              <w:jc w:val="left"/>
            </w:pPr>
            <w:r>
              <w:rPr>
                <w:b/>
                <w:bCs/>
                <w:color w:val="000000"/>
                <w:sz w:val="17"/>
                <w:szCs w:val="17"/>
              </w:rPr>
              <w:t xml:space="preserve">Logged runs</w:t>
            </w:r>
          </w:p>
        </w:tc>
        <w:tc>
          <w:tcPr>
            <w:tcW w:type="dxa" w:w="2120"/>
            <w:shd w:fill="EFEFEF" w:color="auto" w:val="clear"/>
            <w:tcMar>
              <w:top w:type="dxa" w:w="60"/>
              <w:left w:type="dxa" w:w="90"/>
              <w:bottom w:type="dxa" w:w="60"/>
              <w:right w:type="dxa" w:w="90"/>
            </w:tcMar>
          </w:tcPr>
          <w:p>
            <w:pPr>
              <w:spacing w:after="0" w:line="230"/>
              <w:jc w:val="left"/>
            </w:pPr>
            <w:r>
              <w:rPr>
                <w:b/>
                <w:bCs/>
                <w:color w:val="000000"/>
                <w:sz w:val="17"/>
                <w:szCs w:val="17"/>
              </w:rPr>
              <w:t xml:space="preserve">Halls</w:t>
            </w:r>
          </w:p>
        </w:tc>
      </w:tr>
      <w:tr>
        <w:trPr>
          <w:tblHeader w:val="false"/>
        </w:trPr>
        <w:tc>
          <w:tcPr>
            <w:tcW w:type="dxa" w:w="2313"/>
            <w:tcMar>
              <w:top w:type="dxa" w:w="60"/>
              <w:left w:type="dxa" w:w="90"/>
              <w:bottom w:type="dxa" w:w="60"/>
              <w:right w:type="dxa" w:w="90"/>
            </w:tcMar>
          </w:tcPr>
          <w:p>
            <w:pPr>
              <w:spacing w:after="0" w:line="230"/>
              <w:jc w:val="left"/>
            </w:pPr>
            <w:r>
              <w:rPr>
                <w:b w:val="false"/>
                <w:bCs w:val="false"/>
                <w:color w:val="000000"/>
                <w:sz w:val="17"/>
                <w:szCs w:val="17"/>
              </w:rPr>
              <w:t xml:space="preserve">0, 0b, 1, 2, 3</w:t>
            </w:r>
          </w:p>
        </w:tc>
        <w:tc>
          <w:tcPr>
            <w:tcW w:type="dxa" w:w="1542"/>
            <w:tcMar>
              <w:top w:type="dxa" w:w="60"/>
              <w:left w:type="dxa" w:w="90"/>
              <w:bottom w:type="dxa" w:w="60"/>
              <w:right w:type="dxa" w:w="90"/>
            </w:tcMar>
          </w:tcPr>
          <w:p>
            <w:pPr>
              <w:spacing w:after="0" w:line="230"/>
              <w:jc w:val="left"/>
            </w:pPr>
            <w:r>
              <w:rPr>
                <w:b w:val="false"/>
                <w:bCs w:val="false"/>
                <w:color w:val="000000"/>
                <w:sz w:val="17"/>
                <w:szCs w:val="17"/>
              </w:rPr>
              <w:t xml:space="preserve">167 passing</w:t>
            </w:r>
          </w:p>
        </w:tc>
        <w:tc>
          <w:tcPr>
            <w:tcW w:type="dxa" w:w="2024"/>
            <w:tcMar>
              <w:top w:type="dxa" w:w="60"/>
              <w:left w:type="dxa" w:w="90"/>
              <w:bottom w:type="dxa" w:w="60"/>
              <w:right w:type="dxa" w:w="90"/>
            </w:tcMar>
          </w:tcPr>
          <w:p>
            <w:pPr>
              <w:spacing w:after="0" w:line="230"/>
              <w:jc w:val="left"/>
            </w:pPr>
            <w:r>
              <w:rPr>
                <w:b w:val="false"/>
                <w:bCs w:val="false"/>
                <w:color w:val="000000"/>
                <w:sz w:val="17"/>
                <w:szCs w:val="17"/>
              </w:rPr>
              <w:t xml:space="preserve">1,500 hours</w:t>
            </w:r>
          </w:p>
        </w:tc>
        <w:tc>
          <w:tcPr>
            <w:tcW w:type="dxa" w:w="1638"/>
            <w:tcMar>
              <w:top w:type="dxa" w:w="60"/>
              <w:left w:type="dxa" w:w="90"/>
              <w:bottom w:type="dxa" w:w="60"/>
              <w:right w:type="dxa" w:w="90"/>
            </w:tcMar>
          </w:tcPr>
          <w:p>
            <w:pPr>
              <w:spacing w:after="0" w:line="230"/>
              <w:jc w:val="left"/>
            </w:pPr>
            <w:r>
              <w:rPr>
                <w:b w:val="false"/>
                <w:bCs w:val="false"/>
                <w:color w:val="000000"/>
                <w:sz w:val="17"/>
                <w:szCs w:val="17"/>
              </w:rPr>
              <w:t xml:space="preserve">173 rows</w:t>
            </w:r>
          </w:p>
        </w:tc>
        <w:tc>
          <w:tcPr>
            <w:tcW w:type="dxa" w:w="2120"/>
            <w:tcMar>
              <w:top w:type="dxa" w:w="60"/>
              <w:left w:type="dxa" w:w="90"/>
              <w:bottom w:type="dxa" w:w="60"/>
              <w:right w:type="dxa" w:w="90"/>
            </w:tcMar>
          </w:tcPr>
          <w:p>
            <w:pPr>
              <w:spacing w:after="0" w:line="230"/>
              <w:jc w:val="left"/>
            </w:pPr>
            <w:r>
              <w:rPr>
                <w:b w:val="false"/>
                <w:bCs w:val="false"/>
                <w:color w:val="000000"/>
                <w:sz w:val="17"/>
                <w:szCs w:val="17"/>
              </w:rPr>
              <w:t xml:space="preserve">3 air, 1 liquid</w:t>
            </w:r>
          </w:p>
        </w:tc>
      </w:tr>
    </w:tbl>
    <w:p>
      <w:pPr>
        <w:spacing w:after="200"/>
      </w:pPr>
    </w:p>
    <w:p>
      <w:pPr>
        <w:pStyle w:val="Heading1"/>
        <w:spacing w:after="130" w:before="320"/>
      </w:pPr>
      <w:r>
        <w:rPr>
          <w:b/>
          <w:bCs/>
          <w:color w:val="000000"/>
          <w:sz w:val="26"/>
          <w:szCs w:val="26"/>
        </w:rPr>
        <w:t xml:space="preserve">Summary</w:t>
      </w:r>
    </w:p>
    <w:p>
      <w:pPr>
        <w:spacing w:after="120" w:line="264"/>
        <w:jc w:val="both"/>
      </w:pPr>
      <w:r>
        <w:rPr>
          <w:color w:val="000000"/>
          <w:sz w:val="20"/>
          <w:szCs w:val="20"/>
        </w:rPr>
        <w:t xml:space="preserve">The project set out to build a digital twin of a data hall whose internal state is a directed graph, train a message-passing network to predict per-rack temperature, and drive two controllers from that forecast.</w:t>
      </w:r>
    </w:p>
    <w:p>
      <w:pPr>
        <w:spacing w:after="120" w:line="264"/>
        <w:jc w:val="both"/>
      </w:pPr>
      <w:r>
        <w:rPr>
          <w:color w:val="000000"/>
          <w:sz w:val="20"/>
          <w:szCs w:val="20"/>
        </w:rPr>
        <w:t xml:space="preserve">Two measurements reshaped the plan. The first was that the chosen simulator has no thermal physics at all: its rack inlet temperature is a constant plus the cooling setpoint, so a 14.8 kW swing on one rack moves every rack by exactly zero. That forced the heat model to be rewritten before any comparison could mean anything.</w:t>
      </w:r>
    </w:p>
    <w:p>
      <w:pPr>
        <w:spacing w:after="120" w:line="264"/>
        <w:jc w:val="both"/>
      </w:pPr>
      <w:r>
        <w:rPr>
          <w:color w:val="000000"/>
          <w:sz w:val="20"/>
          <w:szCs w:val="20"/>
        </w:rPr>
        <w:t xml:space="preserve">The second was subtler and more consequential. On the resulting air-cooled twin, neighbouring racks' temperatures correlate at </w:t>
      </w:r>
      <w:r>
        <w:rPr>
          <w:b/>
          <w:bCs/>
          <w:color w:val="000000"/>
          <w:sz w:val="20"/>
          <w:szCs w:val="20"/>
        </w:rPr>
        <w:t xml:space="preserve">0.9953</w:t>
      </w:r>
      <w:r>
        <w:rPr>
          <w:color w:val="000000"/>
          <w:sz w:val="20"/>
          <w:szCs w:val="20"/>
        </w:rPr>
        <w:t xml:space="preserve">, so spatial context adds very little to single-rack accuracy. The graph model still wins at every horizon and transfers to unseen halls, but the margin is modest and the edge-shuffle ablation should be expected to come back near-null.</w:t>
      </w:r>
    </w:p>
    <w:p>
      <w:pPr>
        <w:spacing w:after="120" w:line="264"/>
        <w:jc w:val="both"/>
      </w:pPr>
      <w:r>
        <w:rPr>
          <w:color w:val="000000"/>
          <w:sz w:val="20"/>
          <w:szCs w:val="20"/>
        </w:rPr>
        <w:t xml:space="preserve">That result is a property of </w:t>
      </w:r>
      <w:r>
        <w:rPr>
          <w:b/>
          <w:bCs/>
          <w:color w:val="000000"/>
          <w:sz w:val="20"/>
          <w:szCs w:val="20"/>
        </w:rPr>
        <w:t xml:space="preserve">air</w:t>
      </w:r>
      <w:r>
        <w:rPr>
          <w:color w:val="000000"/>
          <w:sz w:val="20"/>
          <w:szCs w:val="20"/>
        </w:rPr>
        <w:t xml:space="preserve">, not of data halls. Air recirculation is diffuse, so every rack in a region shares one thermal environment. A direct-to-chip liquid-cooled hall is plumbed rather than ventilated: coupling follows the coolant topology, and racks standing side by side on different loops are thermally independent. Part II builds that hall and measures the difference.</w:t>
      </w:r>
    </w:p>
    <w:p>
      <w:pPr>
        <w:spacing w:after="120" w:line="264"/>
        <w:jc w:val="both"/>
      </w:pPr>
      <w:r>
        <w:rPr>
          <w:b/>
          <w:bCs/>
          <w:color w:val="000000"/>
          <w:sz w:val="20"/>
          <w:szCs w:val="20"/>
        </w:rPr>
        <w:t xml:space="preserve">One caveat governs everything below.</w:t>
      </w:r>
      <w:r>
        <w:rPr>
          <w:color w:val="000000"/>
          <w:sz w:val="20"/>
          <w:szCs w:val="20"/>
        </w:rPr>
        <w:t xml:space="preserve"> After the Phase 0 rewrite, both thermal models are ours. The only measured data anywhere in this project is the Alibaba GPU workload trace. Part III sets out exactly what is real, what is plausible, and what was invented.</w:t>
      </w:r>
    </w:p>
    <w:p>
      <w:r>
        <w:br w:type="page"/>
      </w:r>
    </w:p>
    <w:p>
      <w:pPr>
        <w:pStyle w:val="Heading1"/>
        <w:pBdr>
          <w:bottom w:val="single" w:color="000000" w:sz="12" w:space="6"/>
        </w:pBdr>
        <w:spacing w:after="60" w:before="200"/>
      </w:pPr>
      <w:r>
        <w:rPr>
          <w:b/>
          <w:bCs/>
          <w:color w:val="000000"/>
          <w:sz w:val="30"/>
          <w:szCs w:val="30"/>
        </w:rPr>
        <w:t xml:space="preserve">Part I  ·  The air-cooled twin</w:t>
      </w:r>
    </w:p>
    <w:p>
      <w:pPr>
        <w:spacing w:after="200"/>
      </w:pPr>
      <w:r>
        <w:rPr>
          <w:i/>
          <w:iCs/>
          <w:color w:val="555555"/>
          <w:sz w:val="21"/>
          <w:szCs w:val="21"/>
        </w:rPr>
        <w:t xml:space="preserve">Heat recirculation, and the ceiling it puts on what a graph model can add</w:t>
      </w:r>
    </w:p>
    <w:p>
      <w:pPr>
        <w:pStyle w:val="Heading1"/>
        <w:spacing w:after="130" w:before="320"/>
      </w:pPr>
      <w:r>
        <w:rPr>
          <w:b/>
          <w:bCs/>
          <w:color w:val="000000"/>
          <w:sz w:val="26"/>
          <w:szCs w:val="26"/>
        </w:rPr>
        <w:t xml:space="preserve">1.  The Phase 0 finding</w:t>
      </w:r>
    </w:p>
    <w:p>
      <w:pPr>
        <w:spacing w:after="120" w:line="264"/>
        <w:jc w:val="both"/>
      </w:pPr>
      <w:r>
        <w:rPr>
          <w:color w:val="000000"/>
          <w:sz w:val="20"/>
          <w:szCs w:val="20"/>
        </w:rPr>
        <w:t xml:space="preserve">SustainDC computes rack inlet temperature in exactly one place, </w:t>
      </w:r>
      <w:r>
        <w:rPr>
          <w:i/>
          <w:iCs/>
          <w:color w:val="000000"/>
          <w:sz w:val="20"/>
          <w:szCs w:val="20"/>
        </w:rPr>
        <w:t xml:space="preserve">envs/datacenter.py:279</w:t>
      </w:r>
      <w:r>
        <w:rPr>
          <w:color w:val="000000"/>
          <w:sz w:val="20"/>
          <w:szCs w:val="20"/>
        </w:rPr>
        <w:t xml:space="preserve">:</w:t>
      </w:r>
    </w:p>
    <w:p>
      <w:pPr>
        <w:spacing w:after="120" w:before="60"/>
        <w:ind w:left="431"/>
      </w:pPr>
      <w:r>
        <w:rPr>
          <w:rFonts w:ascii="Consolas" w:cs="Consolas" w:eastAsia="Consolas" w:hAnsi="Consolas"/>
          <w:color w:val="000000"/>
          <w:sz w:val="19"/>
          <w:szCs w:val="19"/>
        </w:rPr>
        <w:t xml:space="preserve">rack_inlet_temp = rack_supply_approach_temp + CRAC_setpoint</w:t>
      </w:r>
    </w:p>
    <w:p>
      <w:pPr>
        <w:spacing w:after="120" w:line="264"/>
        <w:jc w:val="both"/>
      </w:pPr>
      <w:r>
        <w:rPr>
          <w:color w:val="000000"/>
          <w:sz w:val="20"/>
          <w:szCs w:val="20"/>
        </w:rPr>
        <w:t xml:space="preserve">The approach temperature is a constant read from JSON at startup and never recomputed. No rack's power enters — not a neighbour's, not the rack's own. Driving one rack from 50% to 100% utilisation, a 14.8 kW change, moves every rack's inlet temperature by exactly 0.000e+00 K against a float64 spacing of 3.6e−15.</w:t>
      </w:r>
    </w:p>
    <w:p>
      <w:pPr>
        <w:spacing w:after="120" w:line="264"/>
        <w:jc w:val="both"/>
      </w:pPr>
      <w:r>
        <w:rPr>
          <w:color w:val="000000"/>
          <w:sz w:val="20"/>
          <w:szCs w:val="20"/>
        </w:rPr>
        <w:t xml:space="preserve">Every model in the planned comparison would therefore have tied at machine precision, and every ablation would have been null by construction. Two further blockers surfaced while probing: the gym wrapper hardcodes one scalar utilisation for all racks, so placement was inexpressible, and three of the four shipped hall configurations do not load.</w:t>
      </w:r>
    </w:p>
    <w:p>
      <w:pPr>
        <w:spacing w:after="60" w:before="140"/>
        <w:jc w:val="center"/>
      </w:pPr>
      <w:r>
        <w:drawing>
          <wp:inline distT="0" distB="0" distL="0" distR="0">
            <wp:extent cx="58102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3124200"/>
                    </a:xfrm>
                    <a:prstGeom prst="rect">
                      <a:avLst/>
                    </a:prstGeom>
                  </pic:spPr>
                </pic:pic>
              </a:graphicData>
            </a:graphic>
          </wp:inline>
        </w:drawing>
      </w:r>
    </w:p>
    <w:p>
      <w:pPr>
        <w:spacing w:after="200" w:line="230"/>
        <w:jc w:val="left"/>
      </w:pPr>
      <w:r>
        <w:rPr>
          <w:b/>
          <w:bCs/>
          <w:color w:val="555555"/>
          <w:sz w:val="17"/>
          <w:szCs w:val="17"/>
        </w:rPr>
        <w:t xml:space="preserve">Figure 1.</w:t>
      </w:r>
      <w:r>
        <w:rPr>
          <w:color w:val="555555"/>
          <w:sz w:val="17"/>
          <w:szCs w:val="17"/>
        </w:rPr>
        <w:t xml:space="preserve"> Response of every rack's inlet temperature to a 14.8 kW perturbation at one rack. SustainDC's values are exactly zero at every distance, including zero distance; its curve stops at distance 7 because its default hall holds only 20 racks. The replacement kernel decays smoothly across the hall.</w:t>
      </w:r>
    </w:p>
    <w:p>
      <w:pPr>
        <w:pStyle w:val="Heading1"/>
        <w:spacing w:after="130" w:before="320"/>
      </w:pPr>
      <w:r>
        <w:rPr>
          <w:b/>
          <w:bCs/>
          <w:color w:val="000000"/>
          <w:sz w:val="26"/>
          <w:szCs w:val="26"/>
        </w:rPr>
        <w:t xml:space="preserve">2.  The replacement model</w:t>
      </w:r>
    </w:p>
    <w:p>
      <w:pPr>
        <w:spacing w:after="120" w:line="264"/>
        <w:jc w:val="both"/>
      </w:pPr>
      <w:r>
        <w:rPr>
          <w:color w:val="000000"/>
          <w:sz w:val="20"/>
          <w:szCs w:val="20"/>
        </w:rPr>
        <w:t xml:space="preserve">With a</w:t>
      </w:r>
      <w:r>
        <w:rPr>
          <w:i/>
          <w:iCs/>
          <w:color w:val="000000"/>
          <w:sz w:val="20"/>
          <w:szCs w:val="20"/>
        </w:rPr>
        <w:t xml:space="preserve">ij the fraction of rack i's exhaust drawn into rack j's inlet and K the diagonal matrix of rack thermal mass flows, the mixing energy balance at each inlet rearranges to T = T</w:t>
      </w:r>
      <w:r>
        <w:rPr>
          <w:color w:val="000000"/>
          <w:sz w:val="20"/>
          <w:szCs w:val="20"/>
        </w:rPr>
        <w:t xml:space="preserve">supply + D·P, where D = K⁻¹[(I − Aᵀ)⁻¹ − I]. The matrix inverse expands as a Neumann series in Aᵀ, so multi-hop coupling emerges even though A is local: term m is air that passed through m racks before arriving.</w:t>
      </w:r>
    </w:p>
    <w:p>
      <w:pPr>
        <w:spacing w:after="120" w:line="264"/>
        <w:jc w:val="both"/>
      </w:pPr>
      <w:r>
        <w:rPr>
          <w:color w:val="000000"/>
          <w:sz w:val="20"/>
          <w:szCs w:val="20"/>
        </w:rPr>
        <w:t xml:space="preserve">A is built from the floor plan alone — distance, rows crossed, and direction relative to the return-air path — never from the kernel the model is being asked to learn. The coupling is state-dependent: K moves with rack fan speed and leakage rises when racks draw more air than the CRACs supply, so a cooling action reshapes the coupling rather than merely shifting it. SustainDC's setpoint gain was exactly 1.000000 at every rack; the replacement's ranges from 0.878 to 0.923.</w:t>
      </w:r>
    </w:p>
    <w:p>
      <w:pPr>
        <w:pStyle w:val="Heading2"/>
        <w:spacing w:after="90" w:before="220"/>
      </w:pPr>
      <w:r>
        <w:rPr>
          <w:b/>
          <w:bCs/>
          <w:color w:val="000000"/>
          <w:sz w:val="22"/>
          <w:szCs w:val="22"/>
        </w:rPr>
        <w:t xml:space="preserve">A modelling bug worth recording</w:t>
      </w:r>
    </w:p>
    <w:p>
      <w:pPr>
        <w:spacing w:after="120" w:line="264"/>
        <w:jc w:val="both"/>
      </w:pPr>
      <w:r>
        <w:rPr>
          <w:color w:val="000000"/>
          <w:sz w:val="20"/>
          <w:szCs w:val="20"/>
        </w:rPr>
        <w:t xml:space="preserve">Normalising each source's leakage by geometry alone leaves a rack's recirculated intake fixed while its total intake grows with fan speed. Ramping its fans then dilutes its own inlet, and loading a rack from 50% to 100% utilisation </w:t>
      </w:r>
      <w:r>
        <w:rPr>
          <w:i/>
          <w:iCs/>
          <w:color w:val="000000"/>
          <w:sz w:val="20"/>
          <w:szCs w:val="20"/>
        </w:rPr>
        <w:t xml:space="preserve">cooled</w:t>
      </w:r>
      <w:r>
        <w:rPr>
          <w:color w:val="000000"/>
          <w:sz w:val="20"/>
          <w:szCs w:val="20"/>
        </w:rPr>
        <w:t xml:space="preserve"> it by 0.79 K while its neighbours warmed by 0.08 K. A placement controller trained against that would have learned to stack load onto the hottest racks. Weighting each target's share of the recirculating air by its own thermal mass flow removes the artefact; two regression tests hold it removed.</w:t>
      </w:r>
    </w:p>
    <w:p>
      <w:pPr>
        <w:pStyle w:val="Heading1"/>
        <w:spacing w:after="130" w:before="320"/>
      </w:pPr>
      <w:r>
        <w:rPr>
          <w:b/>
          <w:bCs/>
          <w:color w:val="000000"/>
          <w:sz w:val="26"/>
          <w:szCs w:val="26"/>
        </w:rPr>
        <w:t xml:space="preserve">3.  The dataset</w:t>
      </w:r>
    </w:p>
    <w:p>
      <w:pPr>
        <w:spacing w:after="120" w:line="264"/>
        <w:jc w:val="both"/>
      </w:pPr>
      <w:r>
        <w:rPr>
          <w:color w:val="000000"/>
          <w:sz w:val="20"/>
          <w:szCs w:val="20"/>
        </w:rPr>
        <w:t xml:space="preserve">Real Alibaba PAI GPU jobs are replayed onto racks under four placement policies, including a deliberately bad corner-stacking policy so the dataset contains hot states. Cooling setpoints are held for 5 to 20 minutes and then stepped, as a real CRAC controller behaves. 500 hours per hall at 30-second resolution across three halls, split by episode so that no input window crosses a boundary and every training timestep precedes every test timestep.</w:t>
      </w:r>
    </w:p>
    <w:p>
      <w:pPr>
        <w:spacing w:after="140" w:line="240"/>
        <w:jc w:val="both"/>
      </w:pPr>
      <w:r>
        <w:rPr>
          <w:color w:val="555555"/>
          <w:sz w:val="17"/>
          <w:szCs w:val="17"/>
        </w:rPr>
        <w:t xml:space="preserve">Three calibration errors were caught by measuring the output rather than trusting the config: a cooling schedule that moved the supply temperature only 0.68 K across a five-hour episode, collapsing the 30 s prediction target to 0.03 K; a supply cap that left less headroom than the hall's own recirculation rise, putting 67% of timesteps in violation; and fan speeds low enough to push 4.7% past the allowable limit.</w:t>
      </w:r>
    </w:p>
    <w:p>
      <w:pPr>
        <w:pStyle w:val="Heading1"/>
        <w:spacing w:after="130" w:before="320"/>
      </w:pPr>
      <w:r>
        <w:rPr>
          <w:b/>
          <w:bCs/>
          <w:color w:val="000000"/>
          <w:sz w:val="26"/>
          <w:szCs w:val="26"/>
        </w:rPr>
        <w:t xml:space="preserve">4.  Results</w:t>
      </w:r>
    </w:p>
    <w:p>
      <w:pPr>
        <w:pStyle w:val="Heading2"/>
        <w:spacing w:after="90" w:before="220"/>
      </w:pPr>
      <w:r>
        <w:rPr>
          <w:b/>
          <w:bCs/>
          <w:color w:val="000000"/>
          <w:sz w:val="22"/>
          <w:szCs w:val="22"/>
        </w:rPr>
        <w:t xml:space="preserve">4.1  Accuracy on hall_a</w:t>
      </w:r>
    </w:p>
    <w:p>
      <w:pPr>
        <w:spacing w:after="120" w:line="264"/>
        <w:jc w:val="both"/>
      </w:pPr>
      <w:r>
        <w:rPr>
          <w:color w:val="000000"/>
          <w:sz w:val="20"/>
          <w:szCs w:val="20"/>
        </w:rPr>
        <w:t xml:space="preserve">Test RMSE of the temperature delta, in kelvin, over five seeds.</w:t>
      </w:r>
    </w:p>
    <w:tbl>
      <w:tblPr>
        <w:tblW w:type="dxa" w:w="9638"/>
        <w:tblBorders>
          <w:top w:val="single" w:color="000000" w:sz="8"/>
          <w:left w:val="none" w:color="FFFFFF" w:sz="0"/>
          <w:bottom w:val="single" w:color="000000" w:sz="8"/>
          <w:right w:val="none" w:color="FFFFFF" w:sz="0"/>
          <w:insideH w:val="single" w:color="BBBBBB" w:sz="2"/>
          <w:insideV w:val="none" w:color="FFFFFF" w:sz="0"/>
        </w:tblBorders>
      </w:tblPr>
      <w:tblGrid>
        <w:gridCol w:w="2120"/>
        <w:gridCol w:w="2506"/>
        <w:gridCol w:w="1638"/>
        <w:gridCol w:w="1638"/>
        <w:gridCol w:w="1735"/>
      </w:tblGrid>
      <w:tr>
        <w:trPr>
          <w:tblHeader/>
        </w:trPr>
        <w:tc>
          <w:tcPr>
            <w:tcW w:type="dxa" w:w="2120"/>
            <w:shd w:fill="EFEFEF" w:color="auto" w:val="clear"/>
            <w:tcMar>
              <w:top w:type="dxa" w:w="60"/>
              <w:left w:type="dxa" w:w="90"/>
              <w:bottom w:type="dxa" w:w="60"/>
              <w:right w:type="dxa" w:w="90"/>
            </w:tcMar>
          </w:tcPr>
          <w:p>
            <w:pPr>
              <w:spacing w:after="0" w:line="230"/>
              <w:jc w:val="left"/>
            </w:pPr>
            <w:r>
              <w:rPr>
                <w:b/>
                <w:bCs/>
                <w:color w:val="000000"/>
                <w:sz w:val="17"/>
                <w:szCs w:val="17"/>
              </w:rPr>
              <w:t xml:space="preserve">Model</w:t>
            </w:r>
          </w:p>
        </w:tc>
        <w:tc>
          <w:tcPr>
            <w:tcW w:type="dxa" w:w="2506"/>
            <w:shd w:fill="EFEFEF" w:color="auto" w:val="clear"/>
            <w:tcMar>
              <w:top w:type="dxa" w:w="60"/>
              <w:left w:type="dxa" w:w="90"/>
              <w:bottom w:type="dxa" w:w="60"/>
              <w:right w:type="dxa" w:w="90"/>
            </w:tcMar>
          </w:tcPr>
          <w:p>
            <w:pPr>
              <w:spacing w:after="0" w:line="230"/>
              <w:jc w:val="left"/>
            </w:pPr>
            <w:r>
              <w:rPr>
                <w:b/>
                <w:bCs/>
                <w:color w:val="000000"/>
                <w:sz w:val="17"/>
                <w:szCs w:val="17"/>
              </w:rPr>
              <w:t xml:space="preserve">Spatial input</w:t>
            </w:r>
          </w:p>
        </w:tc>
        <w:tc>
          <w:tcPr>
            <w:tcW w:type="dxa" w:w="1638"/>
            <w:shd w:fill="EFEFEF" w:color="auto" w:val="clear"/>
            <w:tcMar>
              <w:top w:type="dxa" w:w="60"/>
              <w:left w:type="dxa" w:w="90"/>
              <w:bottom w:type="dxa" w:w="60"/>
              <w:right w:type="dxa" w:w="90"/>
            </w:tcMar>
          </w:tcPr>
          <w:p>
            <w:pPr>
              <w:spacing w:after="0" w:line="230"/>
              <w:jc w:val="right"/>
            </w:pPr>
            <w:r>
              <w:rPr>
                <w:b/>
                <w:bCs/>
                <w:color w:val="000000"/>
                <w:sz w:val="17"/>
                <w:szCs w:val="17"/>
              </w:rPr>
              <w:t xml:space="preserve">30 s</w:t>
            </w:r>
          </w:p>
        </w:tc>
        <w:tc>
          <w:tcPr>
            <w:tcW w:type="dxa" w:w="1638"/>
            <w:shd w:fill="EFEFEF" w:color="auto" w:val="clear"/>
            <w:tcMar>
              <w:top w:type="dxa" w:w="60"/>
              <w:left w:type="dxa" w:w="90"/>
              <w:bottom w:type="dxa" w:w="60"/>
              <w:right w:type="dxa" w:w="90"/>
            </w:tcMar>
          </w:tcPr>
          <w:p>
            <w:pPr>
              <w:spacing w:after="0" w:line="230"/>
              <w:jc w:val="right"/>
            </w:pPr>
            <w:r>
              <w:rPr>
                <w:b/>
                <w:bCs/>
                <w:color w:val="000000"/>
                <w:sz w:val="17"/>
                <w:szCs w:val="17"/>
              </w:rPr>
              <w:t xml:space="preserve">60 s</w:t>
            </w:r>
          </w:p>
        </w:tc>
        <w:tc>
          <w:tcPr>
            <w:tcW w:type="dxa" w:w="1735"/>
            <w:shd w:fill="EFEFEF" w:color="auto" w:val="clear"/>
            <w:tcMar>
              <w:top w:type="dxa" w:w="60"/>
              <w:left w:type="dxa" w:w="90"/>
              <w:bottom w:type="dxa" w:w="60"/>
              <w:right w:type="dxa" w:w="90"/>
            </w:tcMar>
          </w:tcPr>
          <w:p>
            <w:pPr>
              <w:spacing w:after="0" w:line="230"/>
              <w:jc w:val="right"/>
            </w:pPr>
            <w:r>
              <w:rPr>
                <w:b/>
                <w:bCs/>
                <w:color w:val="000000"/>
                <w:sz w:val="17"/>
                <w:szCs w:val="17"/>
              </w:rPr>
              <w:t xml:space="preserve">300 s</w:t>
            </w:r>
          </w:p>
        </w:tc>
      </w:tr>
      <w:tr>
        <w:trPr>
          <w:tblHeader w:val="false"/>
        </w:trPr>
        <w:tc>
          <w:tcPr>
            <w:tcW w:type="dxa" w:w="2120"/>
            <w:tcMar>
              <w:top w:type="dxa" w:w="60"/>
              <w:left w:type="dxa" w:w="90"/>
              <w:bottom w:type="dxa" w:w="60"/>
              <w:right w:type="dxa" w:w="90"/>
            </w:tcMar>
          </w:tcPr>
          <w:p>
            <w:pPr>
              <w:spacing w:after="0" w:line="230"/>
              <w:jc w:val="left"/>
            </w:pPr>
            <w:r>
              <w:rPr>
                <w:b w:val="false"/>
                <w:bCs w:val="false"/>
                <w:color w:val="000000"/>
                <w:sz w:val="17"/>
                <w:szCs w:val="17"/>
              </w:rPr>
              <w:t xml:space="preserve">Persistence</w:t>
            </w:r>
          </w:p>
        </w:tc>
        <w:tc>
          <w:tcPr>
            <w:tcW w:type="dxa" w:w="2506"/>
            <w:tcMar>
              <w:top w:type="dxa" w:w="60"/>
              <w:left w:type="dxa" w:w="90"/>
              <w:bottom w:type="dxa" w:w="60"/>
              <w:right w:type="dxa" w:w="90"/>
            </w:tcMar>
          </w:tcPr>
          <w:p>
            <w:pPr>
              <w:spacing w:after="0" w:line="230"/>
              <w:jc w:val="left"/>
            </w:pPr>
            <w:r>
              <w:rPr>
                <w:b w:val="false"/>
                <w:bCs w:val="false"/>
                <w:color w:val="000000"/>
                <w:sz w:val="17"/>
                <w:szCs w:val="17"/>
              </w:rPr>
              <w:t xml:space="preserve">none</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0.1057</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0.1908</w:t>
            </w:r>
          </w:p>
        </w:tc>
        <w:tc>
          <w:tcPr>
            <w:tcW w:type="dxa" w:w="1735"/>
            <w:tcMar>
              <w:top w:type="dxa" w:w="60"/>
              <w:left w:type="dxa" w:w="90"/>
              <w:bottom w:type="dxa" w:w="60"/>
              <w:right w:type="dxa" w:w="90"/>
            </w:tcMar>
          </w:tcPr>
          <w:p>
            <w:pPr>
              <w:spacing w:after="0" w:line="230"/>
              <w:jc w:val="right"/>
            </w:pPr>
            <w:r>
              <w:rPr>
                <w:b w:val="false"/>
                <w:bCs w:val="false"/>
                <w:color w:val="000000"/>
                <w:sz w:val="17"/>
                <w:szCs w:val="17"/>
              </w:rPr>
              <w:t xml:space="preserve">0.6367</w:t>
            </w:r>
          </w:p>
        </w:tc>
      </w:tr>
      <w:tr>
        <w:trPr>
          <w:tblHeader w:val="false"/>
        </w:trPr>
        <w:tc>
          <w:tcPr>
            <w:tcW w:type="dxa" w:w="2120"/>
            <w:tcMar>
              <w:top w:type="dxa" w:w="60"/>
              <w:left w:type="dxa" w:w="90"/>
              <w:bottom w:type="dxa" w:w="60"/>
              <w:right w:type="dxa" w:w="90"/>
            </w:tcMar>
          </w:tcPr>
          <w:p>
            <w:pPr>
              <w:spacing w:after="0" w:line="230"/>
              <w:jc w:val="left"/>
            </w:pPr>
            <w:r>
              <w:rPr>
                <w:b w:val="false"/>
                <w:bCs w:val="false"/>
                <w:color w:val="000000"/>
                <w:sz w:val="17"/>
                <w:szCs w:val="17"/>
              </w:rPr>
              <w:t xml:space="preserve">RC network</w:t>
            </w:r>
          </w:p>
        </w:tc>
        <w:tc>
          <w:tcPr>
            <w:tcW w:type="dxa" w:w="2506"/>
            <w:tcMar>
              <w:top w:type="dxa" w:w="60"/>
              <w:left w:type="dxa" w:w="90"/>
              <w:bottom w:type="dxa" w:w="60"/>
              <w:right w:type="dxa" w:w="90"/>
            </w:tcMar>
          </w:tcPr>
          <w:p>
            <w:pPr>
              <w:spacing w:after="0" w:line="230"/>
              <w:jc w:val="left"/>
            </w:pPr>
            <w:r>
              <w:rPr>
                <w:b w:val="false"/>
                <w:bCs w:val="false"/>
                <w:color w:val="000000"/>
                <w:sz w:val="17"/>
                <w:szCs w:val="17"/>
              </w:rPr>
              <w:t xml:space="preserve">graph edges</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0.1682</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0.1978</w:t>
            </w:r>
          </w:p>
        </w:tc>
        <w:tc>
          <w:tcPr>
            <w:tcW w:type="dxa" w:w="1735"/>
            <w:tcMar>
              <w:top w:type="dxa" w:w="60"/>
              <w:left w:type="dxa" w:w="90"/>
              <w:bottom w:type="dxa" w:w="60"/>
              <w:right w:type="dxa" w:w="90"/>
            </w:tcMar>
          </w:tcPr>
          <w:p>
            <w:pPr>
              <w:spacing w:after="0" w:line="230"/>
              <w:jc w:val="right"/>
            </w:pPr>
            <w:r>
              <w:rPr>
                <w:b w:val="false"/>
                <w:bCs w:val="false"/>
                <w:color w:val="000000"/>
                <w:sz w:val="17"/>
                <w:szCs w:val="17"/>
              </w:rPr>
              <w:t xml:space="preserve">0.4833</w:t>
            </w:r>
          </w:p>
        </w:tc>
      </w:tr>
      <w:tr>
        <w:trPr>
          <w:tblHeader w:val="false"/>
        </w:trPr>
        <w:tc>
          <w:tcPr>
            <w:tcW w:type="dxa" w:w="2120"/>
            <w:tcMar>
              <w:top w:type="dxa" w:w="60"/>
              <w:left w:type="dxa" w:w="90"/>
              <w:bottom w:type="dxa" w:w="60"/>
              <w:right w:type="dxa" w:w="90"/>
            </w:tcMar>
          </w:tcPr>
          <w:p>
            <w:pPr>
              <w:spacing w:after="0" w:line="230"/>
              <w:jc w:val="left"/>
            </w:pPr>
            <w:r>
              <w:rPr>
                <w:b w:val="false"/>
                <w:bCs w:val="false"/>
                <w:color w:val="000000"/>
                <w:sz w:val="17"/>
                <w:szCs w:val="17"/>
              </w:rPr>
              <w:t xml:space="preserve">Per-rack LSTM</w:t>
            </w:r>
          </w:p>
        </w:tc>
        <w:tc>
          <w:tcPr>
            <w:tcW w:type="dxa" w:w="2506"/>
            <w:tcMar>
              <w:top w:type="dxa" w:w="60"/>
              <w:left w:type="dxa" w:w="90"/>
              <w:bottom w:type="dxa" w:w="60"/>
              <w:right w:type="dxa" w:w="90"/>
            </w:tcMar>
          </w:tcPr>
          <w:p>
            <w:pPr>
              <w:spacing w:after="0" w:line="230"/>
              <w:jc w:val="left"/>
            </w:pPr>
            <w:r>
              <w:rPr>
                <w:b w:val="false"/>
                <w:bCs w:val="false"/>
                <w:color w:val="000000"/>
                <w:sz w:val="17"/>
                <w:szCs w:val="17"/>
              </w:rPr>
              <w:t xml:space="preserve">none</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0.0272</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0.0598</w:t>
            </w:r>
          </w:p>
        </w:tc>
        <w:tc>
          <w:tcPr>
            <w:tcW w:type="dxa" w:w="1735"/>
            <w:tcMar>
              <w:top w:type="dxa" w:w="60"/>
              <w:left w:type="dxa" w:w="90"/>
              <w:bottom w:type="dxa" w:w="60"/>
              <w:right w:type="dxa" w:w="90"/>
            </w:tcMar>
          </w:tcPr>
          <w:p>
            <w:pPr>
              <w:spacing w:after="0" w:line="230"/>
              <w:jc w:val="right"/>
            </w:pPr>
            <w:r>
              <w:rPr>
                <w:b w:val="false"/>
                <w:bCs w:val="false"/>
                <w:color w:val="000000"/>
                <w:sz w:val="17"/>
                <w:szCs w:val="17"/>
              </w:rPr>
              <w:t xml:space="preserve">0.2245</w:t>
            </w:r>
          </w:p>
        </w:tc>
      </w:tr>
      <w:tr>
        <w:trPr>
          <w:tblHeader w:val="false"/>
        </w:trPr>
        <w:tc>
          <w:tcPr>
            <w:tcW w:type="dxa" w:w="2120"/>
            <w:tcMar>
              <w:top w:type="dxa" w:w="60"/>
              <w:left w:type="dxa" w:w="90"/>
              <w:bottom w:type="dxa" w:w="60"/>
              <w:right w:type="dxa" w:w="90"/>
            </w:tcMar>
          </w:tcPr>
          <w:p>
            <w:pPr>
              <w:spacing w:after="0" w:line="230"/>
              <w:jc w:val="left"/>
            </w:pPr>
            <w:r>
              <w:rPr>
                <w:b w:val="false"/>
                <w:bCs w:val="false"/>
                <w:color w:val="000000"/>
                <w:sz w:val="17"/>
                <w:szCs w:val="17"/>
              </w:rPr>
              <w:t xml:space="preserve">LightGBM k=4</w:t>
            </w:r>
          </w:p>
        </w:tc>
        <w:tc>
          <w:tcPr>
            <w:tcW w:type="dxa" w:w="2506"/>
            <w:tcMar>
              <w:top w:type="dxa" w:w="60"/>
              <w:left w:type="dxa" w:w="90"/>
              <w:bottom w:type="dxa" w:w="60"/>
              <w:right w:type="dxa" w:w="90"/>
            </w:tcMar>
          </w:tcPr>
          <w:p>
            <w:pPr>
              <w:spacing w:after="0" w:line="230"/>
              <w:jc w:val="left"/>
            </w:pPr>
            <w:r>
              <w:rPr>
                <w:b w:val="false"/>
                <w:bCs w:val="false"/>
                <w:color w:val="000000"/>
                <w:sz w:val="17"/>
                <w:szCs w:val="17"/>
              </w:rPr>
              <w:t xml:space="preserve">4 nearest racks</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0.0433</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0.0606</w:t>
            </w:r>
          </w:p>
        </w:tc>
        <w:tc>
          <w:tcPr>
            <w:tcW w:type="dxa" w:w="1735"/>
            <w:tcMar>
              <w:top w:type="dxa" w:w="60"/>
              <w:left w:type="dxa" w:w="90"/>
              <w:bottom w:type="dxa" w:w="60"/>
              <w:right w:type="dxa" w:w="90"/>
            </w:tcMar>
          </w:tcPr>
          <w:p>
            <w:pPr>
              <w:spacing w:after="0" w:line="230"/>
              <w:jc w:val="right"/>
            </w:pPr>
            <w:r>
              <w:rPr>
                <w:b w:val="false"/>
                <w:bCs w:val="false"/>
                <w:color w:val="000000"/>
                <w:sz w:val="17"/>
                <w:szCs w:val="17"/>
              </w:rPr>
              <w:t xml:space="preserve">0.1884</w:t>
            </w:r>
          </w:p>
        </w:tc>
      </w:tr>
      <w:tr>
        <w:trPr>
          <w:tblHeader w:val="false"/>
        </w:trPr>
        <w:tc>
          <w:tcPr>
            <w:tcW w:type="dxa" w:w="2120"/>
            <w:tcMar>
              <w:top w:type="dxa" w:w="60"/>
              <w:left w:type="dxa" w:w="90"/>
              <w:bottom w:type="dxa" w:w="60"/>
              <w:right w:type="dxa" w:w="90"/>
            </w:tcMar>
          </w:tcPr>
          <w:p>
            <w:pPr>
              <w:spacing w:after="0" w:line="230"/>
              <w:jc w:val="left"/>
            </w:pPr>
            <w:r>
              <w:rPr>
                <w:b w:val="false"/>
                <w:bCs w:val="false"/>
                <w:color w:val="000000"/>
                <w:sz w:val="17"/>
                <w:szCs w:val="17"/>
              </w:rPr>
              <w:t xml:space="preserve">**Graph model</w:t>
            </w:r>
          </w:p>
        </w:tc>
        <w:tc>
          <w:tcPr>
            <w:tcW w:type="dxa" w:w="2506"/>
            <w:tcMar>
              <w:top w:type="dxa" w:w="60"/>
              <w:left w:type="dxa" w:w="90"/>
              <w:bottom w:type="dxa" w:w="60"/>
              <w:right w:type="dxa" w:w="90"/>
            </w:tcMar>
          </w:tcPr>
          <w:p>
            <w:pPr>
              <w:spacing w:after="0" w:line="230"/>
              <w:jc w:val="left"/>
            </w:pPr>
            <w:r>
              <w:rPr>
                <w:b w:val="false"/>
                <w:bCs w:val="false"/>
                <w:color w:val="000000"/>
                <w:sz w:val="17"/>
                <w:szCs w:val="17"/>
              </w:rPr>
              <w:t xml:space="preserve">**message passing</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**0.0244</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**0.0434</w:t>
            </w:r>
          </w:p>
        </w:tc>
        <w:tc>
          <w:tcPr>
            <w:tcW w:type="dxa" w:w="1735"/>
            <w:tcMar>
              <w:top w:type="dxa" w:w="60"/>
              <w:left w:type="dxa" w:w="90"/>
              <w:bottom w:type="dxa" w:w="60"/>
              <w:right w:type="dxa" w:w="90"/>
            </w:tcMar>
          </w:tcPr>
          <w:p>
            <w:pPr>
              <w:spacing w:after="0" w:line="230"/>
              <w:jc w:val="right"/>
            </w:pPr>
            <w:r>
              <w:rPr>
                <w:b w:val="false"/>
                <w:bCs w:val="false"/>
                <w:color w:val="000000"/>
                <w:sz w:val="17"/>
                <w:szCs w:val="17"/>
              </w:rPr>
              <w:t xml:space="preserve">**0.1677</w:t>
            </w:r>
          </w:p>
        </w:tc>
      </w:tr>
    </w:tbl>
    <w:p>
      <w:pPr>
        <w:spacing w:after="80"/>
      </w:pPr>
    </w:p>
    <w:p>
      <w:pPr>
        <w:spacing w:after="140" w:line="240"/>
        <w:jc w:val="both"/>
      </w:pPr>
      <w:r>
        <w:rPr>
          <w:color w:val="555555"/>
          <w:sz w:val="17"/>
          <w:szCs w:val="17"/>
        </w:rPr>
        <w:t xml:space="preserve">Margin over the best baseline: 11% at 30 s, 27% at 60 s, 11% at 300 s. Seed spread is ±0.003 to ±0.004, so the ordering is stable.</w:t>
      </w:r>
    </w:p>
    <w:p>
      <w:pPr>
        <w:pStyle w:val="Heading2"/>
        <w:spacing w:after="90" w:before="220"/>
      </w:pPr>
      <w:r>
        <w:rPr>
          <w:b/>
          <w:bCs/>
          <w:color w:val="000000"/>
          <w:sz w:val="22"/>
          <w:szCs w:val="22"/>
        </w:rPr>
        <w:t xml:space="preserve">4.2  Why the margin is modest</w:t>
      </w:r>
    </w:p>
    <w:p>
      <w:pPr>
        <w:spacing w:after="120" w:line="264"/>
        <w:jc w:val="both"/>
      </w:pPr>
      <w:r>
        <w:rPr>
          <w:color w:val="000000"/>
          <w:sz w:val="20"/>
          <w:szCs w:val="20"/>
        </w:rPr>
        <w:t xml:space="preserve">LightGBM with the 2, 4 and 6 nearest racks scores identically to three decimal places at every horizon. That is not a bug. Own-rack features alone reach linear R² = 0.8251 on the 300 s target; adding every neighbour feature moves it to 0.8265; neighbour features alone reach 0.0280. Neighbouring racks share almost exactly the same recirculation environment, so a rack's own temperature already encodes what its neighbours are experiencing.</w:t>
      </w:r>
    </w:p>
    <w:p>
      <w:pPr>
        <w:spacing w:after="60" w:before="140"/>
        <w:jc w:val="center"/>
      </w:pPr>
      <w:r>
        <w:drawing>
          <wp:inline distT="0" distB="0" distL="0" distR="0">
            <wp:extent cx="2857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743200"/>
                    </a:xfrm>
                    <a:prstGeom prst="rect">
                      <a:avLst/>
                    </a:prstGeom>
                  </pic:spPr>
                </pic:pic>
              </a:graphicData>
            </a:graphic>
          </wp:inline>
        </w:drawing>
      </w:r>
    </w:p>
    <w:p>
      <w:pPr>
        <w:spacing w:after="200" w:line="230"/>
        <w:jc w:val="left"/>
      </w:pPr>
      <w:r>
        <w:rPr>
          <w:b/>
          <w:bCs/>
          <w:color w:val="555555"/>
          <w:sz w:val="17"/>
          <w:szCs w:val="17"/>
        </w:rPr>
        <w:t xml:space="preserve">Figure 2.</w:t>
      </w:r>
      <w:r>
        <w:rPr>
          <w:color w:val="555555"/>
          <w:sz w:val="17"/>
          <w:szCs w:val="17"/>
        </w:rPr>
        <w:t xml:space="preserve"> A rack's own inlet temperature against the mean of its six nearest racks, hall_a. The dashed line is equality; the scatter collapses onto it at r = 0.9952.</w:t>
      </w:r>
    </w:p>
    <w:p>
      <w:pPr>
        <w:pStyle w:val="Heading2"/>
        <w:spacing w:after="90" w:before="220"/>
      </w:pPr>
      <w:r>
        <w:rPr>
          <w:b/>
          <w:bCs/>
          <w:color w:val="000000"/>
          <w:sz w:val="22"/>
          <w:szCs w:val="22"/>
        </w:rPr>
        <w:t xml:space="preserve">4.3  Zero-shot transfer</w:t>
      </w:r>
    </w:p>
    <w:p>
      <w:pPr>
        <w:spacing w:after="120" w:line="264"/>
        <w:jc w:val="both"/>
      </w:pPr>
      <w:r>
        <w:rPr>
          <w:color w:val="000000"/>
          <w:sz w:val="20"/>
          <w:szCs w:val="20"/>
        </w:rPr>
        <w:t xml:space="preserve">The graph model is trained on hall</w:t>
      </w:r>
      <w:r>
        <w:rPr>
          <w:i/>
          <w:iCs/>
          <w:color w:val="000000"/>
          <w:sz w:val="20"/>
          <w:szCs w:val="20"/>
        </w:rPr>
        <w:t xml:space="preserve">a and applied unchanged to two other halls, carrying hall</w:t>
      </w:r>
      <w:r>
        <w:rPr>
          <w:color w:val="000000"/>
          <w:sz w:val="20"/>
          <w:szCs w:val="20"/>
        </w:rPr>
        <w:t xml:space="preserve">a's normalisation statistics with it. Those statistics are never recomputed on a target hall, which would be leakage. Results are given as skill — the fraction of the trivial predictor's error removed — because the halls have different target variance and raw RMSE is not comparable across them.</w:t>
      </w:r>
    </w:p>
    <w:tbl>
      <w:tblPr>
        <w:tblW w:type="dxa" w:w="9638"/>
        <w:tblBorders>
          <w:top w:val="single" w:color="000000" w:sz="8"/>
          <w:left w:val="none" w:color="FFFFFF" w:sz="0"/>
          <w:bottom w:val="single" w:color="000000" w:sz="8"/>
          <w:right w:val="none" w:color="FFFFFF" w:sz="0"/>
          <w:insideH w:val="single" w:color="BBBBBB" w:sz="2"/>
          <w:insideV w:val="none" w:color="FFFFFF" w:sz="0"/>
        </w:tblBorders>
      </w:tblPr>
      <w:tblGrid>
        <w:gridCol w:w="1253"/>
        <w:gridCol w:w="3566"/>
        <w:gridCol w:w="1542"/>
        <w:gridCol w:w="1542"/>
        <w:gridCol w:w="1735"/>
      </w:tblGrid>
      <w:tr>
        <w:trPr>
          <w:tblHeader/>
        </w:trPr>
        <w:tc>
          <w:tcPr>
            <w:tcW w:type="dxa" w:w="1253"/>
            <w:shd w:fill="EFEFEF" w:color="auto" w:val="clear"/>
            <w:tcMar>
              <w:top w:type="dxa" w:w="60"/>
              <w:left w:type="dxa" w:w="90"/>
              <w:bottom w:type="dxa" w:w="60"/>
              <w:right w:type="dxa" w:w="90"/>
            </w:tcMar>
          </w:tcPr>
          <w:p>
            <w:pPr>
              <w:spacing w:after="0" w:line="230"/>
              <w:jc w:val="left"/>
            </w:pPr>
            <w:r>
              <w:rPr>
                <w:b/>
                <w:bCs/>
                <w:color w:val="000000"/>
                <w:sz w:val="17"/>
                <w:szCs w:val="17"/>
              </w:rPr>
              <w:t xml:space="preserve">Hall</w:t>
            </w:r>
          </w:p>
        </w:tc>
        <w:tc>
          <w:tcPr>
            <w:tcW w:type="dxa" w:w="3566"/>
            <w:shd w:fill="EFEFEF" w:color="auto" w:val="clear"/>
            <w:tcMar>
              <w:top w:type="dxa" w:w="60"/>
              <w:left w:type="dxa" w:w="90"/>
              <w:bottom w:type="dxa" w:w="60"/>
              <w:right w:type="dxa" w:w="90"/>
            </w:tcMar>
          </w:tcPr>
          <w:p>
            <w:pPr>
              <w:spacing w:after="0" w:line="230"/>
              <w:jc w:val="left"/>
            </w:pPr>
            <w:r>
              <w:rPr>
                <w:b/>
                <w:bCs/>
                <w:color w:val="000000"/>
                <w:sz w:val="17"/>
                <w:szCs w:val="17"/>
              </w:rPr>
              <w:t xml:space="preserve">Relationship to hall_a</w:t>
            </w:r>
          </w:p>
        </w:tc>
        <w:tc>
          <w:tcPr>
            <w:tcW w:type="dxa" w:w="1542"/>
            <w:shd w:fill="EFEFEF" w:color="auto" w:val="clear"/>
            <w:tcMar>
              <w:top w:type="dxa" w:w="60"/>
              <w:left w:type="dxa" w:w="90"/>
              <w:bottom w:type="dxa" w:w="60"/>
              <w:right w:type="dxa" w:w="90"/>
            </w:tcMar>
          </w:tcPr>
          <w:p>
            <w:pPr>
              <w:spacing w:after="0" w:line="230"/>
              <w:jc w:val="right"/>
            </w:pPr>
            <w:r>
              <w:rPr>
                <w:b/>
                <w:bCs/>
                <w:color w:val="000000"/>
                <w:sz w:val="17"/>
                <w:szCs w:val="17"/>
              </w:rPr>
              <w:t xml:space="preserve">30 s</w:t>
            </w:r>
          </w:p>
        </w:tc>
        <w:tc>
          <w:tcPr>
            <w:tcW w:type="dxa" w:w="1542"/>
            <w:shd w:fill="EFEFEF" w:color="auto" w:val="clear"/>
            <w:tcMar>
              <w:top w:type="dxa" w:w="60"/>
              <w:left w:type="dxa" w:w="90"/>
              <w:bottom w:type="dxa" w:w="60"/>
              <w:right w:type="dxa" w:w="90"/>
            </w:tcMar>
          </w:tcPr>
          <w:p>
            <w:pPr>
              <w:spacing w:after="0" w:line="230"/>
              <w:jc w:val="right"/>
            </w:pPr>
            <w:r>
              <w:rPr>
                <w:b/>
                <w:bCs/>
                <w:color w:val="000000"/>
                <w:sz w:val="17"/>
                <w:szCs w:val="17"/>
              </w:rPr>
              <w:t xml:space="preserve">60 s</w:t>
            </w:r>
          </w:p>
        </w:tc>
        <w:tc>
          <w:tcPr>
            <w:tcW w:type="dxa" w:w="1735"/>
            <w:shd w:fill="EFEFEF" w:color="auto" w:val="clear"/>
            <w:tcMar>
              <w:top w:type="dxa" w:w="60"/>
              <w:left w:type="dxa" w:w="90"/>
              <w:bottom w:type="dxa" w:w="60"/>
              <w:right w:type="dxa" w:w="90"/>
            </w:tcMar>
          </w:tcPr>
          <w:p>
            <w:pPr>
              <w:spacing w:after="0" w:line="230"/>
              <w:jc w:val="right"/>
            </w:pPr>
            <w:r>
              <w:rPr>
                <w:b/>
                <w:bCs/>
                <w:color w:val="000000"/>
                <w:sz w:val="17"/>
                <w:szCs w:val="17"/>
              </w:rPr>
              <w:t xml:space="preserve">300 s</w:t>
            </w:r>
          </w:p>
        </w:tc>
      </w:tr>
      <w:tr>
        <w:trPr>
          <w:tblHeader w:val="false"/>
        </w:trPr>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hall_a</w:t>
            </w:r>
          </w:p>
        </w:tc>
        <w:tc>
          <w:tcPr>
            <w:tcW w:type="dxa" w:w="3566"/>
            <w:tcMar>
              <w:top w:type="dxa" w:w="60"/>
              <w:left w:type="dxa" w:w="90"/>
              <w:bottom w:type="dxa" w:w="60"/>
              <w:right w:type="dxa" w:w="90"/>
            </w:tcMar>
          </w:tcPr>
          <w:p>
            <w:pPr>
              <w:spacing w:after="0" w:line="230"/>
              <w:jc w:val="left"/>
            </w:pPr>
            <w:r>
              <w:rPr>
                <w:b w:val="false"/>
                <w:bCs w:val="false"/>
                <w:color w:val="000000"/>
                <w:sz w:val="17"/>
                <w:szCs w:val="17"/>
              </w:rPr>
              <w:t xml:space="preserve">in-domain, 200 racks</w:t>
            </w:r>
          </w:p>
        </w:tc>
        <w:tc>
          <w:tcPr>
            <w:tcW w:type="dxa" w:w="1542"/>
            <w:tcMar>
              <w:top w:type="dxa" w:w="60"/>
              <w:left w:type="dxa" w:w="90"/>
              <w:bottom w:type="dxa" w:w="60"/>
              <w:right w:type="dxa" w:w="90"/>
            </w:tcMar>
          </w:tcPr>
          <w:p>
            <w:pPr>
              <w:spacing w:after="0" w:line="230"/>
              <w:jc w:val="right"/>
            </w:pPr>
            <w:r>
              <w:rPr>
                <w:b w:val="false"/>
                <w:bCs w:val="false"/>
                <w:color w:val="000000"/>
                <w:sz w:val="17"/>
                <w:szCs w:val="17"/>
              </w:rPr>
              <w:t xml:space="preserve">76.0%</w:t>
            </w:r>
          </w:p>
        </w:tc>
        <w:tc>
          <w:tcPr>
            <w:tcW w:type="dxa" w:w="1542"/>
            <w:tcMar>
              <w:top w:type="dxa" w:w="60"/>
              <w:left w:type="dxa" w:w="90"/>
              <w:bottom w:type="dxa" w:w="60"/>
              <w:right w:type="dxa" w:w="90"/>
            </w:tcMar>
          </w:tcPr>
          <w:p>
            <w:pPr>
              <w:spacing w:after="0" w:line="230"/>
              <w:jc w:val="right"/>
            </w:pPr>
            <w:r>
              <w:rPr>
                <w:b w:val="false"/>
                <w:bCs w:val="false"/>
                <w:color w:val="000000"/>
                <w:sz w:val="17"/>
                <w:szCs w:val="17"/>
              </w:rPr>
              <w:t xml:space="preserve">75.0%</w:t>
            </w:r>
          </w:p>
        </w:tc>
        <w:tc>
          <w:tcPr>
            <w:tcW w:type="dxa" w:w="1735"/>
            <w:tcMar>
              <w:top w:type="dxa" w:w="60"/>
              <w:left w:type="dxa" w:w="90"/>
              <w:bottom w:type="dxa" w:w="60"/>
              <w:right w:type="dxa" w:w="90"/>
            </w:tcMar>
          </w:tcPr>
          <w:p>
            <w:pPr>
              <w:spacing w:after="0" w:line="230"/>
              <w:jc w:val="right"/>
            </w:pPr>
            <w:r>
              <w:rPr>
                <w:b w:val="false"/>
                <w:bCs w:val="false"/>
                <w:color w:val="000000"/>
                <w:sz w:val="17"/>
                <w:szCs w:val="17"/>
              </w:rPr>
              <w:t xml:space="preserve">70.8%</w:t>
            </w:r>
          </w:p>
        </w:tc>
      </w:tr>
      <w:tr>
        <w:trPr>
          <w:tblHeader w:val="false"/>
        </w:trPr>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hall_b</w:t>
            </w:r>
          </w:p>
        </w:tc>
        <w:tc>
          <w:tcPr>
            <w:tcW w:type="dxa" w:w="3566"/>
            <w:tcMar>
              <w:top w:type="dxa" w:w="60"/>
              <w:left w:type="dxa" w:w="90"/>
              <w:bottom w:type="dxa" w:w="60"/>
              <w:right w:type="dxa" w:w="90"/>
            </w:tcMar>
          </w:tcPr>
          <w:p>
            <w:pPr>
              <w:spacing w:after="0" w:line="230"/>
              <w:jc w:val="left"/>
            </w:pPr>
            <w:r>
              <w:rPr>
                <w:b w:val="false"/>
                <w:bCs w:val="false"/>
                <w:color w:val="000000"/>
                <w:sz w:val="17"/>
                <w:szCs w:val="17"/>
              </w:rPr>
              <w:t xml:space="preserve">140 racks, same aisle pattern</w:t>
            </w:r>
          </w:p>
        </w:tc>
        <w:tc>
          <w:tcPr>
            <w:tcW w:type="dxa" w:w="1542"/>
            <w:tcMar>
              <w:top w:type="dxa" w:w="60"/>
              <w:left w:type="dxa" w:w="90"/>
              <w:bottom w:type="dxa" w:w="60"/>
              <w:right w:type="dxa" w:w="90"/>
            </w:tcMar>
          </w:tcPr>
          <w:p>
            <w:pPr>
              <w:spacing w:after="0" w:line="230"/>
              <w:jc w:val="right"/>
            </w:pPr>
            <w:r>
              <w:rPr>
                <w:b w:val="false"/>
                <w:bCs w:val="false"/>
                <w:color w:val="000000"/>
                <w:sz w:val="17"/>
                <w:szCs w:val="17"/>
              </w:rPr>
              <w:t xml:space="preserve">**81.6%</w:t>
            </w:r>
          </w:p>
        </w:tc>
        <w:tc>
          <w:tcPr>
            <w:tcW w:type="dxa" w:w="1542"/>
            <w:tcMar>
              <w:top w:type="dxa" w:w="60"/>
              <w:left w:type="dxa" w:w="90"/>
              <w:bottom w:type="dxa" w:w="60"/>
              <w:right w:type="dxa" w:w="90"/>
            </w:tcMar>
          </w:tcPr>
          <w:p>
            <w:pPr>
              <w:spacing w:after="0" w:line="230"/>
              <w:jc w:val="right"/>
            </w:pPr>
            <w:r>
              <w:rPr>
                <w:b w:val="false"/>
                <w:bCs w:val="false"/>
                <w:color w:val="000000"/>
                <w:sz w:val="17"/>
                <w:szCs w:val="17"/>
              </w:rPr>
              <w:t xml:space="preserve">**78.9%</w:t>
            </w:r>
          </w:p>
        </w:tc>
        <w:tc>
          <w:tcPr>
            <w:tcW w:type="dxa" w:w="1735"/>
            <w:tcMar>
              <w:top w:type="dxa" w:w="60"/>
              <w:left w:type="dxa" w:w="90"/>
              <w:bottom w:type="dxa" w:w="60"/>
              <w:right w:type="dxa" w:w="90"/>
            </w:tcMar>
          </w:tcPr>
          <w:p>
            <w:pPr>
              <w:spacing w:after="0" w:line="230"/>
              <w:jc w:val="right"/>
            </w:pPr>
            <w:r>
              <w:rPr>
                <w:b w:val="false"/>
                <w:bCs w:val="false"/>
                <w:color w:val="000000"/>
                <w:sz w:val="17"/>
                <w:szCs w:val="17"/>
              </w:rPr>
              <w:t xml:space="preserve">**71.7%</w:t>
            </w:r>
          </w:p>
        </w:tc>
      </w:tr>
      <w:tr>
        <w:trPr>
          <w:tblHeader w:val="false"/>
        </w:trPr>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hall_c</w:t>
            </w:r>
          </w:p>
        </w:tc>
        <w:tc>
          <w:tcPr>
            <w:tcW w:type="dxa" w:w="3566"/>
            <w:tcMar>
              <w:top w:type="dxa" w:w="60"/>
              <w:left w:type="dxa" w:w="90"/>
              <w:bottom w:type="dxa" w:w="60"/>
              <w:right w:type="dxa" w:w="90"/>
            </w:tcMar>
          </w:tcPr>
          <w:p>
            <w:pPr>
              <w:spacing w:after="0" w:line="230"/>
              <w:jc w:val="left"/>
            </w:pPr>
            <w:r>
              <w:rPr>
                <w:b w:val="false"/>
                <w:bCs w:val="false"/>
                <w:color w:val="000000"/>
                <w:sz w:val="17"/>
                <w:szCs w:val="17"/>
              </w:rPr>
              <w:t xml:space="preserve">uncontained layout, moved CRACs</w:t>
            </w:r>
          </w:p>
        </w:tc>
        <w:tc>
          <w:tcPr>
            <w:tcW w:type="dxa" w:w="1542"/>
            <w:tcMar>
              <w:top w:type="dxa" w:w="60"/>
              <w:left w:type="dxa" w:w="90"/>
              <w:bottom w:type="dxa" w:w="60"/>
              <w:right w:type="dxa" w:w="90"/>
            </w:tcMar>
          </w:tcPr>
          <w:p>
            <w:pPr>
              <w:spacing w:after="0" w:line="230"/>
              <w:jc w:val="right"/>
            </w:pPr>
            <w:r>
              <w:rPr>
                <w:b w:val="false"/>
                <w:bCs w:val="false"/>
                <w:color w:val="000000"/>
                <w:sz w:val="17"/>
                <w:szCs w:val="17"/>
              </w:rPr>
              <w:t xml:space="preserve">71.6%</w:t>
            </w:r>
          </w:p>
        </w:tc>
        <w:tc>
          <w:tcPr>
            <w:tcW w:type="dxa" w:w="1542"/>
            <w:tcMar>
              <w:top w:type="dxa" w:w="60"/>
              <w:left w:type="dxa" w:w="90"/>
              <w:bottom w:type="dxa" w:w="60"/>
              <w:right w:type="dxa" w:w="90"/>
            </w:tcMar>
          </w:tcPr>
          <w:p>
            <w:pPr>
              <w:spacing w:after="0" w:line="230"/>
              <w:jc w:val="right"/>
            </w:pPr>
            <w:r>
              <w:rPr>
                <w:b w:val="false"/>
                <w:bCs w:val="false"/>
                <w:color w:val="000000"/>
                <w:sz w:val="17"/>
                <w:szCs w:val="17"/>
              </w:rPr>
              <w:t xml:space="preserve">74.4%</w:t>
            </w:r>
          </w:p>
        </w:tc>
        <w:tc>
          <w:tcPr>
            <w:tcW w:type="dxa" w:w="1735"/>
            <w:tcMar>
              <w:top w:type="dxa" w:w="60"/>
              <w:left w:type="dxa" w:w="90"/>
              <w:bottom w:type="dxa" w:w="60"/>
              <w:right w:type="dxa" w:w="90"/>
            </w:tcMar>
          </w:tcPr>
          <w:p>
            <w:pPr>
              <w:spacing w:after="0" w:line="230"/>
              <w:jc w:val="right"/>
            </w:pPr>
            <w:r>
              <w:rPr>
                <w:b w:val="false"/>
                <w:bCs w:val="false"/>
                <w:color w:val="000000"/>
                <w:sz w:val="17"/>
                <w:szCs w:val="17"/>
              </w:rPr>
              <w:t xml:space="preserve">68.2%</w:t>
            </w:r>
          </w:p>
        </w:tc>
      </w:tr>
    </w:tbl>
    <w:p>
      <w:pPr>
        <w:spacing w:after="80"/>
      </w:pPr>
    </w:p>
    <w:p>
      <w:pPr>
        <w:spacing w:after="120" w:line="264"/>
        <w:jc w:val="both"/>
      </w:pPr>
      <w:r>
        <w:rPr>
          <w:color w:val="000000"/>
          <w:sz w:val="20"/>
          <w:szCs w:val="20"/>
        </w:rPr>
        <w:t xml:space="preserve">Transfer holds. On hall</w:t>
      </w:r>
      <w:r>
        <w:rPr>
          <w:i/>
          <w:iCs/>
          <w:color w:val="000000"/>
          <w:sz w:val="20"/>
          <w:szCs w:val="20"/>
        </w:rPr>
        <w:t xml:space="preserve">b the transferred model removes more of persistence's error than it does in-domain, because that hall's larger target variance makes the trivial predictor worse. Against baselines **refit on the target hall**, the zero-shot graph model still wins on hall</w:t>
      </w:r>
      <w:r>
        <w:rPr>
          <w:color w:val="000000"/>
          <w:sz w:val="20"/>
          <w:szCs w:val="20"/>
        </w:rPr>
        <w:t xml:space="preserve">b (0.0263 against the LSTM's 0.0396 at 30 s) but loses on hall_c (0.0292 against 0.0224). Scale transfer beats local retraining; layout transfer does not.</w:t>
      </w:r>
    </w:p>
    <w:p>
      <w:pPr>
        <w:spacing w:after="60" w:before="140"/>
        <w:jc w:val="center"/>
      </w:pPr>
      <w:r>
        <w:drawing>
          <wp:inline distT="0" distB="0" distL="0" distR="0">
            <wp:extent cx="5810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800350"/>
                    </a:xfrm>
                    <a:prstGeom prst="rect">
                      <a:avLst/>
                    </a:prstGeom>
                  </pic:spPr>
                </pic:pic>
              </a:graphicData>
            </a:graphic>
          </wp:inline>
        </w:drawing>
      </w:r>
    </w:p>
    <w:p>
      <w:pPr>
        <w:spacing w:after="200" w:line="230"/>
        <w:jc w:val="left"/>
      </w:pPr>
      <w:r>
        <w:rPr>
          <w:b/>
          <w:bCs/>
          <w:color w:val="555555"/>
          <w:sz w:val="17"/>
          <w:szCs w:val="17"/>
        </w:rPr>
        <w:t xml:space="preserve">Figure 3.</w:t>
      </w:r>
      <w:r>
        <w:rPr>
          <w:color w:val="555555"/>
          <w:sz w:val="17"/>
          <w:szCs w:val="17"/>
        </w:rPr>
        <w:t xml:space="preserve"> Skill against each hall's own persistence baseline. The transferred model removes as much of the trivial predictor's error on halls it has never seen as it does in-domain.</w:t>
      </w:r>
    </w:p>
    <w:p>
      <w:r>
        <w:br w:type="page"/>
      </w:r>
    </w:p>
    <w:p>
      <w:pPr>
        <w:pStyle w:val="Heading1"/>
        <w:pBdr>
          <w:bottom w:val="single" w:color="000000" w:sz="12" w:space="6"/>
        </w:pBdr>
        <w:spacing w:after="60" w:before="200"/>
      </w:pPr>
      <w:r>
        <w:rPr>
          <w:b/>
          <w:bCs/>
          <w:color w:val="000000"/>
          <w:sz w:val="30"/>
          <w:szCs w:val="30"/>
        </w:rPr>
        <w:t xml:space="preserve">Part II  ·  The liquid-cooled twin</w:t>
      </w:r>
    </w:p>
    <w:p>
      <w:pPr>
        <w:spacing w:after="200"/>
      </w:pPr>
      <w:r>
        <w:rPr>
          <w:i/>
          <w:iCs/>
          <w:color w:val="555555"/>
          <w:sz w:val="21"/>
          <w:szCs w:val="21"/>
        </w:rPr>
        <w:t xml:space="preserve">Direct-to-chip cooling, where coupling follows the plumbing</w:t>
      </w:r>
    </w:p>
    <w:p>
      <w:pPr>
        <w:pStyle w:val="Heading1"/>
        <w:spacing w:after="130" w:before="320"/>
      </w:pPr>
      <w:r>
        <w:rPr>
          <w:b/>
          <w:bCs/>
          <w:color w:val="000000"/>
          <w:sz w:val="26"/>
          <w:szCs w:val="26"/>
        </w:rPr>
        <w:t xml:space="preserve">5.  Why liquid cooling changes the question</w:t>
      </w:r>
    </w:p>
    <w:p>
      <w:pPr>
        <w:spacing w:after="120" w:line="264"/>
        <w:jc w:val="both"/>
      </w:pPr>
      <w:r>
        <w:rPr>
          <w:color w:val="000000"/>
          <w:sz w:val="20"/>
          <w:szCs w:val="20"/>
        </w:rPr>
        <w:t xml:space="preserve">Air recirculation is diffuse. Every rack in a region shares one thermal environment, so neighbour features are close to redundant — that is the 0.9953 correlation of Section 4.2, and it is why the edge-shuffle ablation on the air twin was expected to come back near-null.</w:t>
      </w:r>
    </w:p>
    <w:p>
      <w:pPr>
        <w:spacing w:after="120" w:line="264"/>
        <w:jc w:val="both"/>
      </w:pPr>
      <w:r>
        <w:rPr>
          <w:color w:val="000000"/>
          <w:sz w:val="20"/>
          <w:szCs w:val="20"/>
        </w:rPr>
        <w:t xml:space="preserve">A direct-to-chip hall is plumbed, not ventilated. Coolant leaves a Coolant Distribution Unit, runs along a branch manifold, and is drawn off in parallel by the racks on that branch. Racks sharing a branch share a supply temperature, a flow budget and a CDU. Racks on a different loop share almost nothing — however close they stand.</w:t>
      </w:r>
    </w:p>
    <w:p>
      <w:pPr>
        <w:spacing w:after="60" w:before="140"/>
        <w:jc w:val="center"/>
      </w:pPr>
      <w:r>
        <w:drawing>
          <wp:inline distT="0" distB="0" distL="0" distR="0">
            <wp:extent cx="58102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009900"/>
                    </a:xfrm>
                    <a:prstGeom prst="rect">
                      <a:avLst/>
                    </a:prstGeom>
                  </pic:spPr>
                </pic:pic>
              </a:graphicData>
            </a:graphic>
          </wp:inline>
        </w:drawing>
      </w:r>
    </w:p>
    <w:p>
      <w:pPr>
        <w:spacing w:after="200" w:line="230"/>
        <w:jc w:val="left"/>
      </w:pPr>
      <w:r>
        <w:rPr>
          <w:b/>
          <w:bCs/>
          <w:color w:val="555555"/>
          <w:sz w:val="17"/>
          <w:szCs w:val="17"/>
        </w:rPr>
        <w:t xml:space="preserve">Figure 4.</w:t>
      </w:r>
      <w:r>
        <w:rPr>
          <w:color w:val="555555"/>
          <w:sz w:val="17"/>
          <w:szCs w:val="17"/>
        </w:rPr>
        <w:t xml:space="preserve"> hall_l1: 128 racks, four CDUs, two branch manifolds each. Colour is coolant loop, not position. Rows that sit next to each other on the floor belong to different loops, and the marked pair stands 2.4 m apart with no hydraulic connection at all.</w:t>
      </w:r>
    </w:p>
    <w:p>
      <w:pPr>
        <w:pStyle w:val="Heading1"/>
        <w:spacing w:after="130" w:before="320"/>
      </w:pPr>
      <w:r>
        <w:rPr>
          <w:b/>
          <w:bCs/>
          <w:color w:val="000000"/>
          <w:sz w:val="26"/>
          <w:szCs w:val="26"/>
        </w:rPr>
        <w:t xml:space="preserve">6.  The model</w:t>
      </w:r>
    </w:p>
    <w:p>
      <w:pPr>
        <w:spacing w:after="120" w:line="264"/>
        <w:jc w:val="both"/>
      </w:pPr>
      <w:r>
        <w:rPr>
          <w:color w:val="000000"/>
          <w:sz w:val="20"/>
          <w:szCs w:val="20"/>
        </w:rPr>
        <w:t xml:space="preserve">Cold plates take 80% of rack power into coolant; the remaining fifth leaves as air and recirculates through the air twin's kernel unchanged, with rack airflow scaled to the air share because a liquid-cooled rack ships far smaller fans. At each CDU the secondary supply sits above the facility water by an approach that degrades as the unit approaches its rated duty, which is what couples every rack on a loop to every other rack on it. Along a branch, flow droops with distance from the feed and the supply is warmed by the return of every rack upstream.</w:t>
      </w:r>
    </w:p>
    <w:p>
      <w:pPr>
        <w:pStyle w:val="Heading2"/>
        <w:spacing w:after="90" w:before="220"/>
      </w:pPr>
      <w:r>
        <w:rPr>
          <w:b/>
          <w:bCs/>
          <w:color w:val="000000"/>
          <w:sz w:val="22"/>
          <w:szCs w:val="22"/>
        </w:rPr>
        <w:t xml:space="preserve">Two errors found by measuring rather than assuming</w:t>
      </w:r>
    </w:p>
    <w:p>
      <w:pPr>
        <w:spacing w:after="120" w:line="264"/>
        <w:jc w:val="both"/>
      </w:pPr>
      <w:r>
        <w:rPr>
          <w:b/>
          <w:bCs/>
          <w:color w:val="000000"/>
          <w:sz w:val="20"/>
          <w:szCs w:val="20"/>
        </w:rPr>
        <w:t xml:space="preserve">Cross-talk is what makes the graph non-trivial.</w:t>
      </w:r>
      <w:r>
        <w:rPr>
          <w:color w:val="000000"/>
          <w:sz w:val="20"/>
          <w:szCs w:val="20"/>
        </w:rPr>
        <w:t xml:space="preserve"> The first version had only a static manifold gain, so perturbing any rack moved every rack on its loop by exactly the same amount and loop topology explained </w:t>
      </w:r>
      <w:r>
        <w:rPr>
          <w:b/>
          <w:bCs/>
          <w:color w:val="000000"/>
          <w:sz w:val="20"/>
          <w:szCs w:val="20"/>
        </w:rPr>
        <w:t xml:space="preserve">100%</w:t>
      </w:r>
      <w:r>
        <w:rPr>
          <w:color w:val="000000"/>
          <w:sz w:val="20"/>
          <w:szCs w:val="20"/>
        </w:rPr>
        <w:t xml:space="preserve"> of the coupling variance. That is not a graph problem: one categorical “which CDU” feature would capture the whole structure. Adding supply-return manifold cross-talk made the coupling directed and ordered within a branch, and explained variance fell to 0.645.</w:t>
      </w:r>
    </w:p>
    <w:p>
      <w:pPr>
        <w:spacing w:after="120" w:line="264"/>
        <w:jc w:val="both"/>
      </w:pPr>
      <w:r>
        <w:rPr>
          <w:b/>
          <w:bCs/>
          <w:color w:val="000000"/>
          <w:sz w:val="20"/>
          <w:szCs w:val="20"/>
        </w:rPr>
        <w:t xml:space="preserve">The case-to-coolant rise is per device, not per rack.</w:t>
      </w:r>
      <w:r>
        <w:rPr>
          <w:color w:val="000000"/>
          <w:sz w:val="20"/>
          <w:szCs w:val="20"/>
        </w:rPr>
        <w:t xml:space="preserve"> It was first written as kelvin per kilowatt of </w:t>
      </w:r>
      <w:r>
        <w:rPr>
          <w:i/>
          <w:iCs/>
          <w:color w:val="000000"/>
          <w:sz w:val="20"/>
          <w:szCs w:val="20"/>
        </w:rPr>
        <w:t xml:space="preserve">rack</w:t>
      </w:r>
      <w:r>
        <w:rPr>
          <w:color w:val="000000"/>
          <w:sz w:val="20"/>
          <w:szCs w:val="20"/>
        </w:rPr>
        <w:t xml:space="preserve"> power, which made a denser rack appear to run each accelerator hotter. Every accelerator has its own cold plate fed in parallel off the rack manifold, so the rise is set by per-device power.</w:t>
      </w:r>
    </w:p>
    <w:p>
      <w:pPr>
        <w:pStyle w:val="Heading1"/>
        <w:spacing w:after="130" w:before="320"/>
      </w:pPr>
      <w:r>
        <w:rPr>
          <w:b/>
          <w:bCs/>
          <w:color w:val="000000"/>
          <w:sz w:val="26"/>
          <w:szCs w:val="26"/>
        </w:rPr>
        <w:t xml:space="preserve">7.  What the coupling probe measures</w:t>
      </w:r>
    </w:p>
    <w:p>
      <w:pPr>
        <w:spacing w:after="120" w:line="264"/>
        <w:jc w:val="both"/>
      </w:pPr>
      <w:r>
        <w:rPr>
          <w:color w:val="000000"/>
          <w:sz w:val="20"/>
          <w:szCs w:val="20"/>
        </w:rPr>
        <w:t xml:space="preserve">Each rack is given a 5 kW step and the coolant supply response is measured at every other rack. hall_l1 at 85% utilisation, 34 °C facility water, pumps at 85%.</w:t>
      </w:r>
    </w:p>
    <w:tbl>
      <w:tblPr>
        <w:tblW w:type="dxa" w:w="9638"/>
        <w:tblBorders>
          <w:top w:val="single" w:color="000000" w:sz="8"/>
          <w:left w:val="none" w:color="FFFFFF" w:sz="0"/>
          <w:bottom w:val="single" w:color="000000" w:sz="8"/>
          <w:right w:val="none" w:color="FFFFFF" w:sz="0"/>
          <w:insideH w:val="single" w:color="BBBBBB" w:sz="2"/>
          <w:insideV w:val="none" w:color="FFFFFF" w:sz="0"/>
        </w:tblBorders>
      </w:tblPr>
      <w:tblGrid>
        <w:gridCol w:w="3855"/>
        <w:gridCol w:w="1542"/>
        <w:gridCol w:w="2313"/>
        <w:gridCol w:w="1928"/>
      </w:tblGrid>
      <w:tr>
        <w:trPr>
          <w:tblHeader/>
        </w:trPr>
        <w:tc>
          <w:tcPr>
            <w:tcW w:type="dxa" w:w="3855"/>
            <w:shd w:fill="EFEFEF" w:color="auto" w:val="clear"/>
            <w:tcMar>
              <w:top w:type="dxa" w:w="60"/>
              <w:left w:type="dxa" w:w="90"/>
              <w:bottom w:type="dxa" w:w="60"/>
              <w:right w:type="dxa" w:w="90"/>
            </w:tcMar>
          </w:tcPr>
          <w:p>
            <w:pPr>
              <w:spacing w:after="0" w:line="230"/>
              <w:jc w:val="left"/>
            </w:pPr>
            <w:r>
              <w:rPr>
                <w:b/>
                <w:bCs/>
                <w:color w:val="000000"/>
                <w:sz w:val="17"/>
                <w:szCs w:val="17"/>
              </w:rPr>
              <w:t xml:space="preserve">Relationship</w:t>
            </w:r>
          </w:p>
        </w:tc>
        <w:tc>
          <w:tcPr>
            <w:tcW w:type="dxa" w:w="1542"/>
            <w:shd w:fill="EFEFEF" w:color="auto" w:val="clear"/>
            <w:tcMar>
              <w:top w:type="dxa" w:w="60"/>
              <w:left w:type="dxa" w:w="90"/>
              <w:bottom w:type="dxa" w:w="60"/>
              <w:right w:type="dxa" w:w="90"/>
            </w:tcMar>
          </w:tcPr>
          <w:p>
            <w:pPr>
              <w:spacing w:after="0" w:line="230"/>
              <w:jc w:val="right"/>
            </w:pPr>
            <w:r>
              <w:rPr>
                <w:b/>
                <w:bCs/>
                <w:color w:val="000000"/>
                <w:sz w:val="17"/>
                <w:szCs w:val="17"/>
              </w:rPr>
              <w:t xml:space="preserve">Pairs</w:t>
            </w:r>
          </w:p>
        </w:tc>
        <w:tc>
          <w:tcPr>
            <w:tcW w:type="dxa" w:w="2313"/>
            <w:shd w:fill="EFEFEF" w:color="auto" w:val="clear"/>
            <w:tcMar>
              <w:top w:type="dxa" w:w="60"/>
              <w:left w:type="dxa" w:w="90"/>
              <w:bottom w:type="dxa" w:w="60"/>
              <w:right w:type="dxa" w:w="90"/>
            </w:tcMar>
          </w:tcPr>
          <w:p>
            <w:pPr>
              <w:spacing w:after="0" w:line="230"/>
              <w:jc w:val="right"/>
            </w:pPr>
            <w:r>
              <w:rPr>
                <w:b/>
                <w:bCs/>
                <w:color w:val="000000"/>
                <w:sz w:val="17"/>
                <w:szCs w:val="17"/>
              </w:rPr>
              <w:t xml:space="preserve">Mean |ΔT| (K)</w:t>
            </w:r>
          </w:p>
        </w:tc>
        <w:tc>
          <w:tcPr>
            <w:tcW w:type="dxa" w:w="1928"/>
            <w:shd w:fill="EFEFEF" w:color="auto" w:val="clear"/>
            <w:tcMar>
              <w:top w:type="dxa" w:w="60"/>
              <w:left w:type="dxa" w:w="90"/>
              <w:bottom w:type="dxa" w:w="60"/>
              <w:right w:type="dxa" w:w="90"/>
            </w:tcMar>
          </w:tcPr>
          <w:p>
            <w:pPr>
              <w:spacing w:after="0" w:line="230"/>
              <w:jc w:val="right"/>
            </w:pPr>
            <w:r>
              <w:rPr>
                <w:b/>
                <w:bCs/>
                <w:color w:val="000000"/>
                <w:sz w:val="17"/>
                <w:szCs w:val="17"/>
              </w:rPr>
              <w:t xml:space="preserve">Mean gap (m)</w:t>
            </w:r>
          </w:p>
        </w:tc>
      </w:tr>
      <w:tr>
        <w:trPr>
          <w:tblHeader w:val="false"/>
        </w:trPr>
        <w:tc>
          <w:tcPr>
            <w:tcW w:type="dxa" w:w="3855"/>
            <w:tcMar>
              <w:top w:type="dxa" w:w="60"/>
              <w:left w:type="dxa" w:w="90"/>
              <w:bottom w:type="dxa" w:w="60"/>
              <w:right w:type="dxa" w:w="90"/>
            </w:tcMar>
          </w:tcPr>
          <w:p>
            <w:pPr>
              <w:spacing w:after="0" w:line="230"/>
              <w:jc w:val="left"/>
            </w:pPr>
            <w:r>
              <w:rPr>
                <w:b w:val="false"/>
                <w:bCs w:val="false"/>
                <w:color w:val="000000"/>
                <w:sz w:val="17"/>
                <w:szCs w:val="17"/>
              </w:rPr>
              <w:t xml:space="preserve">same branch (shared manifold)</w:t>
            </w:r>
          </w:p>
        </w:tc>
        <w:tc>
          <w:tcPr>
            <w:tcW w:type="dxa" w:w="1542"/>
            <w:tcMar>
              <w:top w:type="dxa" w:w="60"/>
              <w:left w:type="dxa" w:w="90"/>
              <w:bottom w:type="dxa" w:w="60"/>
              <w:right w:type="dxa" w:w="90"/>
            </w:tcMar>
          </w:tcPr>
          <w:p>
            <w:pPr>
              <w:spacing w:after="0" w:line="230"/>
              <w:jc w:val="right"/>
            </w:pPr>
            <w:r>
              <w:rPr>
                <w:b w:val="false"/>
                <w:bCs w:val="false"/>
                <w:color w:val="000000"/>
                <w:sz w:val="17"/>
                <w:szCs w:val="17"/>
              </w:rPr>
              <w:t xml:space="preserve">1,920</w:t>
            </w:r>
          </w:p>
        </w:tc>
        <w:tc>
          <w:tcPr>
            <w:tcW w:type="dxa" w:w="2313"/>
            <w:tcMar>
              <w:top w:type="dxa" w:w="60"/>
              <w:left w:type="dxa" w:w="90"/>
              <w:bottom w:type="dxa" w:w="60"/>
              <w:right w:type="dxa" w:w="90"/>
            </w:tcMar>
          </w:tcPr>
          <w:p>
            <w:pPr>
              <w:spacing w:after="0" w:line="230"/>
              <w:jc w:val="right"/>
            </w:pPr>
            <w:r>
              <w:rPr>
                <w:b w:val="false"/>
                <w:bCs w:val="false"/>
                <w:color w:val="000000"/>
                <w:sz w:val="17"/>
                <w:szCs w:val="17"/>
              </w:rPr>
              <w:t xml:space="preserve">**0.01817</w:t>
            </w:r>
          </w:p>
        </w:tc>
        <w:tc>
          <w:tcPr>
            <w:tcW w:type="dxa" w:w="1928"/>
            <w:tcMar>
              <w:top w:type="dxa" w:w="60"/>
              <w:left w:type="dxa" w:w="90"/>
              <w:bottom w:type="dxa" w:w="60"/>
              <w:right w:type="dxa" w:w="90"/>
            </w:tcMar>
          </w:tcPr>
          <w:p>
            <w:pPr>
              <w:spacing w:after="0" w:line="230"/>
              <w:jc w:val="right"/>
            </w:pPr>
            <w:r>
              <w:rPr>
                <w:b w:val="false"/>
                <w:bCs w:val="false"/>
                <w:color w:val="000000"/>
                <w:sz w:val="17"/>
                <w:szCs w:val="17"/>
              </w:rPr>
              <w:t xml:space="preserve">3.40</w:t>
            </w:r>
          </w:p>
        </w:tc>
      </w:tr>
      <w:tr>
        <w:trPr>
          <w:tblHeader w:val="false"/>
        </w:trPr>
        <w:tc>
          <w:tcPr>
            <w:tcW w:type="dxa" w:w="3855"/>
            <w:tcMar>
              <w:top w:type="dxa" w:w="60"/>
              <w:left w:type="dxa" w:w="90"/>
              <w:bottom w:type="dxa" w:w="60"/>
              <w:right w:type="dxa" w:w="90"/>
            </w:tcMar>
          </w:tcPr>
          <w:p>
            <w:pPr>
              <w:spacing w:after="0" w:line="230"/>
              <w:jc w:val="left"/>
            </w:pPr>
            <w:r>
              <w:rPr>
                <w:b w:val="false"/>
                <w:bCs w:val="false"/>
                <w:color w:val="000000"/>
                <w:sz w:val="17"/>
                <w:szCs w:val="17"/>
              </w:rPr>
              <w:t xml:space="preserve">same CDU, different branch</w:t>
            </w:r>
          </w:p>
        </w:tc>
        <w:tc>
          <w:tcPr>
            <w:tcW w:type="dxa" w:w="1542"/>
            <w:tcMar>
              <w:top w:type="dxa" w:w="60"/>
              <w:left w:type="dxa" w:w="90"/>
              <w:bottom w:type="dxa" w:w="60"/>
              <w:right w:type="dxa" w:w="90"/>
            </w:tcMar>
          </w:tcPr>
          <w:p>
            <w:pPr>
              <w:spacing w:after="0" w:line="230"/>
              <w:jc w:val="right"/>
            </w:pPr>
            <w:r>
              <w:rPr>
                <w:b w:val="false"/>
                <w:bCs w:val="false"/>
                <w:color w:val="000000"/>
                <w:sz w:val="17"/>
                <w:szCs w:val="17"/>
              </w:rPr>
              <w:t xml:space="preserve">2,048</w:t>
            </w:r>
          </w:p>
        </w:tc>
        <w:tc>
          <w:tcPr>
            <w:tcW w:type="dxa" w:w="2313"/>
            <w:tcMar>
              <w:top w:type="dxa" w:w="60"/>
              <w:left w:type="dxa" w:w="90"/>
              <w:bottom w:type="dxa" w:w="60"/>
              <w:right w:type="dxa" w:w="90"/>
            </w:tcMar>
          </w:tcPr>
          <w:p>
            <w:pPr>
              <w:spacing w:after="0" w:line="230"/>
              <w:jc w:val="right"/>
            </w:pPr>
            <w:r>
              <w:rPr>
                <w:b w:val="false"/>
                <w:bCs w:val="false"/>
                <w:color w:val="000000"/>
                <w:sz w:val="17"/>
                <w:szCs w:val="17"/>
              </w:rPr>
              <w:t xml:space="preserve">0.00960</w:t>
            </w:r>
          </w:p>
        </w:tc>
        <w:tc>
          <w:tcPr>
            <w:tcW w:type="dxa" w:w="1928"/>
            <w:tcMar>
              <w:top w:type="dxa" w:w="60"/>
              <w:left w:type="dxa" w:w="90"/>
              <w:bottom w:type="dxa" w:w="60"/>
              <w:right w:type="dxa" w:w="90"/>
            </w:tcMar>
          </w:tcPr>
          <w:p>
            <w:pPr>
              <w:spacing w:after="0" w:line="230"/>
              <w:jc w:val="right"/>
            </w:pPr>
            <w:r>
              <w:rPr>
                <w:b w:val="false"/>
                <w:bCs w:val="false"/>
                <w:color w:val="000000"/>
                <w:sz w:val="17"/>
                <w:szCs w:val="17"/>
              </w:rPr>
              <w:t xml:space="preserve">4.24</w:t>
            </w:r>
          </w:p>
        </w:tc>
      </w:tr>
      <w:tr>
        <w:trPr>
          <w:tblHeader w:val="false"/>
        </w:trPr>
        <w:tc>
          <w:tcPr>
            <w:tcW w:type="dxa" w:w="3855"/>
            <w:tcMar>
              <w:top w:type="dxa" w:w="60"/>
              <w:left w:type="dxa" w:w="90"/>
              <w:bottom w:type="dxa" w:w="60"/>
              <w:right w:type="dxa" w:w="90"/>
            </w:tcMar>
          </w:tcPr>
          <w:p>
            <w:pPr>
              <w:spacing w:after="0" w:line="230"/>
              <w:jc w:val="left"/>
            </w:pPr>
            <w:r>
              <w:rPr>
                <w:b w:val="false"/>
                <w:bCs w:val="false"/>
                <w:color w:val="000000"/>
                <w:sz w:val="17"/>
                <w:szCs w:val="17"/>
              </w:rPr>
              <w:t xml:space="preserve">different CDU</w:t>
            </w:r>
          </w:p>
        </w:tc>
        <w:tc>
          <w:tcPr>
            <w:tcW w:type="dxa" w:w="1542"/>
            <w:tcMar>
              <w:top w:type="dxa" w:w="60"/>
              <w:left w:type="dxa" w:w="90"/>
              <w:bottom w:type="dxa" w:w="60"/>
              <w:right w:type="dxa" w:w="90"/>
            </w:tcMar>
          </w:tcPr>
          <w:p>
            <w:pPr>
              <w:spacing w:after="0" w:line="230"/>
              <w:jc w:val="right"/>
            </w:pPr>
            <w:r>
              <w:rPr>
                <w:b w:val="false"/>
                <w:bCs w:val="false"/>
                <w:color w:val="000000"/>
                <w:sz w:val="17"/>
                <w:szCs w:val="17"/>
              </w:rPr>
              <w:t xml:space="preserve">12,288</w:t>
            </w:r>
          </w:p>
        </w:tc>
        <w:tc>
          <w:tcPr>
            <w:tcW w:type="dxa" w:w="2313"/>
            <w:tcMar>
              <w:top w:type="dxa" w:w="60"/>
              <w:left w:type="dxa" w:w="90"/>
              <w:bottom w:type="dxa" w:w="60"/>
              <w:right w:type="dxa" w:w="90"/>
            </w:tcMar>
          </w:tcPr>
          <w:p>
            <w:pPr>
              <w:spacing w:after="0" w:line="230"/>
              <w:jc w:val="right"/>
            </w:pPr>
            <w:r>
              <w:rPr>
                <w:b w:val="false"/>
                <w:bCs w:val="false"/>
                <w:color w:val="000000"/>
                <w:sz w:val="17"/>
                <w:szCs w:val="17"/>
              </w:rPr>
              <w:t xml:space="preserve">**0.00000</w:t>
            </w:r>
          </w:p>
        </w:tc>
        <w:tc>
          <w:tcPr>
            <w:tcW w:type="dxa" w:w="1928"/>
            <w:tcMar>
              <w:top w:type="dxa" w:w="60"/>
              <w:left w:type="dxa" w:w="90"/>
              <w:bottom w:type="dxa" w:w="60"/>
              <w:right w:type="dxa" w:w="90"/>
            </w:tcMar>
          </w:tcPr>
          <w:p>
            <w:pPr>
              <w:spacing w:after="0" w:line="230"/>
              <w:jc w:val="right"/>
            </w:pPr>
            <w:r>
              <w:rPr>
                <w:b w:val="false"/>
                <w:bCs w:val="false"/>
                <w:color w:val="000000"/>
                <w:sz w:val="17"/>
                <w:szCs w:val="17"/>
              </w:rPr>
              <w:t xml:space="preserve">8.99</w:t>
            </w:r>
          </w:p>
        </w:tc>
      </w:tr>
    </w:tbl>
    <w:p>
      <w:pPr>
        <w:spacing w:after="100"/>
      </w:pPr>
    </w:p>
    <w:p>
      <w:pPr>
        <w:spacing w:after="120" w:line="264"/>
        <w:jc w:val="both"/>
      </w:pPr>
      <w:r>
        <w:rPr>
          <w:color w:val="000000"/>
          <w:sz w:val="20"/>
          <w:szCs w:val="20"/>
        </w:rPr>
        <w:t xml:space="preserve">The most strongly coupled group is not the physically closest. Restricting to racks within one row pitch of each other makes the point sharper: of 1,508 such pairs, the 1,232 on the same CDU couple at 0.01753 K and the </w:t>
      </w:r>
      <w:r>
        <w:rPr>
          <w:b/>
          <w:bCs/>
          <w:color w:val="000000"/>
          <w:sz w:val="20"/>
          <w:szCs w:val="20"/>
        </w:rPr>
        <w:t xml:space="preserve">276 on different CDUs couple at exactly zero</w:t>
      </w:r>
      <w:r>
        <w:rPr>
          <w:color w:val="000000"/>
          <w:sz w:val="20"/>
          <w:szCs w:val="20"/>
        </w:rPr>
        <w:t xml:space="preserve">. Those racks stand side by side and are thermally independent. A k=4 neighbour feature set built on Euclidean distance would select them and learn from channels carrying no signal.</w:t>
      </w:r>
    </w:p>
    <w:p>
      <w:pPr>
        <w:spacing w:after="120" w:line="264"/>
        <w:jc w:val="both"/>
      </w:pPr>
      <w:r>
        <w:rPr>
          <w:color w:val="000000"/>
          <w:sz w:val="20"/>
          <w:szCs w:val="20"/>
        </w:rPr>
        <w:t xml:space="preserve">Over all pairs, coupling correlates with distance at −0.448, while loop topology explains 0.645 of its variance.</w:t>
      </w:r>
    </w:p>
    <w:p>
      <w:pPr>
        <w:spacing w:after="60" w:before="140"/>
        <w:jc w:val="center"/>
      </w:pPr>
      <w:r>
        <w:drawing>
          <wp:inline distT="0" distB="0" distL="0" distR="0">
            <wp:extent cx="5810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695575"/>
                    </a:xfrm>
                    <a:prstGeom prst="rect">
                      <a:avLst/>
                    </a:prstGeom>
                  </pic:spPr>
                </pic:pic>
              </a:graphicData>
            </a:graphic>
          </wp:inline>
        </w:drawing>
      </w:r>
    </w:p>
    <w:p>
      <w:pPr>
        <w:spacing w:after="200" w:line="230"/>
        <w:jc w:val="left"/>
      </w:pPr>
      <w:r>
        <w:rPr>
          <w:b/>
          <w:bCs/>
          <w:color w:val="555555"/>
          <w:sz w:val="17"/>
          <w:szCs w:val="17"/>
        </w:rPr>
        <w:t xml:space="preserve">Figure 5.</w:t>
      </w:r>
      <w:r>
        <w:rPr>
          <w:color w:val="555555"/>
          <w:sz w:val="17"/>
          <w:szCs w:val="17"/>
        </w:rPr>
        <w:t xml:space="preserve"> Left: coupling against physical distance, coloured by hydraulic relationship. The three bands are flat — distance carries almost no information about coupling. Zeros are drawn on the axis floor because the scale is logarithmic. Right: the same values grouped by relationship.</w:t>
      </w:r>
    </w:p>
    <w:p>
      <w:pPr>
        <w:spacing w:after="60" w:before="140"/>
        <w:jc w:val="center"/>
      </w:pPr>
      <w:r>
        <w:drawing>
          <wp:inline distT="0" distB="0" distL="0" distR="0">
            <wp:extent cx="3810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267075"/>
                    </a:xfrm>
                    <a:prstGeom prst="rect">
                      <a:avLst/>
                    </a:prstGeom>
                  </pic:spPr>
                </pic:pic>
              </a:graphicData>
            </a:graphic>
          </wp:inline>
        </w:drawing>
      </w:r>
    </w:p>
    <w:p>
      <w:pPr>
        <w:spacing w:after="200" w:line="230"/>
        <w:jc w:val="left"/>
      </w:pPr>
      <w:r>
        <w:rPr>
          <w:b/>
          <w:bCs/>
          <w:color w:val="555555"/>
          <w:sz w:val="17"/>
          <w:szCs w:val="17"/>
        </w:rPr>
        <w:t xml:space="preserve">Figure 6.</w:t>
      </w:r>
      <w:r>
        <w:rPr>
          <w:color w:val="555555"/>
          <w:sz w:val="17"/>
          <w:szCs w:val="17"/>
        </w:rPr>
        <w:t xml:space="preserve"> The influence matrix with racks ordered by loop, then by manifold position. Four blocks, nothing between them. The triangular shading inside each block is the cross-talk term: upstream racks warm downstream ones and not the reverse. This figure also makes the circularity discussed in Section 9 plain — the black off-diagonal blocks are imposed, not measured.</w:t>
      </w:r>
    </w:p>
    <w:p>
      <w:pPr>
        <w:pStyle w:val="Heading1"/>
        <w:spacing w:after="130" w:before="320"/>
      </w:pPr>
      <w:r>
        <w:rPr>
          <w:b/>
          <w:bCs/>
          <w:color w:val="000000"/>
          <w:sz w:val="26"/>
          <w:szCs w:val="26"/>
        </w:rPr>
        <w:t xml:space="preserve">8.  Operating envelope</w:t>
      </w:r>
    </w:p>
    <w:p>
      <w:pPr>
        <w:spacing w:after="120" w:line="264"/>
        <w:jc w:val="both"/>
      </w:pPr>
      <w:r>
        <w:rPr>
          <w:color w:val="000000"/>
          <w:sz w:val="20"/>
          <w:szCs w:val="20"/>
        </w:rPr>
        <w:t xml:space="preserve">Across the ASHRAE liquid classes W32 to W45. At the cold end the hall has easy margin; at the warm end, where a hall with no mechanical chilling actually runs, the 85 °C case limit binds and pump speed is what saves it.</w:t>
      </w:r>
    </w:p>
    <w:tbl>
      <w:tblPr>
        <w:tblW w:type="dxa" w:w="9638"/>
        <w:tblBorders>
          <w:top w:val="single" w:color="000000" w:sz="8"/>
          <w:left w:val="none" w:color="FFFFFF" w:sz="0"/>
          <w:bottom w:val="single" w:color="000000" w:sz="8"/>
          <w:right w:val="none" w:color="FFFFFF" w:sz="0"/>
          <w:insideH w:val="single" w:color="BBBBBB" w:sz="2"/>
          <w:insideV w:val="none" w:color="FFFFFF" w:sz="0"/>
        </w:tblBorders>
      </w:tblPr>
      <w:tblGrid>
        <w:gridCol w:w="1060"/>
        <w:gridCol w:w="2024"/>
        <w:gridCol w:w="1253"/>
        <w:gridCol w:w="2024"/>
        <w:gridCol w:w="1638"/>
        <w:gridCol w:w="1638"/>
      </w:tblGrid>
      <w:tr>
        <w:trPr>
          <w:tblHeader/>
        </w:trPr>
        <w:tc>
          <w:tcPr>
            <w:tcW w:type="dxa" w:w="1060"/>
            <w:shd w:fill="EFEFEF" w:color="auto" w:val="clear"/>
            <w:tcMar>
              <w:top w:type="dxa" w:w="60"/>
              <w:left w:type="dxa" w:w="90"/>
              <w:bottom w:type="dxa" w:w="60"/>
              <w:right w:type="dxa" w:w="90"/>
            </w:tcMar>
          </w:tcPr>
          <w:p>
            <w:pPr>
              <w:spacing w:after="0" w:line="230"/>
              <w:jc w:val="left"/>
            </w:pPr>
            <w:r>
              <w:rPr>
                <w:b/>
                <w:bCs/>
                <w:color w:val="000000"/>
                <w:sz w:val="17"/>
                <w:szCs w:val="17"/>
              </w:rPr>
              <w:t xml:space="preserve">Load</w:t>
            </w:r>
          </w:p>
        </w:tc>
        <w:tc>
          <w:tcPr>
            <w:tcW w:type="dxa" w:w="2024"/>
            <w:shd w:fill="EFEFEF" w:color="auto" w:val="clear"/>
            <w:tcMar>
              <w:top w:type="dxa" w:w="60"/>
              <w:left w:type="dxa" w:w="90"/>
              <w:bottom w:type="dxa" w:w="60"/>
              <w:right w:type="dxa" w:w="90"/>
            </w:tcMar>
          </w:tcPr>
          <w:p>
            <w:pPr>
              <w:spacing w:after="0" w:line="230"/>
              <w:jc w:val="left"/>
            </w:pPr>
            <w:r>
              <w:rPr>
                <w:b/>
                <w:bCs/>
                <w:color w:val="000000"/>
                <w:sz w:val="17"/>
                <w:szCs w:val="17"/>
              </w:rPr>
              <w:t xml:space="preserve">Facility water</w:t>
            </w:r>
          </w:p>
        </w:tc>
        <w:tc>
          <w:tcPr>
            <w:tcW w:type="dxa" w:w="1253"/>
            <w:shd w:fill="EFEFEF" w:color="auto" w:val="clear"/>
            <w:tcMar>
              <w:top w:type="dxa" w:w="60"/>
              <w:left w:type="dxa" w:w="90"/>
              <w:bottom w:type="dxa" w:w="60"/>
              <w:right w:type="dxa" w:w="90"/>
            </w:tcMar>
          </w:tcPr>
          <w:p>
            <w:pPr>
              <w:spacing w:after="0" w:line="230"/>
              <w:jc w:val="left"/>
            </w:pPr>
            <w:r>
              <w:rPr>
                <w:b/>
                <w:bCs/>
                <w:color w:val="000000"/>
                <w:sz w:val="17"/>
                <w:szCs w:val="17"/>
              </w:rPr>
              <w:t xml:space="preserve">Pumps</w:t>
            </w:r>
          </w:p>
        </w:tc>
        <w:tc>
          <w:tcPr>
            <w:tcW w:type="dxa" w:w="2024"/>
            <w:shd w:fill="EFEFEF" w:color="auto" w:val="clear"/>
            <w:tcMar>
              <w:top w:type="dxa" w:w="60"/>
              <w:left w:type="dxa" w:w="90"/>
              <w:bottom w:type="dxa" w:w="60"/>
              <w:right w:type="dxa" w:w="90"/>
            </w:tcMar>
          </w:tcPr>
          <w:p>
            <w:pPr>
              <w:spacing w:after="0" w:line="230"/>
              <w:jc w:val="right"/>
            </w:pPr>
            <w:r>
              <w:rPr>
                <w:b/>
                <w:bCs/>
                <w:color w:val="000000"/>
                <w:sz w:val="17"/>
                <w:szCs w:val="17"/>
              </w:rPr>
              <w:t xml:space="preserve">Coolant supply</w:t>
            </w:r>
          </w:p>
        </w:tc>
        <w:tc>
          <w:tcPr>
            <w:tcW w:type="dxa" w:w="1638"/>
            <w:shd w:fill="EFEFEF" w:color="auto" w:val="clear"/>
            <w:tcMar>
              <w:top w:type="dxa" w:w="60"/>
              <w:left w:type="dxa" w:w="90"/>
              <w:bottom w:type="dxa" w:w="60"/>
              <w:right w:type="dxa" w:w="90"/>
            </w:tcMar>
          </w:tcPr>
          <w:p>
            <w:pPr>
              <w:spacing w:after="0" w:line="230"/>
              <w:jc w:val="right"/>
            </w:pPr>
            <w:r>
              <w:rPr>
                <w:b/>
                <w:bCs/>
                <w:color w:val="000000"/>
                <w:sz w:val="17"/>
                <w:szCs w:val="17"/>
              </w:rPr>
              <w:t xml:space="preserve">Peak case</w:t>
            </w:r>
          </w:p>
        </w:tc>
        <w:tc>
          <w:tcPr>
            <w:tcW w:type="dxa" w:w="1638"/>
            <w:shd w:fill="EFEFEF" w:color="auto" w:val="clear"/>
            <w:tcMar>
              <w:top w:type="dxa" w:w="60"/>
              <w:left w:type="dxa" w:w="90"/>
              <w:bottom w:type="dxa" w:w="60"/>
              <w:right w:type="dxa" w:w="90"/>
            </w:tcMar>
          </w:tcPr>
          <w:p>
            <w:pPr>
              <w:spacing w:after="0" w:line="230"/>
              <w:jc w:val="left"/>
            </w:pPr>
            <w:r>
              <w:rPr>
                <w:b/>
                <w:bCs/>
                <w:color w:val="000000"/>
                <w:sz w:val="17"/>
                <w:szCs w:val="17"/>
              </w:rPr>
              <w:t xml:space="preserve">Throttling</w:t>
            </w:r>
          </w:p>
        </w:tc>
      </w:tr>
      <w:tr>
        <w:trPr>
          <w:tblHeader w:val="false"/>
        </w:trPr>
        <w:tc>
          <w:tcPr>
            <w:tcW w:type="dxa" w:w="1060"/>
            <w:tcMar>
              <w:top w:type="dxa" w:w="60"/>
              <w:left w:type="dxa" w:w="90"/>
              <w:bottom w:type="dxa" w:w="60"/>
              <w:right w:type="dxa" w:w="90"/>
            </w:tcMar>
          </w:tcPr>
          <w:p>
            <w:pPr>
              <w:spacing w:after="0" w:line="230"/>
              <w:jc w:val="left"/>
            </w:pPr>
            <w:r>
              <w:rPr>
                <w:b w:val="false"/>
                <w:bCs w:val="false"/>
                <w:color w:val="000000"/>
                <w:sz w:val="17"/>
                <w:szCs w:val="17"/>
              </w:rPr>
              <w:t xml:space="preserve">90%</w:t>
            </w:r>
          </w:p>
        </w:tc>
        <w:tc>
          <w:tcPr>
            <w:tcW w:type="dxa" w:w="2024"/>
            <w:tcMar>
              <w:top w:type="dxa" w:w="60"/>
              <w:left w:type="dxa" w:w="90"/>
              <w:bottom w:type="dxa" w:w="60"/>
              <w:right w:type="dxa" w:w="90"/>
            </w:tcMar>
          </w:tcPr>
          <w:p>
            <w:pPr>
              <w:spacing w:after="0" w:line="230"/>
              <w:jc w:val="left"/>
            </w:pPr>
            <w:r>
              <w:rPr>
                <w:b w:val="false"/>
                <w:bCs w:val="false"/>
                <w:color w:val="000000"/>
                <w:sz w:val="17"/>
                <w:szCs w:val="17"/>
              </w:rPr>
              <w:t xml:space="preserve">26 °C</w:t>
            </w:r>
          </w:p>
        </w:tc>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100%</w:t>
            </w:r>
          </w:p>
        </w:tc>
        <w:tc>
          <w:tcPr>
            <w:tcW w:type="dxa" w:w="2024"/>
            <w:tcMar>
              <w:top w:type="dxa" w:w="60"/>
              <w:left w:type="dxa" w:w="90"/>
              <w:bottom w:type="dxa" w:w="60"/>
              <w:right w:type="dxa" w:w="90"/>
            </w:tcMar>
          </w:tcPr>
          <w:p>
            <w:pPr>
              <w:spacing w:after="0" w:line="230"/>
              <w:jc w:val="right"/>
            </w:pPr>
            <w:r>
              <w:rPr>
                <w:b w:val="false"/>
                <w:bCs w:val="false"/>
                <w:color w:val="000000"/>
                <w:sz w:val="17"/>
                <w:szCs w:val="17"/>
              </w:rPr>
              <w:t xml:space="preserve">33.2</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60.4</w:t>
            </w:r>
          </w:p>
        </w:tc>
        <w:tc>
          <w:tcPr>
            <w:tcW w:type="dxa" w:w="1638"/>
            <w:tcMar>
              <w:top w:type="dxa" w:w="60"/>
              <w:left w:type="dxa" w:w="90"/>
              <w:bottom w:type="dxa" w:w="60"/>
              <w:right w:type="dxa" w:w="90"/>
            </w:tcMar>
          </w:tcPr>
          <w:p>
            <w:pPr>
              <w:spacing w:after="0" w:line="230"/>
              <w:jc w:val="left"/>
            </w:pPr>
            <w:r>
              <w:rPr>
                <w:b w:val="false"/>
                <w:bCs w:val="false"/>
                <w:color w:val="000000"/>
                <w:sz w:val="17"/>
                <w:szCs w:val="17"/>
              </w:rPr>
              <w:t xml:space="preserve">no</w:t>
            </w:r>
          </w:p>
        </w:tc>
      </w:tr>
      <w:tr>
        <w:trPr>
          <w:tblHeader w:val="false"/>
        </w:trPr>
        <w:tc>
          <w:tcPr>
            <w:tcW w:type="dxa" w:w="1060"/>
            <w:tcMar>
              <w:top w:type="dxa" w:w="60"/>
              <w:left w:type="dxa" w:w="90"/>
              <w:bottom w:type="dxa" w:w="60"/>
              <w:right w:type="dxa" w:w="90"/>
            </w:tcMar>
          </w:tcPr>
          <w:p>
            <w:pPr>
              <w:spacing w:after="0" w:line="230"/>
              <w:jc w:val="left"/>
            </w:pPr>
            <w:r>
              <w:rPr>
                <w:b w:val="false"/>
                <w:bCs w:val="false"/>
                <w:color w:val="000000"/>
                <w:sz w:val="17"/>
                <w:szCs w:val="17"/>
              </w:rPr>
              <w:t xml:space="preserve">90%</w:t>
            </w:r>
          </w:p>
        </w:tc>
        <w:tc>
          <w:tcPr>
            <w:tcW w:type="dxa" w:w="2024"/>
            <w:tcMar>
              <w:top w:type="dxa" w:w="60"/>
              <w:left w:type="dxa" w:w="90"/>
              <w:bottom w:type="dxa" w:w="60"/>
              <w:right w:type="dxa" w:w="90"/>
            </w:tcMar>
          </w:tcPr>
          <w:p>
            <w:pPr>
              <w:spacing w:after="0" w:line="230"/>
              <w:jc w:val="left"/>
            </w:pPr>
            <w:r>
              <w:rPr>
                <w:b w:val="false"/>
                <w:bCs w:val="false"/>
                <w:color w:val="000000"/>
                <w:sz w:val="17"/>
                <w:szCs w:val="17"/>
              </w:rPr>
              <w:t xml:space="preserve">34 °C</w:t>
            </w:r>
          </w:p>
        </w:tc>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100%</w:t>
            </w:r>
          </w:p>
        </w:tc>
        <w:tc>
          <w:tcPr>
            <w:tcW w:type="dxa" w:w="2024"/>
            <w:tcMar>
              <w:top w:type="dxa" w:w="60"/>
              <w:left w:type="dxa" w:w="90"/>
              <w:bottom w:type="dxa" w:w="60"/>
              <w:right w:type="dxa" w:w="90"/>
            </w:tcMar>
          </w:tcPr>
          <w:p>
            <w:pPr>
              <w:spacing w:after="0" w:line="230"/>
              <w:jc w:val="right"/>
            </w:pPr>
            <w:r>
              <w:rPr>
                <w:b w:val="false"/>
                <w:bCs w:val="false"/>
                <w:color w:val="000000"/>
                <w:sz w:val="17"/>
                <w:szCs w:val="17"/>
              </w:rPr>
              <w:t xml:space="preserve">41.3</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69.5</w:t>
            </w:r>
          </w:p>
        </w:tc>
        <w:tc>
          <w:tcPr>
            <w:tcW w:type="dxa" w:w="1638"/>
            <w:tcMar>
              <w:top w:type="dxa" w:w="60"/>
              <w:left w:type="dxa" w:w="90"/>
              <w:bottom w:type="dxa" w:w="60"/>
              <w:right w:type="dxa" w:w="90"/>
            </w:tcMar>
          </w:tcPr>
          <w:p>
            <w:pPr>
              <w:spacing w:after="0" w:line="230"/>
              <w:jc w:val="left"/>
            </w:pPr>
            <w:r>
              <w:rPr>
                <w:b w:val="false"/>
                <w:bCs w:val="false"/>
                <w:color w:val="000000"/>
                <w:sz w:val="17"/>
                <w:szCs w:val="17"/>
              </w:rPr>
              <w:t xml:space="preserve">no</w:t>
            </w:r>
          </w:p>
        </w:tc>
      </w:tr>
      <w:tr>
        <w:trPr>
          <w:tblHeader w:val="false"/>
        </w:trPr>
        <w:tc>
          <w:tcPr>
            <w:tcW w:type="dxa" w:w="1060"/>
            <w:tcMar>
              <w:top w:type="dxa" w:w="60"/>
              <w:left w:type="dxa" w:w="90"/>
              <w:bottom w:type="dxa" w:w="60"/>
              <w:right w:type="dxa" w:w="90"/>
            </w:tcMar>
          </w:tcPr>
          <w:p>
            <w:pPr>
              <w:spacing w:after="0" w:line="230"/>
              <w:jc w:val="left"/>
            </w:pPr>
            <w:r>
              <w:rPr>
                <w:b w:val="false"/>
                <w:bCs w:val="false"/>
                <w:color w:val="000000"/>
                <w:sz w:val="17"/>
                <w:szCs w:val="17"/>
              </w:rPr>
              <w:t xml:space="preserve">90%</w:t>
            </w:r>
          </w:p>
        </w:tc>
        <w:tc>
          <w:tcPr>
            <w:tcW w:type="dxa" w:w="2024"/>
            <w:tcMar>
              <w:top w:type="dxa" w:w="60"/>
              <w:left w:type="dxa" w:w="90"/>
              <w:bottom w:type="dxa" w:w="60"/>
              <w:right w:type="dxa" w:w="90"/>
            </w:tcMar>
          </w:tcPr>
          <w:p>
            <w:pPr>
              <w:spacing w:after="0" w:line="230"/>
              <w:jc w:val="left"/>
            </w:pPr>
            <w:r>
              <w:rPr>
                <w:b w:val="false"/>
                <w:bCs w:val="false"/>
                <w:color w:val="000000"/>
                <w:sz w:val="17"/>
                <w:szCs w:val="17"/>
              </w:rPr>
              <w:t xml:space="preserve">42 °C</w:t>
            </w:r>
          </w:p>
        </w:tc>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100%</w:t>
            </w:r>
          </w:p>
        </w:tc>
        <w:tc>
          <w:tcPr>
            <w:tcW w:type="dxa" w:w="2024"/>
            <w:tcMar>
              <w:top w:type="dxa" w:w="60"/>
              <w:left w:type="dxa" w:w="90"/>
              <w:bottom w:type="dxa" w:w="60"/>
              <w:right w:type="dxa" w:w="90"/>
            </w:tcMar>
          </w:tcPr>
          <w:p>
            <w:pPr>
              <w:spacing w:after="0" w:line="230"/>
              <w:jc w:val="right"/>
            </w:pPr>
            <w:r>
              <w:rPr>
                <w:b w:val="false"/>
                <w:bCs w:val="false"/>
                <w:color w:val="000000"/>
                <w:sz w:val="17"/>
                <w:szCs w:val="17"/>
              </w:rPr>
              <w:t xml:space="preserve">49.5</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78.6</w:t>
            </w:r>
          </w:p>
        </w:tc>
        <w:tc>
          <w:tcPr>
            <w:tcW w:type="dxa" w:w="1638"/>
            <w:tcMar>
              <w:top w:type="dxa" w:w="60"/>
              <w:left w:type="dxa" w:w="90"/>
              <w:bottom w:type="dxa" w:w="60"/>
              <w:right w:type="dxa" w:w="90"/>
            </w:tcMar>
          </w:tcPr>
          <w:p>
            <w:pPr>
              <w:spacing w:after="0" w:line="230"/>
              <w:jc w:val="left"/>
            </w:pPr>
            <w:r>
              <w:rPr>
                <w:b w:val="false"/>
                <w:bCs w:val="false"/>
                <w:color w:val="000000"/>
                <w:sz w:val="17"/>
                <w:szCs w:val="17"/>
              </w:rPr>
              <w:t xml:space="preserve">no</w:t>
            </w:r>
          </w:p>
        </w:tc>
      </w:tr>
      <w:tr>
        <w:trPr>
          <w:tblHeader w:val="false"/>
        </w:trPr>
        <w:tc>
          <w:tcPr>
            <w:tcW w:type="dxa" w:w="1060"/>
            <w:tcMar>
              <w:top w:type="dxa" w:w="60"/>
              <w:left w:type="dxa" w:w="90"/>
              <w:bottom w:type="dxa" w:w="60"/>
              <w:right w:type="dxa" w:w="90"/>
            </w:tcMar>
          </w:tcPr>
          <w:p>
            <w:pPr>
              <w:spacing w:after="0" w:line="230"/>
              <w:jc w:val="left"/>
            </w:pPr>
            <w:r>
              <w:rPr>
                <w:b w:val="false"/>
                <w:bCs w:val="false"/>
                <w:color w:val="000000"/>
                <w:sz w:val="17"/>
                <w:szCs w:val="17"/>
              </w:rPr>
              <w:t xml:space="preserve">100%</w:t>
            </w:r>
          </w:p>
        </w:tc>
        <w:tc>
          <w:tcPr>
            <w:tcW w:type="dxa" w:w="2024"/>
            <w:tcMar>
              <w:top w:type="dxa" w:w="60"/>
              <w:left w:type="dxa" w:w="90"/>
              <w:bottom w:type="dxa" w:w="60"/>
              <w:right w:type="dxa" w:w="90"/>
            </w:tcMar>
          </w:tcPr>
          <w:p>
            <w:pPr>
              <w:spacing w:after="0" w:line="230"/>
              <w:jc w:val="left"/>
            </w:pPr>
            <w:r>
              <w:rPr>
                <w:b w:val="false"/>
                <w:bCs w:val="false"/>
                <w:color w:val="000000"/>
                <w:sz w:val="17"/>
                <w:szCs w:val="17"/>
              </w:rPr>
              <w:t xml:space="preserve">42 °C</w:t>
            </w:r>
          </w:p>
        </w:tc>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80%</w:t>
            </w:r>
          </w:p>
        </w:tc>
        <w:tc>
          <w:tcPr>
            <w:tcW w:type="dxa" w:w="2024"/>
            <w:tcMar>
              <w:top w:type="dxa" w:w="60"/>
              <w:left w:type="dxa" w:w="90"/>
              <w:bottom w:type="dxa" w:w="60"/>
              <w:right w:type="dxa" w:w="90"/>
            </w:tcMar>
          </w:tcPr>
          <w:p>
            <w:pPr>
              <w:spacing w:after="0" w:line="230"/>
              <w:jc w:val="right"/>
            </w:pPr>
            <w:r>
              <w:rPr>
                <w:b w:val="false"/>
                <w:bCs w:val="false"/>
                <w:color w:val="000000"/>
                <w:sz w:val="17"/>
                <w:szCs w:val="17"/>
              </w:rPr>
              <w:t xml:space="preserve">50.0</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84.6</w:t>
            </w:r>
          </w:p>
        </w:tc>
        <w:tc>
          <w:tcPr>
            <w:tcW w:type="dxa" w:w="1638"/>
            <w:tcMar>
              <w:top w:type="dxa" w:w="60"/>
              <w:left w:type="dxa" w:w="90"/>
              <w:bottom w:type="dxa" w:w="60"/>
              <w:right w:type="dxa" w:w="90"/>
            </w:tcMar>
          </w:tcPr>
          <w:p>
            <w:pPr>
              <w:spacing w:after="0" w:line="230"/>
              <w:jc w:val="left"/>
            </w:pPr>
            <w:r>
              <w:rPr>
                <w:b w:val="false"/>
                <w:bCs w:val="false"/>
                <w:color w:val="000000"/>
                <w:sz w:val="17"/>
                <w:szCs w:val="17"/>
              </w:rPr>
              <w:t xml:space="preserve">no</w:t>
            </w:r>
          </w:p>
        </w:tc>
      </w:tr>
      <w:tr>
        <w:trPr>
          <w:tblHeader w:val="false"/>
        </w:trPr>
        <w:tc>
          <w:tcPr>
            <w:tcW w:type="dxa" w:w="1060"/>
            <w:tcMar>
              <w:top w:type="dxa" w:w="60"/>
              <w:left w:type="dxa" w:w="90"/>
              <w:bottom w:type="dxa" w:w="60"/>
              <w:right w:type="dxa" w:w="90"/>
            </w:tcMar>
          </w:tcPr>
          <w:p>
            <w:pPr>
              <w:spacing w:after="0" w:line="230"/>
              <w:jc w:val="left"/>
            </w:pPr>
            <w:r>
              <w:rPr>
                <w:b w:val="false"/>
                <w:bCs w:val="false"/>
                <w:color w:val="000000"/>
                <w:sz w:val="17"/>
                <w:szCs w:val="17"/>
              </w:rPr>
              <w:t xml:space="preserve">100%</w:t>
            </w:r>
          </w:p>
        </w:tc>
        <w:tc>
          <w:tcPr>
            <w:tcW w:type="dxa" w:w="2024"/>
            <w:tcMar>
              <w:top w:type="dxa" w:w="60"/>
              <w:left w:type="dxa" w:w="90"/>
              <w:bottom w:type="dxa" w:w="60"/>
              <w:right w:type="dxa" w:w="90"/>
            </w:tcMar>
          </w:tcPr>
          <w:p>
            <w:pPr>
              <w:spacing w:after="0" w:line="230"/>
              <w:jc w:val="left"/>
            </w:pPr>
            <w:r>
              <w:rPr>
                <w:b w:val="false"/>
                <w:bCs w:val="false"/>
                <w:color w:val="000000"/>
                <w:sz w:val="17"/>
                <w:szCs w:val="17"/>
              </w:rPr>
              <w:t xml:space="preserve">42 °C</w:t>
            </w:r>
          </w:p>
        </w:tc>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55%</w:t>
            </w:r>
          </w:p>
        </w:tc>
        <w:tc>
          <w:tcPr>
            <w:tcW w:type="dxa" w:w="2024"/>
            <w:tcMar>
              <w:top w:type="dxa" w:w="60"/>
              <w:left w:type="dxa" w:w="90"/>
              <w:bottom w:type="dxa" w:w="60"/>
              <w:right w:type="dxa" w:w="90"/>
            </w:tcMar>
          </w:tcPr>
          <w:p>
            <w:pPr>
              <w:spacing w:after="0" w:line="230"/>
              <w:jc w:val="right"/>
            </w:pPr>
            <w:r>
              <w:rPr>
                <w:b w:val="false"/>
                <w:bCs w:val="false"/>
                <w:color w:val="000000"/>
                <w:sz w:val="17"/>
                <w:szCs w:val="17"/>
              </w:rPr>
              <w:t xml:space="preserve">50.1</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**91.1</w:t>
            </w:r>
          </w:p>
        </w:tc>
        <w:tc>
          <w:tcPr>
            <w:tcW w:type="dxa" w:w="1638"/>
            <w:tcMar>
              <w:top w:type="dxa" w:w="60"/>
              <w:left w:type="dxa" w:w="90"/>
              <w:bottom w:type="dxa" w:w="60"/>
              <w:right w:type="dxa" w:w="90"/>
            </w:tcMar>
          </w:tcPr>
          <w:p>
            <w:pPr>
              <w:spacing w:after="0" w:line="230"/>
              <w:jc w:val="left"/>
            </w:pPr>
            <w:r>
              <w:rPr>
                <w:b w:val="false"/>
                <w:bCs w:val="false"/>
                <w:color w:val="000000"/>
                <w:sz w:val="17"/>
                <w:szCs w:val="17"/>
              </w:rPr>
              <w:t xml:space="preserve">**yes</w:t>
            </w:r>
          </w:p>
        </w:tc>
      </w:tr>
      <w:tr>
        <w:trPr>
          <w:tblHeader w:val="false"/>
        </w:trPr>
        <w:tc>
          <w:tcPr>
            <w:tcW w:type="dxa" w:w="1060"/>
            <w:tcMar>
              <w:top w:type="dxa" w:w="60"/>
              <w:left w:type="dxa" w:w="90"/>
              <w:bottom w:type="dxa" w:w="60"/>
              <w:right w:type="dxa" w:w="90"/>
            </w:tcMar>
          </w:tcPr>
          <w:p>
            <w:pPr>
              <w:spacing w:after="0" w:line="230"/>
              <w:jc w:val="left"/>
            </w:pPr>
            <w:r>
              <w:rPr>
                <w:b w:val="false"/>
                <w:bCs w:val="false"/>
                <w:color w:val="000000"/>
                <w:sz w:val="17"/>
                <w:szCs w:val="17"/>
              </w:rPr>
              <w:t xml:space="preserve">60%</w:t>
            </w:r>
          </w:p>
        </w:tc>
        <w:tc>
          <w:tcPr>
            <w:tcW w:type="dxa" w:w="2024"/>
            <w:tcMar>
              <w:top w:type="dxa" w:w="60"/>
              <w:left w:type="dxa" w:w="90"/>
              <w:bottom w:type="dxa" w:w="60"/>
              <w:right w:type="dxa" w:w="90"/>
            </w:tcMar>
          </w:tcPr>
          <w:p>
            <w:pPr>
              <w:spacing w:after="0" w:line="230"/>
              <w:jc w:val="left"/>
            </w:pPr>
            <w:r>
              <w:rPr>
                <w:b w:val="false"/>
                <w:bCs w:val="false"/>
                <w:color w:val="000000"/>
                <w:sz w:val="17"/>
                <w:szCs w:val="17"/>
              </w:rPr>
              <w:t xml:space="preserve">42 °C</w:t>
            </w:r>
          </w:p>
        </w:tc>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55%</w:t>
            </w:r>
          </w:p>
        </w:tc>
        <w:tc>
          <w:tcPr>
            <w:tcW w:type="dxa" w:w="2024"/>
            <w:tcMar>
              <w:top w:type="dxa" w:w="60"/>
              <w:left w:type="dxa" w:w="90"/>
              <w:bottom w:type="dxa" w:w="60"/>
              <w:right w:type="dxa" w:w="90"/>
            </w:tcMar>
          </w:tcPr>
          <w:p>
            <w:pPr>
              <w:spacing w:after="0" w:line="230"/>
              <w:jc w:val="right"/>
            </w:pPr>
            <w:r>
              <w:rPr>
                <w:b w:val="false"/>
                <w:bCs w:val="false"/>
                <w:color w:val="000000"/>
                <w:sz w:val="17"/>
                <w:szCs w:val="17"/>
              </w:rPr>
              <w:t xml:space="preserve">48.4</w:t>
            </w:r>
          </w:p>
        </w:tc>
        <w:tc>
          <w:tcPr>
            <w:tcW w:type="dxa" w:w="1638"/>
            <w:tcMar>
              <w:top w:type="dxa" w:w="60"/>
              <w:left w:type="dxa" w:w="90"/>
              <w:bottom w:type="dxa" w:w="60"/>
              <w:right w:type="dxa" w:w="90"/>
            </w:tcMar>
          </w:tcPr>
          <w:p>
            <w:pPr>
              <w:spacing w:after="0" w:line="230"/>
              <w:jc w:val="right"/>
            </w:pPr>
            <w:r>
              <w:rPr>
                <w:b w:val="false"/>
                <w:bCs w:val="false"/>
                <w:color w:val="000000"/>
                <w:sz w:val="17"/>
                <w:szCs w:val="17"/>
              </w:rPr>
              <w:t xml:space="preserve">77.6</w:t>
            </w:r>
          </w:p>
        </w:tc>
        <w:tc>
          <w:tcPr>
            <w:tcW w:type="dxa" w:w="1638"/>
            <w:tcMar>
              <w:top w:type="dxa" w:w="60"/>
              <w:left w:type="dxa" w:w="90"/>
              <w:bottom w:type="dxa" w:w="60"/>
              <w:right w:type="dxa" w:w="90"/>
            </w:tcMar>
          </w:tcPr>
          <w:p>
            <w:pPr>
              <w:spacing w:after="0" w:line="230"/>
              <w:jc w:val="left"/>
            </w:pPr>
            <w:r>
              <w:rPr>
                <w:b w:val="false"/>
                <w:bCs w:val="false"/>
                <w:color w:val="000000"/>
                <w:sz w:val="17"/>
                <w:szCs w:val="17"/>
              </w:rPr>
              <w:t xml:space="preserve">no</w:t>
            </w:r>
          </w:p>
        </w:tc>
      </w:tr>
    </w:tbl>
    <w:p>
      <w:pPr>
        <w:spacing w:after="100"/>
      </w:pPr>
    </w:p>
    <w:p>
      <w:pPr>
        <w:spacing w:after="120" w:line="264"/>
        <w:jc w:val="both"/>
      </w:pPr>
      <w:r>
        <w:rPr>
          <w:color w:val="000000"/>
          <w:sz w:val="20"/>
          <w:szCs w:val="20"/>
        </w:rPr>
        <w:t xml:space="preserve">This gives the cooling controller two levers with different costs, which the air hall did not have. Facility water temperature is slow and plant-wide. Pump speed is fast, per-loop, and moves chip temperature through the cold plate's convective coefficient without moving the coolant supply at the head of a branch at all.</w:t>
      </w:r>
    </w:p>
    <w:p>
      <w:pPr>
        <w:spacing w:after="60" w:before="140"/>
        <w:jc w:val="center"/>
      </w:pPr>
      <w:r>
        <w:drawing>
          <wp:inline distT="0" distB="0" distL="0" distR="0">
            <wp:extent cx="5810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800350"/>
                    </a:xfrm>
                    <a:prstGeom prst="rect">
                      <a:avLst/>
                    </a:prstGeom>
                  </pic:spPr>
                </pic:pic>
              </a:graphicData>
            </a:graphic>
          </wp:inline>
        </w:drawing>
      </w:r>
    </w:p>
    <w:p>
      <w:pPr>
        <w:spacing w:after="200" w:line="230"/>
        <w:jc w:val="left"/>
      </w:pPr>
      <w:r>
        <w:rPr>
          <w:b/>
          <w:bCs/>
          <w:color w:val="555555"/>
          <w:sz w:val="17"/>
          <w:szCs w:val="17"/>
        </w:rPr>
        <w:t xml:space="preserve">Figure 7.</w:t>
      </w:r>
      <w:r>
        <w:rPr>
          <w:color w:val="555555"/>
          <w:sz w:val="17"/>
          <w:szCs w:val="17"/>
        </w:rPr>
        <w:t xml:space="preserve"> Peak chip case temperature at full load across the warm-water band, by pump speed. The curves are nearly parallel, so a hall can trade pumping energy against how warm its facility water is allowed to run.</w:t>
      </w:r>
    </w:p>
    <w:p>
      <w:r>
        <w:br w:type="page"/>
      </w:r>
    </w:p>
    <w:p>
      <w:pPr>
        <w:pStyle w:val="Heading1"/>
        <w:pBdr>
          <w:bottom w:val="single" w:color="000000" w:sz="12" w:space="6"/>
        </w:pBdr>
        <w:spacing w:after="60" w:before="200"/>
      </w:pPr>
      <w:r>
        <w:rPr>
          <w:b/>
          <w:bCs/>
          <w:color w:val="000000"/>
          <w:sz w:val="30"/>
          <w:szCs w:val="30"/>
        </w:rPr>
        <w:t xml:space="preserve">Part III  ·  Provenance and open items</w:t>
      </w:r>
    </w:p>
    <w:p>
      <w:pPr>
        <w:spacing w:after="200"/>
      </w:pPr>
      <w:r>
        <w:rPr>
          <w:i/>
          <w:iCs/>
          <w:color w:val="555555"/>
          <w:sz w:val="21"/>
          <w:szCs w:val="21"/>
        </w:rPr>
        <w:t xml:space="preserve">What is real, what is not, and what has to happen before any of this is a claim</w:t>
      </w:r>
    </w:p>
    <w:p>
      <w:pPr>
        <w:pStyle w:val="Heading1"/>
        <w:spacing w:after="130" w:before="320"/>
      </w:pPr>
      <w:r>
        <w:rPr>
          <w:b/>
          <w:bCs/>
          <w:color w:val="000000"/>
          <w:sz w:val="26"/>
          <w:szCs w:val="26"/>
        </w:rPr>
        <w:t xml:space="preserve">9.  What is and is not real</w:t>
      </w:r>
    </w:p>
    <w:p>
      <w:pPr>
        <w:spacing w:after="120" w:line="264"/>
        <w:jc w:val="both"/>
      </w:pPr>
      <w:r>
        <w:rPr>
          <w:b/>
          <w:bCs/>
          <w:color w:val="000000"/>
          <w:sz w:val="20"/>
          <w:szCs w:val="20"/>
        </w:rPr>
        <w:t xml:space="preserve">No part of either thermal model comes from a real data centre.</w:t>
      </w:r>
      <w:r>
        <w:rPr>
          <w:color w:val="000000"/>
          <w:sz w:val="20"/>
          <w:szCs w:val="20"/>
        </w:rPr>
        <w:t xml:space="preserve"> The only measured data anywhere in this project is the Alibaba PAI GPU workload trace: 100,000 real jobs over 289.8 hours. Every thermal number in Parts I and II is ours.</w:t>
      </w:r>
    </w:p>
    <w:p>
      <w:pPr>
        <w:spacing w:after="120" w:line="264"/>
        <w:jc w:val="both"/>
      </w:pPr>
      <w:r>
        <w:rPr>
          <w:color w:val="000000"/>
          <w:sz w:val="20"/>
          <w:szCs w:val="20"/>
        </w:rPr>
        <w:t xml:space="preserve">The liquid model carries a sharper version of this problem. Its headline result — that racks on different coolant loops show exactly zero coupling — is not a discovery. It is a consequence of how the model is written: the CDU approach temperature is a function of that CDU's own duty, so racks on different loops cannot influence each other, and the probe then measures that they do not. A reviewer will see this immediately.</w:t>
      </w:r>
    </w:p>
    <w:p>
      <w:pPr>
        <w:spacing w:after="120" w:line="264"/>
        <w:jc w:val="both"/>
      </w:pPr>
      <w:r>
        <w:rPr>
          <w:color w:val="000000"/>
          <w:sz w:val="20"/>
          <w:szCs w:val="20"/>
        </w:rPr>
        <w:t xml:space="preserve">The air twin is less circular in this respect. There, D = K⁻¹[(I − Aᵀ)⁻¹ − I] produced multi-hop coupling that was never specified: the 70 / 21 / 6 % hop profile emerged from a matrix inverse over a local kernel. The liquid model has much less of that. Its one genuinely emergent part is the ordering within a branch produced by manifold cross-talk, which is why loop topology explains 0.645 of the coupling variance rather than 1.000.</w:t>
      </w:r>
    </w:p>
    <w:tbl>
      <w:tblPr>
        <w:tblW w:type="dxa" w:w="9638"/>
        <w:tblBorders>
          <w:top w:val="single" w:color="000000" w:sz="8"/>
          <w:left w:val="none" w:color="FFFFFF" w:sz="0"/>
          <w:bottom w:val="single" w:color="000000" w:sz="8"/>
          <w:right w:val="none" w:color="FFFFFF" w:sz="0"/>
          <w:insideH w:val="single" w:color="BBBBBB" w:sz="2"/>
          <w:insideV w:val="none" w:color="FFFFFF" w:sz="0"/>
        </w:tblBorders>
      </w:tblPr>
      <w:tblGrid>
        <w:gridCol w:w="1253"/>
        <w:gridCol w:w="6072"/>
        <w:gridCol w:w="2313"/>
      </w:tblGrid>
      <w:tr>
        <w:trPr>
          <w:tblHeader/>
        </w:trPr>
        <w:tc>
          <w:tcPr>
            <w:tcW w:type="dxa" w:w="1253"/>
            <w:shd w:fill="EFEFEF" w:color="auto" w:val="clear"/>
            <w:tcMar>
              <w:top w:type="dxa" w:w="60"/>
              <w:left w:type="dxa" w:w="90"/>
              <w:bottom w:type="dxa" w:w="60"/>
              <w:right w:type="dxa" w:w="90"/>
            </w:tcMar>
          </w:tcPr>
          <w:p>
            <w:pPr>
              <w:spacing w:after="0" w:line="230"/>
              <w:jc w:val="left"/>
            </w:pPr>
            <w:r>
              <w:rPr>
                <w:b/>
                <w:bCs/>
                <w:color w:val="000000"/>
                <w:sz w:val="17"/>
                <w:szCs w:val="17"/>
              </w:rPr>
              <w:t xml:space="preserve">Tier</w:t>
            </w:r>
          </w:p>
        </w:tc>
        <w:tc>
          <w:tcPr>
            <w:tcW w:type="dxa" w:w="6072"/>
            <w:shd w:fill="EFEFEF" w:color="auto" w:val="clear"/>
            <w:tcMar>
              <w:top w:type="dxa" w:w="60"/>
              <w:left w:type="dxa" w:w="90"/>
              <w:bottom w:type="dxa" w:w="60"/>
              <w:right w:type="dxa" w:w="90"/>
            </w:tcMar>
          </w:tcPr>
          <w:p>
            <w:pPr>
              <w:spacing w:after="0" w:line="230"/>
              <w:jc w:val="left"/>
            </w:pPr>
            <w:r>
              <w:rPr>
                <w:b/>
                <w:bCs/>
                <w:color w:val="000000"/>
                <w:sz w:val="17"/>
                <w:szCs w:val="17"/>
              </w:rPr>
              <w:t xml:space="preserve">What</w:t>
            </w:r>
          </w:p>
        </w:tc>
        <w:tc>
          <w:tcPr>
            <w:tcW w:type="dxa" w:w="2313"/>
            <w:shd w:fill="EFEFEF" w:color="auto" w:val="clear"/>
            <w:tcMar>
              <w:top w:type="dxa" w:w="60"/>
              <w:left w:type="dxa" w:w="90"/>
              <w:bottom w:type="dxa" w:w="60"/>
              <w:right w:type="dxa" w:w="90"/>
            </w:tcMar>
          </w:tcPr>
          <w:p>
            <w:pPr>
              <w:spacing w:after="0" w:line="230"/>
              <w:jc w:val="left"/>
            </w:pPr>
            <w:r>
              <w:rPr>
                <w:b/>
                <w:bCs/>
                <w:color w:val="000000"/>
                <w:sz w:val="17"/>
                <w:szCs w:val="17"/>
              </w:rPr>
              <w:t xml:space="preserve">Status</w:t>
            </w:r>
          </w:p>
        </w:tc>
      </w:tr>
      <w:tr>
        <w:trPr>
          <w:tblHeader w:val="false"/>
        </w:trPr>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Measured</w:t>
            </w:r>
          </w:p>
        </w:tc>
        <w:tc>
          <w:tcPr>
            <w:tcW w:type="dxa" w:w="6072"/>
            <w:tcMar>
              <w:top w:type="dxa" w:w="60"/>
              <w:left w:type="dxa" w:w="90"/>
              <w:bottom w:type="dxa" w:w="60"/>
              <w:right w:type="dxa" w:w="90"/>
            </w:tcMar>
          </w:tcPr>
          <w:p>
            <w:pPr>
              <w:spacing w:after="0" w:line="230"/>
              <w:jc w:val="left"/>
            </w:pPr>
            <w:r>
              <w:rPr>
                <w:b w:val="false"/>
                <w:bCs w:val="false"/>
                <w:color w:val="000000"/>
                <w:sz w:val="17"/>
                <w:szCs w:val="17"/>
              </w:rPr>
              <w:t xml:space="preserve">Alibaba PAI GPU workload trace, 100,000 jobs over 289.8 h</w:t>
            </w:r>
          </w:p>
        </w:tc>
        <w:tc>
          <w:tcPr>
            <w:tcW w:type="dxa" w:w="2313"/>
            <w:tcMar>
              <w:top w:type="dxa" w:w="60"/>
              <w:left w:type="dxa" w:w="90"/>
              <w:bottom w:type="dxa" w:w="60"/>
              <w:right w:type="dxa" w:w="90"/>
            </w:tcMar>
          </w:tcPr>
          <w:p>
            <w:pPr>
              <w:spacing w:after="0" w:line="230"/>
              <w:jc w:val="left"/>
            </w:pPr>
            <w:r>
              <w:rPr>
                <w:b w:val="false"/>
                <w:bCs w:val="false"/>
                <w:color w:val="000000"/>
                <w:sz w:val="17"/>
                <w:szCs w:val="17"/>
              </w:rPr>
              <w:t xml:space="preserve">real</w:t>
            </w:r>
          </w:p>
        </w:tc>
      </w:tr>
      <w:tr>
        <w:trPr>
          <w:tblHeader w:val="false"/>
        </w:trPr>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Structural</w:t>
            </w:r>
          </w:p>
        </w:tc>
        <w:tc>
          <w:tcPr>
            <w:tcW w:type="dxa" w:w="6072"/>
            <w:tcMar>
              <w:top w:type="dxa" w:w="60"/>
              <w:left w:type="dxa" w:w="90"/>
              <w:bottom w:type="dxa" w:w="60"/>
              <w:right w:type="dxa" w:w="90"/>
            </w:tcMar>
          </w:tcPr>
          <w:p>
            <w:pPr>
              <w:spacing w:after="0" w:line="230"/>
              <w:jc w:val="left"/>
            </w:pPr>
            <w:r>
              <w:rPr>
                <w:b w:val="false"/>
                <w:bCs w:val="false"/>
                <w:color w:val="000000"/>
                <w:sz w:val="17"/>
                <w:szCs w:val="17"/>
              </w:rPr>
              <w:t xml:space="preserve">CDU / branch manifold / cold plate architecture; the roughly 80:20 liquid-air heat split; ASHRAE W32–W45 liquid classes; ~77 kW racks and an 85 °C case limit; hot-aisle/cold-aisle geometry and ASHRAE A1 air limits</w:t>
            </w:r>
          </w:p>
        </w:tc>
        <w:tc>
          <w:tcPr>
            <w:tcW w:type="dxa" w:w="2313"/>
            <w:tcMar>
              <w:top w:type="dxa" w:w="60"/>
              <w:left w:type="dxa" w:w="90"/>
              <w:bottom w:type="dxa" w:w="60"/>
              <w:right w:type="dxa" w:w="90"/>
            </w:tcMar>
          </w:tcPr>
          <w:p>
            <w:pPr>
              <w:spacing w:after="0" w:line="230"/>
              <w:jc w:val="left"/>
            </w:pPr>
            <w:r>
              <w:rPr>
                <w:b w:val="false"/>
                <w:bCs w:val="false"/>
                <w:color w:val="000000"/>
                <w:sz w:val="17"/>
                <w:szCs w:val="17"/>
              </w:rPr>
              <w:t xml:space="preserve">real, uncited</w:t>
            </w:r>
          </w:p>
        </w:tc>
      </w:tr>
      <w:tr>
        <w:trPr>
          <w:tblHeader w:val="false"/>
        </w:trPr>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Plausible</w:t>
            </w:r>
          </w:p>
        </w:tc>
        <w:tc>
          <w:tcPr>
            <w:tcW w:type="dxa" w:w="6072"/>
            <w:tcMar>
              <w:top w:type="dxa" w:w="60"/>
              <w:left w:type="dxa" w:w="90"/>
              <w:bottom w:type="dxa" w:w="60"/>
              <w:right w:type="dxa" w:w="90"/>
            </w:tcMar>
          </w:tcPr>
          <w:p>
            <w:pPr>
              <w:spacing w:after="0" w:line="230"/>
              <w:jc w:val="left"/>
            </w:pPr>
            <w:r>
              <w:rPr>
                <w:b w:val="false"/>
                <w:bCs w:val="false"/>
                <w:color w:val="000000"/>
                <w:sz w:val="17"/>
                <w:szCs w:val="17"/>
              </w:rPr>
              <w:t xml:space="preserve">Air: recirculation decay length, escape fraction, 60 s time constant. Liquid: design ΔT 12 K, 90 L/min per rack, CDU approach 2–8 K. Inside published ranges, but not read off a datasheet and not fitted to anything</w:t>
            </w:r>
          </w:p>
        </w:tc>
        <w:tc>
          <w:tcPr>
            <w:tcW w:type="dxa" w:w="2313"/>
            <w:tcMar>
              <w:top w:type="dxa" w:w="60"/>
              <w:left w:type="dxa" w:w="90"/>
              <w:bottom w:type="dxa" w:w="60"/>
              <w:right w:type="dxa" w:w="90"/>
            </w:tcMar>
          </w:tcPr>
          <w:p>
            <w:pPr>
              <w:spacing w:after="0" w:line="230"/>
              <w:jc w:val="left"/>
            </w:pPr>
            <w:r>
              <w:rPr>
                <w:b w:val="false"/>
                <w:bCs w:val="false"/>
                <w:color w:val="000000"/>
                <w:sz w:val="17"/>
                <w:szCs w:val="17"/>
              </w:rPr>
              <w:t xml:space="preserve">unvalidated</w:t>
            </w:r>
          </w:p>
        </w:tc>
      </w:tr>
      <w:tr>
        <w:trPr>
          <w:tblHeader w:val="false"/>
        </w:trPr>
        <w:tc>
          <w:tcPr>
            <w:tcW w:type="dxa" w:w="1253"/>
            <w:tcMar>
              <w:top w:type="dxa" w:w="60"/>
              <w:left w:type="dxa" w:w="90"/>
              <w:bottom w:type="dxa" w:w="60"/>
              <w:right w:type="dxa" w:w="90"/>
            </w:tcMar>
          </w:tcPr>
          <w:p>
            <w:pPr>
              <w:spacing w:after="0" w:line="230"/>
              <w:jc w:val="left"/>
            </w:pPr>
            <w:r>
              <w:rPr>
                <w:b w:val="false"/>
                <w:bCs w:val="false"/>
                <w:color w:val="000000"/>
                <w:sz w:val="17"/>
                <w:szCs w:val="17"/>
              </w:rPr>
              <w:t xml:space="preserve">Invented</w:t>
            </w:r>
          </w:p>
        </w:tc>
        <w:tc>
          <w:tcPr>
            <w:tcW w:type="dxa" w:w="6072"/>
            <w:tcMar>
              <w:top w:type="dxa" w:w="60"/>
              <w:left w:type="dxa" w:w="90"/>
              <w:bottom w:type="dxa" w:w="60"/>
              <w:right w:type="dxa" w:w="90"/>
            </w:tcMar>
          </w:tcPr>
          <w:p>
            <w:pPr>
              <w:spacing w:after="0" w:line="230"/>
              <w:jc w:val="left"/>
            </w:pPr>
            <w:r>
              <w:rPr>
                <w:b w:val="false"/>
                <w:bCs w:val="false"/>
                <w:color w:val="000000"/>
                <w:sz w:val="17"/>
                <w:szCs w:val="17"/>
              </w:rPr>
              <w:t xml:space="preserve">manifold</w:t>
            </w:r>
            <w:r>
              <w:rPr>
                <w:b w:val="false"/>
                <w:bCs w:val="false"/>
                <w:i/>
                <w:iCs/>
                <w:color w:val="000000"/>
                <w:sz w:val="17"/>
                <w:szCs w:val="17"/>
              </w:rPr>
              <w:t xml:space="preserve">crosstalk 0.16; flow</w:t>
            </w:r>
            <w:r>
              <w:rPr>
                <w:b w:val="false"/>
                <w:bCs w:val="false"/>
                <w:color w:val="000000"/>
                <w:sz w:val="17"/>
                <w:szCs w:val="17"/>
              </w:rPr>
              <w:t xml:space="preserve">droop</w:t>
            </w:r>
            <w:r>
              <w:rPr>
                <w:b w:val="false"/>
                <w:bCs w:val="false"/>
                <w:i/>
                <w:iCs/>
                <w:color w:val="000000"/>
                <w:sz w:val="17"/>
                <w:szCs w:val="17"/>
              </w:rPr>
              <w:t xml:space="preserve">per</w:t>
            </w:r>
            <w:r>
              <w:rPr>
                <w:b w:val="false"/>
                <w:bCs w:val="false"/>
                <w:color w:val="000000"/>
                <w:sz w:val="17"/>
                <w:szCs w:val="17"/>
              </w:rPr>
              <w:t xml:space="preserve">m 0.006; cdu</w:t>
            </w:r>
            <w:r>
              <w:rPr>
                <w:b w:val="false"/>
                <w:bCs w:val="false"/>
                <w:i/>
                <w:iCs/>
                <w:color w:val="000000"/>
                <w:sz w:val="17"/>
                <w:szCs w:val="17"/>
              </w:rPr>
              <w:t xml:space="preserve">approach</w:t>
            </w:r>
            <w:r>
              <w:rPr>
                <w:b w:val="false"/>
                <w:bCs w:val="false"/>
                <w:color w:val="000000"/>
                <w:sz w:val="17"/>
                <w:szCs w:val="17"/>
              </w:rPr>
              <w:t xml:space="preserve">gain 3.0; case</w:t>
            </w:r>
            <w:r>
              <w:rPr>
                <w:b w:val="false"/>
                <w:bCs w:val="false"/>
                <w:i/>
                <w:iCs/>
                <w:color w:val="000000"/>
                <w:sz w:val="17"/>
                <w:szCs w:val="17"/>
              </w:rPr>
              <w:t xml:space="preserve">flow</w:t>
            </w:r>
            <w:r>
              <w:rPr>
                <w:b w:val="false"/>
                <w:bCs w:val="false"/>
                <w:color w:val="000000"/>
                <w:sz w:val="17"/>
                <w:szCs w:val="17"/>
              </w:rPr>
              <w:t xml:space="preserve">exponent 0.40; the air kernel's directional weights</w:t>
            </w:r>
          </w:p>
        </w:tc>
        <w:tc>
          <w:tcPr>
            <w:tcW w:type="dxa" w:w="2313"/>
            <w:tcMar>
              <w:top w:type="dxa" w:w="60"/>
              <w:left w:type="dxa" w:w="90"/>
              <w:bottom w:type="dxa" w:w="60"/>
              <w:right w:type="dxa" w:w="90"/>
            </w:tcMar>
          </w:tcPr>
          <w:p>
            <w:pPr>
              <w:spacing w:after="0" w:line="230"/>
              <w:jc w:val="left"/>
            </w:pPr>
            <w:r>
              <w:rPr>
                <w:b w:val="false"/>
                <w:bCs w:val="false"/>
                <w:color w:val="000000"/>
                <w:sz w:val="17"/>
                <w:szCs w:val="17"/>
              </w:rPr>
              <w:t xml:space="preserve">**no source</w:t>
            </w:r>
          </w:p>
        </w:tc>
      </w:tr>
    </w:tbl>
    <w:p>
      <w:pPr>
        <w:spacing w:after="100"/>
      </w:pPr>
    </w:p>
    <w:p>
      <w:pPr>
        <w:spacing w:after="140" w:line="240"/>
        <w:jc w:val="both"/>
      </w:pPr>
      <w:r>
        <w:rPr>
          <w:color w:val="555555"/>
          <w:sz w:val="17"/>
          <w:szCs w:val="17"/>
        </w:rPr>
        <w:t xml:space="preserve">In reality racks on different CDUs </w:t>
      </w:r>
      <w:r>
        <w:rPr>
          <w:i/>
          <w:iCs/>
          <w:color w:val="555555"/>
          <w:sz w:val="17"/>
          <w:szCs w:val="17"/>
        </w:rPr>
        <w:t xml:space="preserve">are</w:t>
      </w:r>
      <w:r>
        <w:rPr>
          <w:color w:val="555555"/>
          <w:sz w:val="17"/>
          <w:szCs w:val="17"/>
        </w:rPr>
        <w:t xml:space="preserve"> weakly coupled, through the shared facility water loop, the shared air volume and shared pumping plant. The air path is modelled; the facility-water return is not, so the reported separation is cleaner than a real hall's would be.</w:t>
      </w:r>
    </w:p>
    <w:p>
      <w:pPr>
        <w:pStyle w:val="Heading1"/>
        <w:spacing w:after="130" w:before="320"/>
      </w:pPr>
      <w:r>
        <w:rPr>
          <w:b/>
          <w:bCs/>
          <w:color w:val="000000"/>
          <w:sz w:val="26"/>
          <w:szCs w:val="26"/>
        </w:rPr>
        <w:t xml:space="preserve">10.  Open items</w:t>
      </w:r>
    </w:p>
    <w:tbl>
      <w:tblPr>
        <w:tblW w:type="dxa" w:w="9638"/>
        <w:tblBorders>
          <w:top w:val="single" w:color="000000" w:sz="8"/>
          <w:left w:val="none" w:color="FFFFFF" w:sz="0"/>
          <w:bottom w:val="single" w:color="000000" w:sz="8"/>
          <w:right w:val="none" w:color="FFFFFF" w:sz="0"/>
          <w:insideH w:val="single" w:color="BBBBBB" w:sz="2"/>
          <w:insideV w:val="none" w:color="FFFFFF" w:sz="0"/>
        </w:tblBorders>
      </w:tblPr>
      <w:tblGrid>
        <w:gridCol w:w="482"/>
        <w:gridCol w:w="2891"/>
        <w:gridCol w:w="6265"/>
      </w:tblGrid>
      <w:tr>
        <w:trPr>
          <w:tblHeader/>
        </w:trPr>
        <w:tc>
          <w:tcPr>
            <w:tcW w:type="dxa" w:w="482"/>
            <w:shd w:fill="EFEFEF" w:color="auto" w:val="clear"/>
            <w:tcMar>
              <w:top w:type="dxa" w:w="60"/>
              <w:left w:type="dxa" w:w="90"/>
              <w:bottom w:type="dxa" w:w="60"/>
              <w:right w:type="dxa" w:w="90"/>
            </w:tcMar>
          </w:tcPr>
          <w:p>
            <w:pPr>
              <w:spacing w:after="0" w:line="230"/>
              <w:jc w:val="left"/>
            </w:pPr>
            <w:r>
              <w:rPr>
                <w:b/>
                <w:bCs/>
                <w:color w:val="000000"/>
                <w:sz w:val="17"/>
                <w:szCs w:val="17"/>
              </w:rPr>
              <w:t xml:space="preserve">#</w:t>
            </w:r>
          </w:p>
        </w:tc>
        <w:tc>
          <w:tcPr>
            <w:tcW w:type="dxa" w:w="2891"/>
            <w:shd w:fill="EFEFEF" w:color="auto" w:val="clear"/>
            <w:tcMar>
              <w:top w:type="dxa" w:w="60"/>
              <w:left w:type="dxa" w:w="90"/>
              <w:bottom w:type="dxa" w:w="60"/>
              <w:right w:type="dxa" w:w="90"/>
            </w:tcMar>
          </w:tcPr>
          <w:p>
            <w:pPr>
              <w:spacing w:after="0" w:line="230"/>
              <w:jc w:val="left"/>
            </w:pPr>
            <w:r>
              <w:rPr>
                <w:b/>
                <w:bCs/>
                <w:color w:val="000000"/>
                <w:sz w:val="17"/>
                <w:szCs w:val="17"/>
              </w:rPr>
              <w:t xml:space="preserve">Action</w:t>
            </w:r>
          </w:p>
        </w:tc>
        <w:tc>
          <w:tcPr>
            <w:tcW w:type="dxa" w:w="6265"/>
            <w:shd w:fill="EFEFEF" w:color="auto" w:val="clear"/>
            <w:tcMar>
              <w:top w:type="dxa" w:w="60"/>
              <w:left w:type="dxa" w:w="90"/>
              <w:bottom w:type="dxa" w:w="60"/>
              <w:right w:type="dxa" w:w="90"/>
            </w:tcMar>
          </w:tcPr>
          <w:p>
            <w:pPr>
              <w:spacing w:after="0" w:line="230"/>
              <w:jc w:val="left"/>
            </w:pPr>
            <w:r>
              <w:rPr>
                <w:b/>
                <w:bCs/>
                <w:color w:val="000000"/>
                <w:sz w:val="17"/>
                <w:szCs w:val="17"/>
              </w:rPr>
              <w:t xml:space="preserve">Why</w:t>
            </w:r>
          </w:p>
        </w:tc>
      </w:tr>
      <w:tr>
        <w:trPr>
          <w:tblHeader w:val="false"/>
        </w:trPr>
        <w:tc>
          <w:tcPr>
            <w:tcW w:type="dxa" w:w="482"/>
            <w:tcMar>
              <w:top w:type="dxa" w:w="60"/>
              <w:left w:type="dxa" w:w="90"/>
              <w:bottom w:type="dxa" w:w="60"/>
              <w:right w:type="dxa" w:w="90"/>
            </w:tcMar>
          </w:tcPr>
          <w:p>
            <w:pPr>
              <w:spacing w:after="0" w:line="230"/>
              <w:jc w:val="left"/>
            </w:pPr>
            <w:r>
              <w:rPr>
                <w:b w:val="false"/>
                <w:bCs w:val="false"/>
                <w:color w:val="000000"/>
                <w:sz w:val="17"/>
                <w:szCs w:val="17"/>
              </w:rPr>
              <w:t xml:space="preserve">1</w:t>
            </w:r>
          </w:p>
        </w:tc>
        <w:tc>
          <w:tcPr>
            <w:tcW w:type="dxa" w:w="2891"/>
            <w:tcMar>
              <w:top w:type="dxa" w:w="60"/>
              <w:left w:type="dxa" w:w="90"/>
              <w:bottom w:type="dxa" w:w="60"/>
              <w:right w:type="dxa" w:w="90"/>
            </w:tcMar>
          </w:tcPr>
          <w:p>
            <w:pPr>
              <w:spacing w:after="0" w:line="230"/>
              <w:jc w:val="left"/>
            </w:pPr>
            <w:r>
              <w:rPr>
                <w:b w:val="false"/>
                <w:bCs w:val="false"/>
                <w:color w:val="000000"/>
                <w:sz w:val="17"/>
                <w:szCs w:val="17"/>
              </w:rPr>
              <w:t xml:space="preserve">Model the shared facility water loop</w:t>
            </w:r>
          </w:p>
        </w:tc>
        <w:tc>
          <w:tcPr>
            <w:tcW w:type="dxa" w:w="6265"/>
            <w:tcMar>
              <w:top w:type="dxa" w:w="60"/>
              <w:left w:type="dxa" w:w="90"/>
              <w:bottom w:type="dxa" w:w="60"/>
              <w:right w:type="dxa" w:w="90"/>
            </w:tcMar>
          </w:tcPr>
          <w:p>
            <w:pPr>
              <w:spacing w:after="0" w:line="230"/>
              <w:jc w:val="left"/>
            </w:pPr>
            <w:r>
              <w:rPr>
                <w:b w:val="false"/>
                <w:bCs w:val="false"/>
                <w:color w:val="000000"/>
                <w:sz w:val="17"/>
                <w:szCs w:val="17"/>
              </w:rPr>
              <w:t xml:space="preserve">Cross-CDU coupling becomes small but non-zero rather than stipulated zero. Cheapest fix, and it removes the worst of the circularity in Section 9.</w:t>
            </w:r>
          </w:p>
        </w:tc>
      </w:tr>
      <w:tr>
        <w:trPr>
          <w:tblHeader w:val="false"/>
        </w:trPr>
        <w:tc>
          <w:tcPr>
            <w:tcW w:type="dxa" w:w="482"/>
            <w:tcMar>
              <w:top w:type="dxa" w:w="60"/>
              <w:left w:type="dxa" w:w="90"/>
              <w:bottom w:type="dxa" w:w="60"/>
              <w:right w:type="dxa" w:w="90"/>
            </w:tcMar>
          </w:tcPr>
          <w:p>
            <w:pPr>
              <w:spacing w:after="0" w:line="230"/>
              <w:jc w:val="left"/>
            </w:pPr>
            <w:r>
              <w:rPr>
                <w:b w:val="false"/>
                <w:bCs w:val="false"/>
                <w:color w:val="000000"/>
                <w:sz w:val="17"/>
                <w:szCs w:val="17"/>
              </w:rPr>
              <w:t xml:space="preserve">2</w:t>
            </w:r>
          </w:p>
        </w:tc>
        <w:tc>
          <w:tcPr>
            <w:tcW w:type="dxa" w:w="2891"/>
            <w:tcMar>
              <w:top w:type="dxa" w:w="60"/>
              <w:left w:type="dxa" w:w="90"/>
              <w:bottom w:type="dxa" w:w="60"/>
              <w:right w:type="dxa" w:w="90"/>
            </w:tcMar>
          </w:tcPr>
          <w:p>
            <w:pPr>
              <w:spacing w:after="0" w:line="230"/>
              <w:jc w:val="left"/>
            </w:pPr>
            <w:r>
              <w:rPr>
                <w:b w:val="false"/>
                <w:bCs w:val="false"/>
                <w:color w:val="000000"/>
                <w:sz w:val="17"/>
                <w:szCs w:val="17"/>
              </w:rPr>
              <w:t xml:space="preserve">Sweep manifold_crosstalk</w:t>
            </w:r>
          </w:p>
        </w:tc>
        <w:tc>
          <w:tcPr>
            <w:tcW w:type="dxa" w:w="6265"/>
            <w:tcMar>
              <w:top w:type="dxa" w:w="60"/>
              <w:left w:type="dxa" w:w="90"/>
              <w:bottom w:type="dxa" w:w="60"/>
              <w:right w:type="dxa" w:w="90"/>
            </w:tcMar>
          </w:tcPr>
          <w:p>
            <w:pPr>
              <w:spacing w:after="0" w:line="230"/>
              <w:jc w:val="left"/>
            </w:pPr>
            <w:r>
              <w:rPr>
                <w:b w:val="false"/>
                <w:bCs w:val="false"/>
                <w:color w:val="000000"/>
                <w:sz w:val="17"/>
                <w:szCs w:val="17"/>
              </w:rPr>
              <w:t xml:space="preserve">If the graph model's advantage exists at 0.16 and vanishes at 0.05, the liquid result is an artefact of a number with no source.</w:t>
            </w:r>
          </w:p>
        </w:tc>
      </w:tr>
      <w:tr>
        <w:trPr>
          <w:tblHeader w:val="false"/>
        </w:trPr>
        <w:tc>
          <w:tcPr>
            <w:tcW w:type="dxa" w:w="482"/>
            <w:tcMar>
              <w:top w:type="dxa" w:w="60"/>
              <w:left w:type="dxa" w:w="90"/>
              <w:bottom w:type="dxa" w:w="60"/>
              <w:right w:type="dxa" w:w="90"/>
            </w:tcMar>
          </w:tcPr>
          <w:p>
            <w:pPr>
              <w:spacing w:after="0" w:line="230"/>
              <w:jc w:val="left"/>
            </w:pPr>
            <w:r>
              <w:rPr>
                <w:b w:val="false"/>
                <w:bCs w:val="false"/>
                <w:color w:val="000000"/>
                <w:sz w:val="17"/>
                <w:szCs w:val="17"/>
              </w:rPr>
              <w:t xml:space="preserve">3</w:t>
            </w:r>
          </w:p>
        </w:tc>
        <w:tc>
          <w:tcPr>
            <w:tcW w:type="dxa" w:w="2891"/>
            <w:tcMar>
              <w:top w:type="dxa" w:w="60"/>
              <w:left w:type="dxa" w:w="90"/>
              <w:bottom w:type="dxa" w:w="60"/>
              <w:right w:type="dxa" w:w="90"/>
            </w:tcMar>
          </w:tcPr>
          <w:p>
            <w:pPr>
              <w:spacing w:after="0" w:line="230"/>
              <w:jc w:val="left"/>
            </w:pPr>
            <w:r>
              <w:rPr>
                <w:b w:val="false"/>
                <w:bCs w:val="false"/>
                <w:color w:val="000000"/>
                <w:sz w:val="17"/>
                <w:szCs w:val="17"/>
              </w:rPr>
              <w:t xml:space="preserve">Re-run Phase 3 with memory headroom</w:t>
            </w:r>
          </w:p>
        </w:tc>
        <w:tc>
          <w:tcPr>
            <w:tcW w:type="dxa" w:w="6265"/>
            <w:tcMar>
              <w:top w:type="dxa" w:w="60"/>
              <w:left w:type="dxa" w:w="90"/>
              <w:bottom w:type="dxa" w:w="60"/>
              <w:right w:type="dxa" w:w="90"/>
            </w:tcMar>
          </w:tcPr>
          <w:p>
            <w:pPr>
              <w:spacing w:after="0" w:line="230"/>
              <w:jc w:val="left"/>
            </w:pPr>
            <w:r>
              <w:rPr>
                <w:b w:val="false"/>
                <w:bCs w:val="false"/>
                <w:color w:val="000000"/>
                <w:sz w:val="17"/>
                <w:szCs w:val="17"/>
              </w:rPr>
              <w:t xml:space="preserve">The graph model's headline number came from a network of hidden width 32 with two attention heads, trained on 210,000 rows against LightGBM's 400,000, forced by an 8.6 GB machine. The confound runs against the graph model, which won regardless, but it should not have to be explained away.</w:t>
            </w:r>
          </w:p>
        </w:tc>
      </w:tr>
      <w:tr>
        <w:trPr>
          <w:tblHeader w:val="false"/>
        </w:trPr>
        <w:tc>
          <w:tcPr>
            <w:tcW w:type="dxa" w:w="482"/>
            <w:tcMar>
              <w:top w:type="dxa" w:w="60"/>
              <w:left w:type="dxa" w:w="90"/>
              <w:bottom w:type="dxa" w:w="60"/>
              <w:right w:type="dxa" w:w="90"/>
            </w:tcMar>
          </w:tcPr>
          <w:p>
            <w:pPr>
              <w:spacing w:after="0" w:line="230"/>
              <w:jc w:val="left"/>
            </w:pPr>
            <w:r>
              <w:rPr>
                <w:b w:val="false"/>
                <w:bCs w:val="false"/>
                <w:color w:val="000000"/>
                <w:sz w:val="17"/>
                <w:szCs w:val="17"/>
              </w:rPr>
              <w:t xml:space="preserve">4</w:t>
            </w:r>
          </w:p>
        </w:tc>
        <w:tc>
          <w:tcPr>
            <w:tcW w:type="dxa" w:w="2891"/>
            <w:tcMar>
              <w:top w:type="dxa" w:w="60"/>
              <w:left w:type="dxa" w:w="90"/>
              <w:bottom w:type="dxa" w:w="60"/>
              <w:right w:type="dxa" w:w="90"/>
            </w:tcMar>
          </w:tcPr>
          <w:p>
            <w:pPr>
              <w:spacing w:after="0" w:line="230"/>
              <w:jc w:val="left"/>
            </w:pPr>
            <w:r>
              <w:rPr>
                <w:b w:val="false"/>
                <w:bCs w:val="false"/>
                <w:color w:val="000000"/>
                <w:sz w:val="17"/>
                <w:szCs w:val="17"/>
              </w:rPr>
              <w:t xml:space="preserve">Anchor the CDU curve to a datasheet</w:t>
            </w:r>
          </w:p>
        </w:tc>
        <w:tc>
          <w:tcPr>
            <w:tcW w:type="dxa" w:w="6265"/>
            <w:tcMar>
              <w:top w:type="dxa" w:w="60"/>
              <w:left w:type="dxa" w:w="90"/>
              <w:bottom w:type="dxa" w:w="60"/>
              <w:right w:type="dxa" w:w="90"/>
            </w:tcMar>
          </w:tcPr>
          <w:p>
            <w:pPr>
              <w:spacing w:after="0" w:line="230"/>
              <w:jc w:val="left"/>
            </w:pPr>
            <w:r>
              <w:rPr>
                <w:b w:val="false"/>
                <w:bCs w:val="false"/>
                <w:color w:val="000000"/>
                <w:sz w:val="17"/>
                <w:szCs w:val="17"/>
              </w:rPr>
              <w:t xml:space="preserve">Vendors publish approach-against-load curves. This converts an invented parameter into a cited one.</w:t>
            </w:r>
          </w:p>
        </w:tc>
      </w:tr>
      <w:tr>
        <w:trPr>
          <w:tblHeader w:val="false"/>
        </w:trPr>
        <w:tc>
          <w:tcPr>
            <w:tcW w:type="dxa" w:w="482"/>
            <w:tcMar>
              <w:top w:type="dxa" w:w="60"/>
              <w:left w:type="dxa" w:w="90"/>
              <w:bottom w:type="dxa" w:w="60"/>
              <w:right w:type="dxa" w:w="90"/>
            </w:tcMar>
          </w:tcPr>
          <w:p>
            <w:pPr>
              <w:spacing w:after="0" w:line="230"/>
              <w:jc w:val="left"/>
            </w:pPr>
            <w:r>
              <w:rPr>
                <w:b w:val="false"/>
                <w:bCs w:val="false"/>
                <w:color w:val="000000"/>
                <w:sz w:val="17"/>
                <w:szCs w:val="17"/>
              </w:rPr>
              <w:t xml:space="preserve">5</w:t>
            </w:r>
          </w:p>
        </w:tc>
        <w:tc>
          <w:tcPr>
            <w:tcW w:type="dxa" w:w="2891"/>
            <w:tcMar>
              <w:top w:type="dxa" w:w="60"/>
              <w:left w:type="dxa" w:w="90"/>
              <w:bottom w:type="dxa" w:w="60"/>
              <w:right w:type="dxa" w:w="90"/>
            </w:tcMar>
          </w:tcPr>
          <w:p>
            <w:pPr>
              <w:spacing w:after="0" w:line="230"/>
              <w:jc w:val="left"/>
            </w:pPr>
            <w:r>
              <w:rPr>
                <w:b w:val="false"/>
                <w:bCs w:val="false"/>
                <w:color w:val="000000"/>
                <w:sz w:val="17"/>
                <w:szCs w:val="17"/>
              </w:rPr>
              <w:t xml:space="preserve">Run Phase 6 before Phase 5</w:t>
            </w:r>
          </w:p>
        </w:tc>
        <w:tc>
          <w:tcPr>
            <w:tcW w:type="dxa" w:w="6265"/>
            <w:tcMar>
              <w:top w:type="dxa" w:w="60"/>
              <w:left w:type="dxa" w:w="90"/>
              <w:bottom w:type="dxa" w:w="60"/>
              <w:right w:type="dxa" w:w="90"/>
            </w:tcMar>
          </w:tcPr>
          <w:p>
            <w:pPr>
              <w:spacing w:after="0" w:line="230"/>
              <w:jc w:val="left"/>
            </w:pPr>
            <w:r>
              <w:rPr>
                <w:b w:val="false"/>
                <w:bCs w:val="false"/>
                <w:color w:val="000000"/>
                <w:sz w:val="17"/>
                <w:szCs w:val="17"/>
              </w:rPr>
              <w:t xml:space="preserve">The edge-shuffle ablation directly tests whether the graph is decorative. On the air twin it should come back near-null; on the liquid twin it should be devastating. That contrast is the paper's strongest available result, and it is cheap.</w:t>
            </w:r>
          </w:p>
        </w:tc>
      </w:tr>
      <w:tr>
        <w:trPr>
          <w:tblHeader w:val="false"/>
        </w:trPr>
        <w:tc>
          <w:tcPr>
            <w:tcW w:type="dxa" w:w="482"/>
            <w:tcMar>
              <w:top w:type="dxa" w:w="60"/>
              <w:left w:type="dxa" w:w="90"/>
              <w:bottom w:type="dxa" w:w="60"/>
              <w:right w:type="dxa" w:w="90"/>
            </w:tcMar>
          </w:tcPr>
          <w:p>
            <w:pPr>
              <w:spacing w:after="0" w:line="230"/>
              <w:jc w:val="left"/>
            </w:pPr>
            <w:r>
              <w:rPr>
                <w:b w:val="false"/>
                <w:bCs w:val="false"/>
                <w:color w:val="000000"/>
                <w:sz w:val="17"/>
                <w:szCs w:val="17"/>
              </w:rPr>
              <w:t xml:space="preserve">6</w:t>
            </w:r>
          </w:p>
        </w:tc>
        <w:tc>
          <w:tcPr>
            <w:tcW w:type="dxa" w:w="2891"/>
            <w:tcMar>
              <w:top w:type="dxa" w:w="60"/>
              <w:left w:type="dxa" w:w="90"/>
              <w:bottom w:type="dxa" w:w="60"/>
              <w:right w:type="dxa" w:w="90"/>
            </w:tcMar>
          </w:tcPr>
          <w:p>
            <w:pPr>
              <w:spacing w:after="0" w:line="230"/>
              <w:jc w:val="left"/>
            </w:pPr>
            <w:r>
              <w:rPr>
                <w:b w:val="false"/>
                <w:bCs w:val="false"/>
                <w:color w:val="000000"/>
                <w:sz w:val="17"/>
                <w:szCs w:val="17"/>
              </w:rPr>
              <w:t xml:space="preserve">State the framing precisely</w:t>
            </w:r>
          </w:p>
        </w:tc>
        <w:tc>
          <w:tcPr>
            <w:tcW w:type="dxa" w:w="6265"/>
            <w:tcMar>
              <w:top w:type="dxa" w:w="60"/>
              <w:left w:type="dxa" w:w="90"/>
              <w:bottom w:type="dxa" w:w="60"/>
              <w:right w:type="dxa" w:w="90"/>
            </w:tcMar>
          </w:tcPr>
          <w:p>
            <w:pPr>
              <w:spacing w:after="0" w:line="230"/>
              <w:jc w:val="left"/>
            </w:pPr>
            <w:r>
              <w:rPr>
                <w:b w:val="false"/>
                <w:bCs w:val="false"/>
                <w:color w:val="000000"/>
                <w:sz w:val="17"/>
                <w:szCs w:val="17"/>
              </w:rPr>
              <w:t xml:space="preserve">Not “evaluated on a liquid-cooled data hall” but “evaluated on a parametric direct-to-chip model whose coupling structure is imposed by construction”.</w:t>
            </w:r>
          </w:p>
        </w:tc>
      </w:tr>
    </w:tbl>
    <w:p>
      <w:pPr>
        <w:pStyle w:val="Heading1"/>
        <w:spacing w:after="130" w:before="320"/>
      </w:pPr>
      <w:r>
        <w:rPr>
          <w:b/>
          <w:bCs/>
          <w:color w:val="000000"/>
          <w:sz w:val="26"/>
          <w:szCs w:val="26"/>
        </w:rPr>
        <w:t xml:space="preserve">11.  What remains unbuilt</w:t>
      </w:r>
    </w:p>
    <w:p>
      <w:pPr>
        <w:spacing w:after="120" w:line="264"/>
        <w:jc w:val="both"/>
      </w:pPr>
      <w:r>
        <w:rPr>
          <w:color w:val="000000"/>
          <w:sz w:val="20"/>
          <w:szCs w:val="20"/>
        </w:rPr>
        <w:t xml:space="preserve">Phases 4, 5 and 6 have not been started: online calibration and drift injection, which is what distinguishes a twin from a surrogate; the placement and cooling controllers the title promises; and the five ablations. The liquid twin has a thermal model, a graph and a coupling probe, but no generated trajectories and no trained model — Parts I's Phases 1 through 3 have not been repeated for 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color w:val="000000"/>
    </w:rPr>
  </w:style>
  <w:style w:type="paragraph" w:styleId="Heading2">
    <w:name w:val="Heading 2"/>
    <w:basedOn w:val="Normal"/>
    <w:next w:val="Normal"/>
    <w:qFormat/>
    <w:rPr>
      <w:rFonts w:ascii="Times New Roman" w:cs="Times New Roman" w:eastAsia="Times New Roman" w:hAnsi="Times New Roman"/>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2a8c86de6afa4dfda5c8a85f5386ec1bee6dd2.png"/><Relationship Id="rId8" Type="http://schemas.openxmlformats.org/officeDocument/2006/relationships/image" Target="media/b116688b481887ed8c1d5620d1e0ddeca87369d0.png"/><Relationship Id="rId9" Type="http://schemas.openxmlformats.org/officeDocument/2006/relationships/image" Target="media/1feddca84b593f5e7c6b89872d2795c604466893.png"/><Relationship Id="rId10" Type="http://schemas.openxmlformats.org/officeDocument/2006/relationships/image" Target="media/dab268b7dd16418c287c609be49ec19bf78d50b3.png"/><Relationship Id="rId11" Type="http://schemas.openxmlformats.org/officeDocument/2006/relationships/image" Target="media/cbdf280c048fcfd47df34f13191dffb81b3ad989.png"/><Relationship Id="rId12" Type="http://schemas.openxmlformats.org/officeDocument/2006/relationships/image" Target="media/60ecdf6b4bad7b13ac896b2918728637d1d41ca9.png"/><Relationship Id="rId13" Type="http://schemas.openxmlformats.org/officeDocument/2006/relationships/image" Target="media/8a527a45935eec49f8f5a1f2b1a52d289d079a2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build report: air and liquid cooling</dc:title>
  <dc:creator>Arnav Bharadwaj</dc:creator>
  <dc:description>Combined report on the air-cooled and liquid-cooled thermal twins</dc:description>
  <cp:lastModifiedBy>Un-named</cp:lastModifiedBy>
  <cp:revision>1</cp:revision>
  <dcterms:created xsi:type="dcterms:W3CDTF">2026-09-09T09:49:11.020Z</dcterms:created>
  <dcterms:modified xsi:type="dcterms:W3CDTF">2026-09-09T09:49:11.024Z</dcterms:modified>
</cp:coreProperties>
</file>

<file path=docProps/custom.xml><?xml version="1.0" encoding="utf-8"?>
<Properties xmlns="http://schemas.openxmlformats.org/officeDocument/2006/custom-properties" xmlns:vt="http://schemas.openxmlformats.org/officeDocument/2006/docPropsVTypes"/>
</file>