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Satellite-Based Thermal Source Detection</w:t>
      </w:r>
    </w:p>
    <w:p>
      <w:pPr>
        <w:pStyle w:val="Subtitle"/>
      </w:pPr>
      <w:r>
        <w:t>Project overview, approaches, findings and next steps</w:t>
      </w:r>
    </w:p>
    <w:p>
      <w:pPr>
        <w:pStyle w:val="Subtitle"/>
      </w:pPr>
      <w:r>
        <w:t>Evidence reviewed: 3 September 2026 | Status: research prototype</w:t>
      </w:r>
    </w:p>
    <w:p>
      <w:pPr>
        <w:pStyle w:val="Heading1"/>
      </w:pPr>
      <w:r>
        <w:t>Executive summary</w:t>
      </w:r>
    </w:p>
    <w:p>
      <w:pPr/>
      <w:r>
        <w:t>We are developing a system to identify persistent thermal sources from satellite observations, with the longer-term aim of distinguishing industrial activity from temporary vegetation and agricultural fires. Our present supervised experiments identify sources that resemble known gas flares. They do not yet validate detection of every industrial category.</w:t>
      </w:r>
    </w:p>
    <w:p>
      <w:pPr/>
      <w:r>
        <w:t>We have processed approximately 19.3 million NASA FIRMS detections across seven countries, built a source-level feature pipeline, compared simple and machine-learning approaches, investigated geographic transfer, and completed a small satellite-imagery collection pilot.</w:t>
      </w:r>
    </w:p>
    <w:p>
      <w:pPr/>
      <w:r>
        <w:t>The latest ordinary LightGBM model achieved 0.591 F1 and 0.566 precision-recall area under the curve in spatially grouped development validation. When an entire country was excluded from training, average F1 rose from 0.374 in the earlier common-window experiment to 0.439 in the latest experiment. Much of that improvement came from better decision thresholds, not a substantial improvement in the model's ranking ability.</w:t>
      </w:r>
    </w:p>
    <w:p>
      <w:pPr/>
      <w:r>
        <w:t>The imagery pilot successfully collected 99 of 100 requested source patches. This demonstrates that public imagery can be acquired and aligned with our source locations. It does not demonstrate a classification improvement.</w:t>
      </w:r>
    </w:p>
    <w:p>
      <w:pPr/>
      <w:r/>
      <w:r>
        <w:rPr>
          <w:b/>
        </w:rPr>
        <w:t>Main conclusion:</w:t>
      </w:r>
      <w:r>
        <w:t xml:space="preserve"> The existing work provides a useful tabular baseline and a functioning imagery-acquisition pipeline. The next priorities are reliable evaluation, stronger reference labels and better cross-country transfer, rather than adding a complex neural network immediately.</w:t>
      </w:r>
    </w:p>
    <w:p>
      <w:pPr>
        <w:pStyle w:val="Heading1"/>
      </w:pPr>
      <w:r>
        <w:t>Scope and current status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0D5DB"/>
          <w:bottom w:val="single" w:sz="4" w:color="D0D5DB"/>
          <w:left w:val="single" w:sz="4" w:color="D0D5DB"/>
          <w:right w:val="single" w:sz="4" w:color="D0D5DB"/>
          <w:insideH w:val="single" w:sz="4" w:color="D0D5DB"/>
          <w:insideV w:val="single" w:sz="4" w:color="D0D5DB"/>
        </w:tblBorders>
      </w:tblPr>
      <w:tblGrid>
        <w:gridCol w:w="5700"/>
        <w:gridCol w:w="3660"/>
      </w:tblGrid>
      <w:tr>
        <w:trPr>
          <w:cantSplit/>
          <w:tblHeader/>
        </w:trPr>
        <w:tc>
          <w:tcPr>
            <w:tcW w:type="dxa" w:w="5700"/>
            <w:vAlign w:val="center"/>
            <w:shd w:fill="F2F4F7"/>
          </w:tcPr>
          <w:p>
            <w:pPr>
              <w:pStyle w:val="TableBody"/>
              <w:jc w:val="left"/>
            </w:pPr>
            <w:r>
              <w:rPr>
                <w:b/>
              </w:rPr>
              <w:t>Component</w:t>
            </w:r>
          </w:p>
        </w:tc>
        <w:tc>
          <w:tcPr>
            <w:tcW w:type="dxa" w:w="3660"/>
            <w:vAlign w:val="center"/>
            <w:shd w:fill="F2F4F7"/>
          </w:tcPr>
          <w:p>
            <w:pPr>
              <w:pStyle w:val="TableBody"/>
              <w:jc w:val="center"/>
            </w:pPr>
            <w:r>
              <w:rPr>
                <w:b/>
              </w:rPr>
              <w:t>Status</w:t>
            </w:r>
          </w:p>
        </w:tc>
      </w:tr>
      <w:tr>
        <w:trPr>
          <w:cantSplit/>
        </w:trPr>
        <w:tc>
          <w:tcPr>
            <w:tcW w:type="dxa" w:w="5700"/>
            <w:vAlign w:val="center"/>
          </w:tcPr>
          <w:p>
            <w:pPr>
              <w:pStyle w:val="TableBody"/>
              <w:jc w:val="left"/>
            </w:pPr>
            <w:r>
              <w:t>FIRMS audit, source construction and features</w:t>
            </w:r>
          </w:p>
        </w:tc>
        <w:tc>
          <w:tcPr>
            <w:tcW w:type="dxa" w:w="3660"/>
            <w:vAlign w:val="center"/>
          </w:tcPr>
          <w:p>
            <w:pPr>
              <w:pStyle w:val="TableBody"/>
              <w:jc w:val="center"/>
            </w:pPr>
            <w:r>
              <w:t>Completed; later checks exposed coverage limitations</w:t>
            </w:r>
          </w:p>
        </w:tc>
      </w:tr>
      <w:tr>
        <w:trPr>
          <w:cantSplit/>
        </w:trPr>
        <w:tc>
          <w:tcPr>
            <w:tcW w:type="dxa" w:w="5700"/>
            <w:vAlign w:val="center"/>
          </w:tcPr>
          <w:p>
            <w:pPr>
              <w:pStyle w:val="TableBody"/>
              <w:jc w:val="left"/>
            </w:pPr>
            <w:r>
              <w:t>Rules, anomaly detection and tree-based models</w:t>
            </w:r>
          </w:p>
        </w:tc>
        <w:tc>
          <w:tcPr>
            <w:tcW w:type="dxa" w:w="3660"/>
            <w:vAlign w:val="center"/>
          </w:tcPr>
          <w:p>
            <w:pPr>
              <w:pStyle w:val="TableBody"/>
              <w:jc w:val="center"/>
            </w:pPr>
            <w:r>
              <w:t>Tested</w:t>
            </w:r>
          </w:p>
        </w:tc>
      </w:tr>
      <w:tr>
        <w:trPr>
          <w:cantSplit/>
        </w:trPr>
        <w:tc>
          <w:tcPr>
            <w:tcW w:type="dxa" w:w="5700"/>
            <w:vAlign w:val="center"/>
          </w:tcPr>
          <w:p>
            <w:pPr>
              <w:pStyle w:val="TableBody"/>
              <w:jc w:val="left"/>
            </w:pPr>
            <w:r>
              <w:t>Common-window and country-held-out evaluation</w:t>
            </w:r>
          </w:p>
        </w:tc>
        <w:tc>
          <w:tcPr>
            <w:tcW w:type="dxa" w:w="3660"/>
            <w:vAlign w:val="center"/>
          </w:tcPr>
          <w:p>
            <w:pPr>
              <w:pStyle w:val="TableBody"/>
              <w:jc w:val="center"/>
            </w:pPr>
            <w:r>
              <w:t>Run; methodological corrections remain</w:t>
            </w:r>
          </w:p>
        </w:tc>
      </w:tr>
      <w:tr>
        <w:trPr>
          <w:cantSplit/>
        </w:trPr>
        <w:tc>
          <w:tcPr>
            <w:tcW w:type="dxa" w:w="5700"/>
            <w:vAlign w:val="center"/>
          </w:tcPr>
          <w:p>
            <w:pPr>
              <w:pStyle w:val="TableBody"/>
              <w:jc w:val="left"/>
            </w:pPr>
            <w:r>
              <w:t>Sentinel-2 and WorldCover acquisition</w:t>
            </w:r>
          </w:p>
        </w:tc>
        <w:tc>
          <w:tcPr>
            <w:tcW w:type="dxa" w:w="3660"/>
            <w:vAlign w:val="center"/>
          </w:tcPr>
          <w:p>
            <w:pPr>
              <w:pStyle w:val="TableBody"/>
              <w:jc w:val="center"/>
            </w:pPr>
            <w:r>
              <w:t>99-source pilot downloaded and checked</w:t>
            </w:r>
          </w:p>
        </w:tc>
      </w:tr>
      <w:tr>
        <w:trPr>
          <w:cantSplit/>
        </w:trPr>
        <w:tc>
          <w:tcPr>
            <w:tcW w:type="dxa" w:w="5700"/>
            <w:vAlign w:val="center"/>
          </w:tcPr>
          <w:p>
            <w:pPr>
              <w:pStyle w:val="TableBody"/>
              <w:jc w:val="left"/>
            </w:pPr>
            <w:r>
              <w:t>Image-based classifier or combined model</w:t>
            </w:r>
          </w:p>
        </w:tc>
        <w:tc>
          <w:tcPr>
            <w:tcW w:type="dxa" w:w="3660"/>
            <w:vAlign w:val="center"/>
          </w:tcPr>
          <w:p>
            <w:pPr>
              <w:pStyle w:val="TableBody"/>
              <w:jc w:val="center"/>
            </w:pPr>
            <w:r>
              <w:t>Not yet evaluated</w:t>
            </w:r>
          </w:p>
        </w:tc>
      </w:tr>
      <w:tr>
        <w:trPr>
          <w:cantSplit/>
        </w:trPr>
        <w:tc>
          <w:tcPr>
            <w:tcW w:type="dxa" w:w="5700"/>
            <w:vAlign w:val="center"/>
          </w:tcPr>
          <w:p>
            <w:pPr>
              <w:pStyle w:val="TableBody"/>
              <w:jc w:val="left"/>
            </w:pPr>
            <w:r>
              <w:t>Validated performance in India</w:t>
            </w:r>
          </w:p>
        </w:tc>
        <w:tc>
          <w:tcPr>
            <w:tcW w:type="dxa" w:w="3660"/>
            <w:vAlign w:val="center"/>
          </w:tcPr>
          <w:p>
            <w:pPr>
              <w:pStyle w:val="TableBody"/>
              <w:jc w:val="center"/>
            </w:pPr>
            <w:r>
              <w:t>Not yet available</w:t>
            </w:r>
          </w:p>
        </w:tc>
      </w:tr>
    </w:tbl>
    <w:p>
      <w:pPr>
        <w:pStyle w:val="TableCitation"/>
      </w:pPr>
    </w:p>
    <w:p>
      <w:pPr/>
      <w:r>
        <w:t>The development countries are Algeria, Angola, Indonesia, Iraq, Libya and Nigeria. India is reserved for final transfer evaluation. Indian data were processed in the initial data pipeline, but were excluded from the latest foreign-country model fitting, model selection and imagery pilot. [S1-S5]</w:t>
      </w:r>
    </w:p>
    <w:p>
      <w:r>
        <w:br w:type="page"/>
      </w:r>
    </w:p>
    <w:p>
      <w:pPr>
        <w:pStyle w:val="Heading1"/>
        <w:spacing w:before="0"/>
      </w:pPr>
      <w:r>
        <w:t>Data and what one prediction represents</w:t>
      </w:r>
    </w:p>
    <w:p>
      <w:pPr/>
      <w:r>
        <w:t>NASA FIRMS provides records of satellite-detected thermal activity, not detailed photographs of facilities. Each record contains a location, observation time and thermal measurements. Our initial collection spans 2019-2024 overall, but individual countries have different observation periods.</w:t>
      </w:r>
    </w:p>
    <w:p>
      <w:pPr/>
      <w:r>
        <w:t>Repeated observations of the same area were grouped into approximately 1 km spatial grid cells. Each cell becomes a candidate source for classification. A cell is not necessarily one facility: a large facility may occupy several cells, and nearby activities may be mixed within a cell. In Libya, for example, 427,517 detections became 4,824 candidate source cells in the original processing. [S1]</w:t>
      </w:r>
    </w:p>
    <w:p>
      <w:pPr/>
      <w:r>
        <w:t>To make countries more comparable, later experiments restricted observations to 2022-2024 and used consistently available MODIS and VIIRS S-NPP measurements. The resulting six-country modeling population contains 1,634,155 source cells, including 3,506 cells matched to the EOG flare inventory, approximately 0.215% of the population. [S2-S3]</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0D5DB"/>
          <w:bottom w:val="single" w:sz="4" w:color="D0D5DB"/>
          <w:left w:val="single" w:sz="4" w:color="D0D5DB"/>
          <w:right w:val="single" w:sz="4" w:color="D0D5DB"/>
          <w:insideH w:val="single" w:sz="4" w:color="D0D5DB"/>
          <w:insideV w:val="single" w:sz="4" w:color="D0D5DB"/>
        </w:tblBorders>
      </w:tblPr>
      <w:tblGrid>
        <w:gridCol w:w="4140"/>
        <w:gridCol w:w="1740"/>
        <w:gridCol w:w="1740"/>
        <w:gridCol w:w="1740"/>
      </w:tblGrid>
      <w:tr>
        <w:trPr>
          <w:cantSplit/>
          <w:tblHeader/>
        </w:trPr>
        <w:tc>
          <w:tcPr>
            <w:tcW w:type="dxa" w:w="4140"/>
            <w:vAlign w:val="center"/>
            <w:shd w:fill="F2F4F7"/>
          </w:tcPr>
          <w:p>
            <w:pPr>
              <w:pStyle w:val="TableBody"/>
              <w:jc w:val="left"/>
            </w:pPr>
            <w:r>
              <w:rPr>
                <w:b/>
              </w:rPr>
              <w:t>Country</w:t>
            </w:r>
          </w:p>
        </w:tc>
        <w:tc>
          <w:tcPr>
            <w:tcW w:type="dxa" w:w="1740"/>
            <w:vAlign w:val="center"/>
            <w:shd w:fill="F2F4F7"/>
          </w:tcPr>
          <w:p>
            <w:pPr>
              <w:pStyle w:val="TableBody"/>
              <w:jc w:val="center"/>
            </w:pPr>
            <w:r>
              <w:rPr>
                <w:b/>
              </w:rPr>
              <w:t>Source cells</w:t>
            </w:r>
          </w:p>
        </w:tc>
        <w:tc>
          <w:tcPr>
            <w:tcW w:type="dxa" w:w="1740"/>
            <w:vAlign w:val="center"/>
            <w:shd w:fill="F2F4F7"/>
          </w:tcPr>
          <w:p>
            <w:pPr>
              <w:pStyle w:val="TableBody"/>
              <w:jc w:val="center"/>
            </w:pPr>
            <w:r>
              <w:rPr>
                <w:b/>
              </w:rPr>
              <w:t>EOG-positive cells</w:t>
            </w:r>
          </w:p>
        </w:tc>
        <w:tc>
          <w:tcPr>
            <w:tcW w:type="dxa" w:w="1740"/>
            <w:vAlign w:val="center"/>
            <w:shd w:fill="F2F4F7"/>
          </w:tcPr>
          <w:p>
            <w:pPr>
              <w:pStyle w:val="TableBody"/>
              <w:jc w:val="center"/>
            </w:pPr>
            <w:r>
              <w:rPr>
                <w:b/>
              </w:rPr>
              <w:t>Share of source cells</w:t>
            </w:r>
          </w:p>
        </w:tc>
      </w:tr>
      <w:tr>
        <w:trPr>
          <w:cantSplit/>
        </w:trPr>
        <w:tc>
          <w:tcPr>
            <w:tcW w:type="dxa" w:w="4140"/>
            <w:vAlign w:val="center"/>
          </w:tcPr>
          <w:p>
            <w:pPr>
              <w:pStyle w:val="TableBody"/>
              <w:jc w:val="left"/>
            </w:pPr>
            <w:r>
              <w:t>Algeria</w:t>
            </w:r>
          </w:p>
        </w:tc>
        <w:tc>
          <w:tcPr>
            <w:tcW w:type="dxa" w:w="1740"/>
            <w:vAlign w:val="center"/>
          </w:tcPr>
          <w:p>
            <w:pPr>
              <w:pStyle w:val="TableBody"/>
              <w:jc w:val="center"/>
            </w:pPr>
            <w:r>
              <w:t>10,163</w:t>
            </w:r>
          </w:p>
        </w:tc>
        <w:tc>
          <w:tcPr>
            <w:tcW w:type="dxa" w:w="1740"/>
            <w:vAlign w:val="center"/>
          </w:tcPr>
          <w:p>
            <w:pPr>
              <w:pStyle w:val="TableBody"/>
              <w:jc w:val="center"/>
            </w:pPr>
            <w:r>
              <w:t>1,039</w:t>
            </w:r>
          </w:p>
        </w:tc>
        <w:tc>
          <w:tcPr>
            <w:tcW w:type="dxa" w:w="1740"/>
            <w:vAlign w:val="center"/>
          </w:tcPr>
          <w:p>
            <w:pPr>
              <w:pStyle w:val="TableBody"/>
              <w:jc w:val="center"/>
            </w:pPr>
            <w:r>
              <w:t>0.62%</w:t>
            </w:r>
          </w:p>
        </w:tc>
      </w:tr>
      <w:tr>
        <w:trPr>
          <w:cantSplit/>
        </w:trPr>
        <w:tc>
          <w:tcPr>
            <w:tcW w:type="dxa" w:w="4140"/>
            <w:vAlign w:val="center"/>
          </w:tcPr>
          <w:p>
            <w:pPr>
              <w:pStyle w:val="TableBody"/>
              <w:jc w:val="left"/>
            </w:pPr>
            <w:r>
              <w:t>Angola</w:t>
            </w:r>
          </w:p>
        </w:tc>
        <w:tc>
          <w:tcPr>
            <w:tcW w:type="dxa" w:w="1740"/>
            <w:vAlign w:val="center"/>
          </w:tcPr>
          <w:p>
            <w:pPr>
              <w:pStyle w:val="TableBody"/>
              <w:jc w:val="center"/>
            </w:pPr>
            <w:r>
              <w:t>970,253</w:t>
            </w:r>
          </w:p>
        </w:tc>
        <w:tc>
          <w:tcPr>
            <w:tcW w:type="dxa" w:w="1740"/>
            <w:vAlign w:val="center"/>
          </w:tcPr>
          <w:p>
            <w:pPr>
              <w:pStyle w:val="TableBody"/>
              <w:jc w:val="center"/>
            </w:pPr>
            <w:r>
              <w:t>32</w:t>
            </w:r>
          </w:p>
        </w:tc>
        <w:tc>
          <w:tcPr>
            <w:tcW w:type="dxa" w:w="1740"/>
            <w:vAlign w:val="center"/>
          </w:tcPr>
          <w:p>
            <w:pPr>
              <w:pStyle w:val="TableBody"/>
              <w:jc w:val="center"/>
            </w:pPr>
            <w:r>
              <w:t>59.37%</w:t>
            </w:r>
          </w:p>
        </w:tc>
      </w:tr>
      <w:tr>
        <w:trPr>
          <w:cantSplit/>
        </w:trPr>
        <w:tc>
          <w:tcPr>
            <w:tcW w:type="dxa" w:w="4140"/>
            <w:vAlign w:val="center"/>
          </w:tcPr>
          <w:p>
            <w:pPr>
              <w:pStyle w:val="TableBody"/>
              <w:jc w:val="left"/>
            </w:pPr>
            <w:r>
              <w:t>Indonesia</w:t>
            </w:r>
          </w:p>
        </w:tc>
        <w:tc>
          <w:tcPr>
            <w:tcW w:type="dxa" w:w="1740"/>
            <w:vAlign w:val="center"/>
          </w:tcPr>
          <w:p>
            <w:pPr>
              <w:pStyle w:val="TableBody"/>
              <w:jc w:val="center"/>
            </w:pPr>
            <w:r>
              <w:t>183,558</w:t>
            </w:r>
          </w:p>
        </w:tc>
        <w:tc>
          <w:tcPr>
            <w:tcW w:type="dxa" w:w="1740"/>
            <w:vAlign w:val="center"/>
          </w:tcPr>
          <w:p>
            <w:pPr>
              <w:pStyle w:val="TableBody"/>
              <w:jc w:val="center"/>
            </w:pPr>
            <w:r>
              <w:t>376</w:t>
            </w:r>
          </w:p>
        </w:tc>
        <w:tc>
          <w:tcPr>
            <w:tcW w:type="dxa" w:w="1740"/>
            <w:vAlign w:val="center"/>
          </w:tcPr>
          <w:p>
            <w:pPr>
              <w:pStyle w:val="TableBody"/>
              <w:jc w:val="center"/>
            </w:pPr>
            <w:r>
              <w:t>11.23%</w:t>
            </w:r>
          </w:p>
        </w:tc>
      </w:tr>
      <w:tr>
        <w:trPr>
          <w:cantSplit/>
        </w:trPr>
        <w:tc>
          <w:tcPr>
            <w:tcW w:type="dxa" w:w="4140"/>
            <w:vAlign w:val="center"/>
          </w:tcPr>
          <w:p>
            <w:pPr>
              <w:pStyle w:val="TableBody"/>
              <w:jc w:val="left"/>
            </w:pPr>
            <w:r>
              <w:t>Iraq</w:t>
            </w:r>
          </w:p>
        </w:tc>
        <w:tc>
          <w:tcPr>
            <w:tcW w:type="dxa" w:w="1740"/>
            <w:vAlign w:val="center"/>
          </w:tcPr>
          <w:p>
            <w:pPr>
              <w:pStyle w:val="TableBody"/>
              <w:jc w:val="center"/>
            </w:pPr>
            <w:r>
              <w:t>30,598</w:t>
            </w:r>
          </w:p>
        </w:tc>
        <w:tc>
          <w:tcPr>
            <w:tcW w:type="dxa" w:w="1740"/>
            <w:vAlign w:val="center"/>
          </w:tcPr>
          <w:p>
            <w:pPr>
              <w:pStyle w:val="TableBody"/>
              <w:jc w:val="center"/>
            </w:pPr>
            <w:r>
              <w:t>741</w:t>
            </w:r>
          </w:p>
        </w:tc>
        <w:tc>
          <w:tcPr>
            <w:tcW w:type="dxa" w:w="1740"/>
            <w:vAlign w:val="center"/>
          </w:tcPr>
          <w:p>
            <w:pPr>
              <w:pStyle w:val="TableBody"/>
              <w:jc w:val="center"/>
            </w:pPr>
            <w:r>
              <w:t>1.87%</w:t>
            </w:r>
          </w:p>
        </w:tc>
      </w:tr>
      <w:tr>
        <w:trPr>
          <w:cantSplit/>
        </w:trPr>
        <w:tc>
          <w:tcPr>
            <w:tcW w:type="dxa" w:w="4140"/>
            <w:vAlign w:val="center"/>
          </w:tcPr>
          <w:p>
            <w:pPr>
              <w:pStyle w:val="TableBody"/>
              <w:jc w:val="left"/>
            </w:pPr>
            <w:r>
              <w:t>Libya</w:t>
            </w:r>
          </w:p>
        </w:tc>
        <w:tc>
          <w:tcPr>
            <w:tcW w:type="dxa" w:w="1740"/>
            <w:vAlign w:val="center"/>
          </w:tcPr>
          <w:p>
            <w:pPr>
              <w:pStyle w:val="TableBody"/>
              <w:jc w:val="center"/>
            </w:pPr>
            <w:r>
              <w:t>2,696</w:t>
            </w:r>
          </w:p>
        </w:tc>
        <w:tc>
          <w:tcPr>
            <w:tcW w:type="dxa" w:w="1740"/>
            <w:vAlign w:val="center"/>
          </w:tcPr>
          <w:p>
            <w:pPr>
              <w:pStyle w:val="TableBody"/>
              <w:jc w:val="center"/>
            </w:pPr>
            <w:r>
              <w:t>546</w:t>
            </w:r>
          </w:p>
        </w:tc>
        <w:tc>
          <w:tcPr>
            <w:tcW w:type="dxa" w:w="1740"/>
            <w:vAlign w:val="center"/>
          </w:tcPr>
          <w:p>
            <w:pPr>
              <w:pStyle w:val="TableBody"/>
              <w:jc w:val="center"/>
            </w:pPr>
            <w:r>
              <w:t>0.17%</w:t>
            </w:r>
          </w:p>
        </w:tc>
      </w:tr>
      <w:tr>
        <w:trPr>
          <w:cantSplit/>
        </w:trPr>
        <w:tc>
          <w:tcPr>
            <w:tcW w:type="dxa" w:w="4140"/>
            <w:vAlign w:val="center"/>
          </w:tcPr>
          <w:p>
            <w:pPr>
              <w:pStyle w:val="TableBody"/>
              <w:jc w:val="left"/>
            </w:pPr>
            <w:r>
              <w:t>Nigeria</w:t>
            </w:r>
          </w:p>
        </w:tc>
        <w:tc>
          <w:tcPr>
            <w:tcW w:type="dxa" w:w="1740"/>
            <w:vAlign w:val="center"/>
          </w:tcPr>
          <w:p>
            <w:pPr>
              <w:pStyle w:val="TableBody"/>
              <w:jc w:val="center"/>
            </w:pPr>
            <w:r>
              <w:t>436,887</w:t>
            </w:r>
          </w:p>
        </w:tc>
        <w:tc>
          <w:tcPr>
            <w:tcW w:type="dxa" w:w="1740"/>
            <w:vAlign w:val="center"/>
          </w:tcPr>
          <w:p>
            <w:pPr>
              <w:pStyle w:val="TableBody"/>
              <w:jc w:val="center"/>
            </w:pPr>
            <w:r>
              <w:t>772</w:t>
            </w:r>
          </w:p>
        </w:tc>
        <w:tc>
          <w:tcPr>
            <w:tcW w:type="dxa" w:w="1740"/>
            <w:vAlign w:val="center"/>
          </w:tcPr>
          <w:p>
            <w:pPr>
              <w:pStyle w:val="TableBody"/>
              <w:jc w:val="center"/>
            </w:pPr>
            <w:r>
              <w:t>26.73%</w:t>
            </w:r>
          </w:p>
        </w:tc>
      </w:tr>
      <w:tr>
        <w:trPr>
          <w:cantSplit/>
        </w:trPr>
        <w:tc>
          <w:tcPr>
            <w:tcW w:type="dxa" w:w="4140"/>
            <w:vAlign w:val="center"/>
          </w:tcPr>
          <w:p>
            <w:pPr>
              <w:pStyle w:val="TableBody"/>
              <w:jc w:val="left"/>
            </w:pPr>
            <w:r>
              <w:t>Total</w:t>
            </w:r>
          </w:p>
        </w:tc>
        <w:tc>
          <w:tcPr>
            <w:tcW w:type="dxa" w:w="1740"/>
            <w:vAlign w:val="center"/>
          </w:tcPr>
          <w:p>
            <w:pPr>
              <w:pStyle w:val="TableBody"/>
              <w:jc w:val="center"/>
            </w:pPr>
            <w:r>
              <w:t>1,634,155</w:t>
            </w:r>
          </w:p>
        </w:tc>
        <w:tc>
          <w:tcPr>
            <w:tcW w:type="dxa" w:w="1740"/>
            <w:vAlign w:val="center"/>
          </w:tcPr>
          <w:p>
            <w:pPr>
              <w:pStyle w:val="TableBody"/>
              <w:jc w:val="center"/>
            </w:pPr>
            <w:r>
              <w:t>3,506</w:t>
            </w:r>
          </w:p>
        </w:tc>
        <w:tc>
          <w:tcPr>
            <w:tcW w:type="dxa" w:w="1740"/>
            <w:vAlign w:val="center"/>
          </w:tcPr>
          <w:p>
            <w:pPr>
              <w:pStyle w:val="TableBody"/>
              <w:jc w:val="center"/>
            </w:pPr>
            <w:r>
              <w:t>100%</w:t>
            </w:r>
          </w:p>
        </w:tc>
      </w:tr>
    </w:tbl>
    <w:p>
      <w:pPr>
        <w:pStyle w:val="TableCitation"/>
      </w:pPr>
    </w:p>
    <w:p>
      <w:pPr/>
      <w:r>
        <w:t>Angola supplies nearly three-fifths of the source cells but fewer than 1% of the positive cells. This imbalance is why we report country-level results instead of relying only on a pooled score.</w:t>
      </w:r>
    </w:p>
    <w:p>
      <w:pPr>
        <w:pStyle w:val="Heading1"/>
      </w:pPr>
      <w:r>
        <w:t>Reference labels and their limits</w:t>
      </w:r>
    </w:p>
    <w:p>
      <w:pPr/>
      <w:r>
        <w:t>The Earth Observation Group (EOG) inventory identifies known gas-flare sites. We spatially match our source cells to that inventory. Several positive cells may correspond to the same physical flare site, so positive-cell counts and facility counts must not be confused.</w:t>
      </w:r>
    </w:p>
    <w:p>
      <w:pPr/>
      <w:r>
        <w:t xml:space="preserve">Sources without a match are </w:t>
      </w:r>
      <w:r>
        <w:rPr>
          <w:b/>
        </w:rPr>
        <w:t>unlabelled</w:t>
      </w:r>
      <w:r>
        <w:t>, not verified negatives. They can include missed flares, brick kilns, cement or steel facilities, other industrial heat, agricultural burning and wildfires. Consequently, our current precision and F1 measure agreement with incomplete flare labels. They are not established industrial-source accuracy estimates, and a strict lower-bound claim would require additional assumptions about label correctness and matching.</w:t>
      </w:r>
    </w:p>
    <w:p>
      <w:r>
        <w:br w:type="page"/>
      </w:r>
    </w:p>
    <w:p>
      <w:pPr>
        <w:pStyle w:val="Heading1"/>
        <w:spacing w:before="0"/>
      </w:pPr>
      <w:r>
        <w:t>Approaches tested and why</w:t>
      </w:r>
    </w:p>
    <w:p>
      <w:pPr/>
      <w:r/>
      <w:r>
        <w:rPr>
          <w:b/>
        </w:rPr>
        <w:t>Source-level feature engineering.</w:t>
      </w:r>
      <w:r>
        <w:t xml:space="preserve"> We initially created 49 features summarizing persistence, active days and months, gaps between observations, fire radiative power, infrared brightness, day/night behavior, seasonal variation, sensor agreement, saturation and spatial spread. The latest common-window model uses 45 selected features, including annualized activity measures. [S1-S3]</w:t>
      </w:r>
    </w:p>
    <w:p>
      <w:pPr/>
      <w:r/>
      <w:r>
        <w:rPr>
          <w:b/>
        </w:rPr>
        <w:t>Simple rules.</w:t>
      </w:r>
      <w:r>
        <w:t xml:space="preserve"> Persistence and seasonal-activity rules provide an interpretable benchmark. They test whether straightforward behavior can separate known flares from the broader source population without a trained classifier.</w:t>
      </w:r>
    </w:p>
    <w:p>
      <w:pPr/>
      <w:r/>
      <w:r>
        <w:rPr>
          <w:b/>
        </w:rPr>
        <w:t>Isolation Forest.</w:t>
      </w:r>
      <w:r>
        <w:t xml:space="preserve"> This anomaly-detection model tests whether unusual source behavior identifies flares. Its weaker results show that being unusual is not equivalent to being a labelled flare in this dataset.</w:t>
      </w:r>
    </w:p>
    <w:p>
      <w:pPr/>
      <w:r/>
      <w:r>
        <w:rPr>
          <w:b/>
        </w:rPr>
        <w:t>LightGBM.</w:t>
      </w:r>
      <w:r>
        <w:t xml:space="preserve"> This classifier combines multiple decision trees to model interactions among the engineered features. It is our main baseline because it outperformed the simpler methods in the available experiments. We have not established that it is universally the best model for this task.</w:t>
      </w:r>
    </w:p>
    <w:p>
      <w:pPr/>
      <w:r/>
      <w:r>
        <w:rPr>
          <w:b/>
        </w:rPr>
        <w:t>Positive-unlabelled bagging.</w:t>
      </w:r>
      <w:r>
        <w:t xml:space="preserve"> We trained an alternative using all positives and repeated samples of unlabelled sources, with three bags and ten unlabelled samples per positive. This explores label incompleteness without assuming every unmatched source is a reliable negative. It modestly improved ranking in the common-window run, but did not improve F1 at the originally selected threshold. It does not solve missing industrial labels or establish calibrated probabilities. [S2]</w:t>
      </w:r>
    </w:p>
    <w:p>
      <w:pPr/>
      <w:r/>
      <w:r>
        <w:rPr>
          <w:b/>
        </w:rPr>
        <w:t>Country and flare-site weighting.</w:t>
      </w:r>
      <w:r>
        <w:t xml:space="preserve"> We tested ordinary training, flare-site balancing, partial country balancing and equal country weighting. The aim was to reduce dominance by countries with many rows and by facilities fragmented across multiple cells. Ordinary, unweighted training had the highest macro-country F1 in the latest run. Different seeds and fold-weighting issues limit causal conclusions about these variants. [S3, S6]</w:t>
      </w:r>
    </w:p>
    <w:p>
      <w:pPr>
        <w:pStyle w:val="Heading1"/>
      </w:pPr>
      <w:r>
        <w:t>How evaluation became stricter</w:t>
      </w:r>
    </w:p>
    <w:p>
      <w:pPr/>
      <w:r>
        <w:t>Spatial validation uses 10 km blocks instead of randomly splitting nearby source cells. This reduces leakage, but a facility crossing block boundaries could still appear in more than one fold. Explicit physical-site overlap checks remain necessary.</w:t>
      </w:r>
    </w:p>
    <w:p>
      <w:pPr/>
      <w:r>
        <w:t>Latitude, longitude, country, NASA source type, EOG distance and NOAA-20-derived features were excluded from model inputs. NOAA-20 availability differed across countries and could act as a geographic shortcut. A common observation window also reduces shortcuts caused by differing amounts of observation history.</w:t>
      </w:r>
    </w:p>
    <w:p>
      <w:pPr/>
      <w:r>
        <w:t>The latest country-held-out tests train on five countries and predict the sixth. Decision thresholds are chosen using only the five training countries. However, the model variant was selected before this loop using all six countries, so the complete selection procedure is not fully nested. The results are development diagnostics, not final independent-test estimates.</w:t>
      </w:r>
    </w:p>
    <w:p>
      <w:r>
        <w:br w:type="page"/>
      </w:r>
    </w:p>
    <w:p>
      <w:pPr>
        <w:pStyle w:val="Heading1"/>
        <w:spacing w:before="0"/>
      </w:pPr>
      <w:r>
        <w:t>Model results and fair comparisons</w:t>
      </w:r>
    </w:p>
    <w:p>
      <w:pPr/>
      <w:r>
        <w:t>Precision measures agreement between flagged locations and known positive labels. Recall measures the fraction of labelled positives found. F1 balances precision and recall. PR-AUC summarizes ranking quality across thresholds; it is especially useful here because labelled positives are rare. Macro-country F1 gives each country equal influence, whereas pooled F1 combines all source cells.</w:t>
      </w:r>
    </w:p>
    <w:p>
      <w:pPr>
        <w:pStyle w:val="Heading2"/>
      </w:pPr>
      <w:r>
        <w:t>Early regional baseline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0D5DB"/>
          <w:bottom w:val="single" w:sz="4" w:color="D0D5DB"/>
          <w:left w:val="single" w:sz="4" w:color="D0D5DB"/>
          <w:right w:val="single" w:sz="4" w:color="D0D5DB"/>
          <w:insideH w:val="single" w:sz="4" w:color="D0D5DB"/>
          <w:insideV w:val="single" w:sz="4" w:color="D0D5DB"/>
        </w:tblBorders>
      </w:tblPr>
      <w:tblGrid>
        <w:gridCol w:w="5700"/>
        <w:gridCol w:w="3660"/>
      </w:tblGrid>
      <w:tr>
        <w:trPr>
          <w:cantSplit/>
          <w:tblHeader/>
        </w:trPr>
        <w:tc>
          <w:tcPr>
            <w:tcW w:type="dxa" w:w="5700"/>
            <w:vAlign w:val="center"/>
            <w:shd w:fill="F2F4F7"/>
          </w:tcPr>
          <w:p>
            <w:pPr>
              <w:pStyle w:val="TableBody"/>
              <w:jc w:val="left"/>
            </w:pPr>
            <w:r>
              <w:rPr>
                <w:b/>
              </w:rPr>
              <w:t>Method</w:t>
            </w:r>
          </w:p>
        </w:tc>
        <w:tc>
          <w:tcPr>
            <w:tcW w:type="dxa" w:w="3660"/>
            <w:vAlign w:val="center"/>
            <w:shd w:fill="F2F4F7"/>
          </w:tcPr>
          <w:p>
            <w:pPr>
              <w:pStyle w:val="TableBody"/>
              <w:jc w:val="center"/>
            </w:pPr>
            <w:r>
              <w:rPr>
                <w:b/>
              </w:rPr>
              <w:t>F1</w:t>
            </w:r>
          </w:p>
        </w:tc>
      </w:tr>
      <w:tr>
        <w:trPr>
          <w:cantSplit/>
        </w:trPr>
        <w:tc>
          <w:tcPr>
            <w:tcW w:type="dxa" w:w="5700"/>
            <w:vAlign w:val="center"/>
          </w:tcPr>
          <w:p>
            <w:pPr>
              <w:pStyle w:val="TableBody"/>
              <w:jc w:val="left"/>
            </w:pPr>
            <w:r>
              <w:t>Isolation Forest</w:t>
            </w:r>
          </w:p>
        </w:tc>
        <w:tc>
          <w:tcPr>
            <w:tcW w:type="dxa" w:w="3660"/>
            <w:vAlign w:val="center"/>
          </w:tcPr>
          <w:p>
            <w:pPr>
              <w:pStyle w:val="TableBody"/>
              <w:jc w:val="center"/>
            </w:pPr>
            <w:r>
              <w:t>0.340</w:t>
            </w:r>
          </w:p>
        </w:tc>
      </w:tr>
      <w:tr>
        <w:trPr>
          <w:cantSplit/>
        </w:trPr>
        <w:tc>
          <w:tcPr>
            <w:tcW w:type="dxa" w:w="5700"/>
            <w:vAlign w:val="center"/>
          </w:tcPr>
          <w:p>
            <w:pPr>
              <w:pStyle w:val="TableBody"/>
              <w:jc w:val="left"/>
            </w:pPr>
            <w:r>
              <w:t>Simple rules</w:t>
            </w:r>
          </w:p>
        </w:tc>
        <w:tc>
          <w:tcPr>
            <w:tcW w:type="dxa" w:w="3660"/>
            <w:vAlign w:val="center"/>
          </w:tcPr>
          <w:p>
            <w:pPr>
              <w:pStyle w:val="TableBody"/>
              <w:jc w:val="center"/>
            </w:pPr>
            <w:r>
              <w:t>0.633</w:t>
            </w:r>
          </w:p>
        </w:tc>
      </w:tr>
      <w:tr>
        <w:trPr>
          <w:cantSplit/>
        </w:trPr>
        <w:tc>
          <w:tcPr>
            <w:tcW w:type="dxa" w:w="5700"/>
            <w:vAlign w:val="center"/>
          </w:tcPr>
          <w:p>
            <w:pPr>
              <w:pStyle w:val="TableBody"/>
              <w:jc w:val="left"/>
            </w:pPr>
            <w:r>
              <w:t>LightGBM</w:t>
            </w:r>
          </w:p>
        </w:tc>
        <w:tc>
          <w:tcPr>
            <w:tcW w:type="dxa" w:w="3660"/>
            <w:vAlign w:val="center"/>
          </w:tcPr>
          <w:p>
            <w:pPr>
              <w:pStyle w:val="TableBody"/>
              <w:jc w:val="center"/>
            </w:pPr>
            <w:r>
              <w:t>0.691</w:t>
            </w:r>
          </w:p>
        </w:tc>
      </w:tr>
    </w:tbl>
    <w:p>
      <w:pPr>
        <w:pStyle w:val="TableCitation"/>
      </w:pPr>
    </w:p>
    <w:p>
      <w:pPr/>
      <w:r>
        <w:t>These historical Libya-Algeria figures were supplied in the project summary. The reported LightGBM PR-AUC was 0.740 and ROC-AUC was 0.930. They are not directly comparable with later six-country results because the population and evaluation changed. [S0]</w:t>
      </w:r>
    </w:p>
    <w:p>
      <w:pPr>
        <w:pStyle w:val="Heading2"/>
      </w:pPr>
      <w:r>
        <w:t>Earlier common-window experiment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0D5DB"/>
          <w:bottom w:val="single" w:sz="4" w:color="D0D5DB"/>
          <w:left w:val="single" w:sz="4" w:color="D0D5DB"/>
          <w:right w:val="single" w:sz="4" w:color="D0D5DB"/>
          <w:insideH w:val="single" w:sz="4" w:color="D0D5DB"/>
          <w:insideV w:val="single" w:sz="4" w:color="D0D5DB"/>
        </w:tblBorders>
      </w:tblPr>
      <w:tblGrid>
        <w:gridCol w:w="3040"/>
        <w:gridCol w:w="1580"/>
        <w:gridCol w:w="1580"/>
        <w:gridCol w:w="1580"/>
        <w:gridCol w:w="1580"/>
      </w:tblGrid>
      <w:tr>
        <w:trPr>
          <w:cantSplit/>
          <w:tblHeader/>
        </w:trPr>
        <w:tc>
          <w:tcPr>
            <w:tcW w:type="dxa" w:w="3040"/>
            <w:vAlign w:val="center"/>
            <w:shd w:fill="F2F4F7"/>
          </w:tcPr>
          <w:p>
            <w:pPr>
              <w:pStyle w:val="TableBody"/>
              <w:jc w:val="left"/>
            </w:pPr>
            <w:r>
              <w:rPr>
                <w:b/>
              </w:rPr>
              <w:t>Method</w:t>
            </w:r>
          </w:p>
        </w:tc>
        <w:tc>
          <w:tcPr>
            <w:tcW w:type="dxa" w:w="1580"/>
            <w:vAlign w:val="center"/>
            <w:shd w:fill="F2F4F7"/>
          </w:tcPr>
          <w:p>
            <w:pPr>
              <w:pStyle w:val="TableBody"/>
              <w:jc w:val="center"/>
            </w:pPr>
            <w:r>
              <w:rPr>
                <w:b/>
              </w:rPr>
              <w:t>Precision</w:t>
            </w:r>
          </w:p>
        </w:tc>
        <w:tc>
          <w:tcPr>
            <w:tcW w:type="dxa" w:w="1580"/>
            <w:vAlign w:val="center"/>
            <w:shd w:fill="F2F4F7"/>
          </w:tcPr>
          <w:p>
            <w:pPr>
              <w:pStyle w:val="TableBody"/>
              <w:jc w:val="center"/>
            </w:pPr>
            <w:r>
              <w:rPr>
                <w:b/>
              </w:rPr>
              <w:t>Recall</w:t>
            </w:r>
          </w:p>
        </w:tc>
        <w:tc>
          <w:tcPr>
            <w:tcW w:type="dxa" w:w="1580"/>
            <w:vAlign w:val="center"/>
            <w:shd w:fill="F2F4F7"/>
          </w:tcPr>
          <w:p>
            <w:pPr>
              <w:pStyle w:val="TableBody"/>
              <w:jc w:val="center"/>
            </w:pPr>
            <w:r>
              <w:rPr>
                <w:b/>
              </w:rPr>
              <w:t>F1</w:t>
            </w:r>
          </w:p>
        </w:tc>
        <w:tc>
          <w:tcPr>
            <w:tcW w:type="dxa" w:w="1580"/>
            <w:vAlign w:val="center"/>
            <w:shd w:fill="F2F4F7"/>
          </w:tcPr>
          <w:p>
            <w:pPr>
              <w:pStyle w:val="TableBody"/>
              <w:jc w:val="center"/>
            </w:pPr>
            <w:r>
              <w:rPr>
                <w:b/>
              </w:rPr>
              <w:t>PR-AUC</w:t>
            </w:r>
          </w:p>
        </w:tc>
      </w:tr>
      <w:tr>
        <w:trPr>
          <w:cantSplit/>
        </w:trPr>
        <w:tc>
          <w:tcPr>
            <w:tcW w:type="dxa" w:w="3040"/>
            <w:vAlign w:val="center"/>
          </w:tcPr>
          <w:p>
            <w:pPr>
              <w:pStyle w:val="TableBody"/>
              <w:jc w:val="left"/>
            </w:pPr>
            <w:r>
              <w:t>Ordinary reduced-feature LightGBM</w:t>
            </w:r>
          </w:p>
        </w:tc>
        <w:tc>
          <w:tcPr>
            <w:tcW w:type="dxa" w:w="1580"/>
            <w:vAlign w:val="center"/>
          </w:tcPr>
          <w:p>
            <w:pPr>
              <w:pStyle w:val="TableBody"/>
              <w:jc w:val="center"/>
            </w:pPr>
            <w:r>
              <w:t>0.822</w:t>
            </w:r>
          </w:p>
        </w:tc>
        <w:tc>
          <w:tcPr>
            <w:tcW w:type="dxa" w:w="1580"/>
            <w:vAlign w:val="center"/>
          </w:tcPr>
          <w:p>
            <w:pPr>
              <w:pStyle w:val="TableBody"/>
              <w:jc w:val="center"/>
            </w:pPr>
            <w:r>
              <w:t>0.383</w:t>
            </w:r>
          </w:p>
        </w:tc>
        <w:tc>
          <w:tcPr>
            <w:tcW w:type="dxa" w:w="1580"/>
            <w:vAlign w:val="center"/>
          </w:tcPr>
          <w:p>
            <w:pPr>
              <w:pStyle w:val="TableBody"/>
              <w:jc w:val="center"/>
            </w:pPr>
            <w:r>
              <w:t>0.523</w:t>
            </w:r>
          </w:p>
        </w:tc>
        <w:tc>
          <w:tcPr>
            <w:tcW w:type="dxa" w:w="1580"/>
            <w:vAlign w:val="center"/>
          </w:tcPr>
          <w:p>
            <w:pPr>
              <w:pStyle w:val="TableBody"/>
              <w:jc w:val="center"/>
            </w:pPr>
            <w:r>
              <w:t>0.549</w:t>
            </w:r>
          </w:p>
        </w:tc>
      </w:tr>
      <w:tr>
        <w:trPr>
          <w:cantSplit/>
        </w:trPr>
        <w:tc>
          <w:tcPr>
            <w:tcW w:type="dxa" w:w="3040"/>
            <w:vAlign w:val="center"/>
          </w:tcPr>
          <w:p>
            <w:pPr>
              <w:pStyle w:val="TableBody"/>
              <w:jc w:val="left"/>
            </w:pPr>
            <w:r>
              <w:t>Positive-unlabelled bagged LightGBM</w:t>
            </w:r>
          </w:p>
        </w:tc>
        <w:tc>
          <w:tcPr>
            <w:tcW w:type="dxa" w:w="1580"/>
            <w:vAlign w:val="center"/>
          </w:tcPr>
          <w:p>
            <w:pPr>
              <w:pStyle w:val="TableBody"/>
              <w:jc w:val="center"/>
            </w:pPr>
            <w:r>
              <w:t>0.787</w:t>
            </w:r>
          </w:p>
        </w:tc>
        <w:tc>
          <w:tcPr>
            <w:tcW w:type="dxa" w:w="1580"/>
            <w:vAlign w:val="center"/>
          </w:tcPr>
          <w:p>
            <w:pPr>
              <w:pStyle w:val="TableBody"/>
              <w:jc w:val="center"/>
            </w:pPr>
            <w:r>
              <w:t>0.367</w:t>
            </w:r>
          </w:p>
        </w:tc>
        <w:tc>
          <w:tcPr>
            <w:tcW w:type="dxa" w:w="1580"/>
            <w:vAlign w:val="center"/>
          </w:tcPr>
          <w:p>
            <w:pPr>
              <w:pStyle w:val="TableBody"/>
              <w:jc w:val="center"/>
            </w:pPr>
            <w:r>
              <w:t>0.500</w:t>
            </w:r>
          </w:p>
        </w:tc>
        <w:tc>
          <w:tcPr>
            <w:tcW w:type="dxa" w:w="1580"/>
            <w:vAlign w:val="center"/>
          </w:tcPr>
          <w:p>
            <w:pPr>
              <w:pStyle w:val="TableBody"/>
              <w:jc w:val="center"/>
            </w:pPr>
            <w:r>
              <w:t>0.556</w:t>
            </w:r>
          </w:p>
        </w:tc>
      </w:tr>
    </w:tbl>
    <w:p>
      <w:pPr>
        <w:pStyle w:val="TableCitation"/>
      </w:pPr>
    </w:p>
    <w:p>
      <w:pPr/>
      <w:r>
        <w:t>These operating points used a coarse threshold search. Rechecking the ordinary model's saved predictions at every distinct score gives a pooled best F1 of 0.591. That is a retrospective development threshold diagnostic, not a new model or independent performance estimate. Comparing its original 0.523 directly with the latest 0.591 would overstate model improvement. [S2, S7]</w:t>
      </w:r>
    </w:p>
    <w:p>
      <w:pPr>
        <w:pStyle w:val="Heading2"/>
      </w:pPr>
      <w:r>
        <w:t>Latest common-window weighting comparison</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0D5DB"/>
          <w:bottom w:val="single" w:sz="4" w:color="D0D5DB"/>
          <w:left w:val="single" w:sz="4" w:color="D0D5DB"/>
          <w:right w:val="single" w:sz="4" w:color="D0D5DB"/>
          <w:insideH w:val="single" w:sz="4" w:color="D0D5DB"/>
          <w:insideV w:val="single" w:sz="4" w:color="D0D5DB"/>
        </w:tblBorders>
      </w:tblPr>
      <w:tblGrid>
        <w:gridCol w:w="4140"/>
        <w:gridCol w:w="1740"/>
        <w:gridCol w:w="1740"/>
        <w:gridCol w:w="1740"/>
      </w:tblGrid>
      <w:tr>
        <w:trPr>
          <w:cantSplit/>
          <w:tblHeader/>
        </w:trPr>
        <w:tc>
          <w:tcPr>
            <w:tcW w:type="dxa" w:w="4140"/>
            <w:vAlign w:val="center"/>
            <w:shd w:fill="F2F4F7"/>
          </w:tcPr>
          <w:p>
            <w:pPr>
              <w:pStyle w:val="TableBody"/>
              <w:jc w:val="left"/>
            </w:pPr>
            <w:r>
              <w:rPr>
                <w:b/>
              </w:rPr>
              <w:t>Training approach</w:t>
            </w:r>
          </w:p>
        </w:tc>
        <w:tc>
          <w:tcPr>
            <w:tcW w:type="dxa" w:w="1740"/>
            <w:vAlign w:val="center"/>
            <w:shd w:fill="F2F4F7"/>
          </w:tcPr>
          <w:p>
            <w:pPr>
              <w:pStyle w:val="TableBody"/>
              <w:jc w:val="center"/>
            </w:pPr>
            <w:r>
              <w:rPr>
                <w:b/>
              </w:rPr>
              <w:t>Pooled F1</w:t>
            </w:r>
          </w:p>
        </w:tc>
        <w:tc>
          <w:tcPr>
            <w:tcW w:type="dxa" w:w="1740"/>
            <w:vAlign w:val="center"/>
            <w:shd w:fill="F2F4F7"/>
          </w:tcPr>
          <w:p>
            <w:pPr>
              <w:pStyle w:val="TableBody"/>
              <w:jc w:val="center"/>
            </w:pPr>
            <w:r>
              <w:rPr>
                <w:b/>
              </w:rPr>
              <w:t>PR-AUC</w:t>
            </w:r>
          </w:p>
        </w:tc>
        <w:tc>
          <w:tcPr>
            <w:tcW w:type="dxa" w:w="1740"/>
            <w:vAlign w:val="center"/>
            <w:shd w:fill="F2F4F7"/>
          </w:tcPr>
          <w:p>
            <w:pPr>
              <w:pStyle w:val="TableBody"/>
              <w:jc w:val="center"/>
            </w:pPr>
            <w:r>
              <w:rPr>
                <w:b/>
              </w:rPr>
              <w:t>Macro-country F1</w:t>
            </w:r>
          </w:p>
        </w:tc>
      </w:tr>
      <w:tr>
        <w:trPr>
          <w:cantSplit/>
        </w:trPr>
        <w:tc>
          <w:tcPr>
            <w:tcW w:type="dxa" w:w="4140"/>
            <w:vAlign w:val="center"/>
          </w:tcPr>
          <w:p>
            <w:pPr>
              <w:pStyle w:val="TableBody"/>
              <w:jc w:val="left"/>
            </w:pPr>
            <w:r>
              <w:t>Ordinary, unweighted</w:t>
            </w:r>
          </w:p>
        </w:tc>
        <w:tc>
          <w:tcPr>
            <w:tcW w:type="dxa" w:w="1740"/>
            <w:vAlign w:val="center"/>
          </w:tcPr>
          <w:p>
            <w:pPr>
              <w:pStyle w:val="TableBody"/>
              <w:jc w:val="center"/>
            </w:pPr>
            <w:r>
              <w:t>0.591</w:t>
            </w:r>
          </w:p>
        </w:tc>
        <w:tc>
          <w:tcPr>
            <w:tcW w:type="dxa" w:w="1740"/>
            <w:vAlign w:val="center"/>
          </w:tcPr>
          <w:p>
            <w:pPr>
              <w:pStyle w:val="TableBody"/>
              <w:jc w:val="center"/>
            </w:pPr>
            <w:r>
              <w:t>0.566</w:t>
            </w:r>
          </w:p>
        </w:tc>
        <w:tc>
          <w:tcPr>
            <w:tcW w:type="dxa" w:w="1740"/>
            <w:vAlign w:val="center"/>
          </w:tcPr>
          <w:p>
            <w:pPr>
              <w:pStyle w:val="TableBody"/>
              <w:jc w:val="center"/>
            </w:pPr>
            <w:r>
              <w:t>0.529</w:t>
            </w:r>
          </w:p>
        </w:tc>
      </w:tr>
      <w:tr>
        <w:trPr>
          <w:cantSplit/>
        </w:trPr>
        <w:tc>
          <w:tcPr>
            <w:tcW w:type="dxa" w:w="4140"/>
            <w:vAlign w:val="center"/>
          </w:tcPr>
          <w:p>
            <w:pPr>
              <w:pStyle w:val="TableBody"/>
              <w:jc w:val="left"/>
            </w:pPr>
            <w:r>
              <w:t>Equal influence per labelled flare site</w:t>
            </w:r>
          </w:p>
        </w:tc>
        <w:tc>
          <w:tcPr>
            <w:tcW w:type="dxa" w:w="1740"/>
            <w:vAlign w:val="center"/>
          </w:tcPr>
          <w:p>
            <w:pPr>
              <w:pStyle w:val="TableBody"/>
              <w:jc w:val="center"/>
            </w:pPr>
            <w:r>
              <w:t>0.585</w:t>
            </w:r>
          </w:p>
        </w:tc>
        <w:tc>
          <w:tcPr>
            <w:tcW w:type="dxa" w:w="1740"/>
            <w:vAlign w:val="center"/>
          </w:tcPr>
          <w:p>
            <w:pPr>
              <w:pStyle w:val="TableBody"/>
              <w:jc w:val="center"/>
            </w:pPr>
            <w:r>
              <w:t>0.550</w:t>
            </w:r>
          </w:p>
        </w:tc>
        <w:tc>
          <w:tcPr>
            <w:tcW w:type="dxa" w:w="1740"/>
            <w:vAlign w:val="center"/>
          </w:tcPr>
          <w:p>
            <w:pPr>
              <w:pStyle w:val="TableBody"/>
              <w:jc w:val="center"/>
            </w:pPr>
            <w:r>
              <w:t>0.523</w:t>
            </w:r>
          </w:p>
        </w:tc>
      </w:tr>
      <w:tr>
        <w:trPr>
          <w:cantSplit/>
        </w:trPr>
        <w:tc>
          <w:tcPr>
            <w:tcW w:type="dxa" w:w="4140"/>
            <w:vAlign w:val="center"/>
          </w:tcPr>
          <w:p>
            <w:pPr>
              <w:pStyle w:val="TableBody"/>
              <w:jc w:val="left"/>
            </w:pPr>
            <w:r>
              <w:t>Partial country and site balancing</w:t>
            </w:r>
          </w:p>
        </w:tc>
        <w:tc>
          <w:tcPr>
            <w:tcW w:type="dxa" w:w="1740"/>
            <w:vAlign w:val="center"/>
          </w:tcPr>
          <w:p>
            <w:pPr>
              <w:pStyle w:val="TableBody"/>
              <w:jc w:val="center"/>
            </w:pPr>
            <w:r>
              <w:t>0.580</w:t>
            </w:r>
          </w:p>
        </w:tc>
        <w:tc>
          <w:tcPr>
            <w:tcW w:type="dxa" w:w="1740"/>
            <w:vAlign w:val="center"/>
          </w:tcPr>
          <w:p>
            <w:pPr>
              <w:pStyle w:val="TableBody"/>
              <w:jc w:val="center"/>
            </w:pPr>
            <w:r>
              <w:t>0.562</w:t>
            </w:r>
          </w:p>
        </w:tc>
        <w:tc>
          <w:tcPr>
            <w:tcW w:type="dxa" w:w="1740"/>
            <w:vAlign w:val="center"/>
          </w:tcPr>
          <w:p>
            <w:pPr>
              <w:pStyle w:val="TableBody"/>
              <w:jc w:val="center"/>
            </w:pPr>
            <w:r>
              <w:t>0.502</w:t>
            </w:r>
          </w:p>
        </w:tc>
      </w:tr>
      <w:tr>
        <w:trPr>
          <w:cantSplit/>
        </w:trPr>
        <w:tc>
          <w:tcPr>
            <w:tcW w:type="dxa" w:w="4140"/>
            <w:vAlign w:val="center"/>
          </w:tcPr>
          <w:p>
            <w:pPr>
              <w:pStyle w:val="TableBody"/>
              <w:jc w:val="left"/>
            </w:pPr>
            <w:r>
              <w:t>Equal country and site balancing</w:t>
            </w:r>
          </w:p>
        </w:tc>
        <w:tc>
          <w:tcPr>
            <w:tcW w:type="dxa" w:w="1740"/>
            <w:vAlign w:val="center"/>
          </w:tcPr>
          <w:p>
            <w:pPr>
              <w:pStyle w:val="TableBody"/>
              <w:jc w:val="center"/>
            </w:pPr>
            <w:r>
              <w:t>0.573</w:t>
            </w:r>
          </w:p>
        </w:tc>
        <w:tc>
          <w:tcPr>
            <w:tcW w:type="dxa" w:w="1740"/>
            <w:vAlign w:val="center"/>
          </w:tcPr>
          <w:p>
            <w:pPr>
              <w:pStyle w:val="TableBody"/>
              <w:jc w:val="center"/>
            </w:pPr>
            <w:r>
              <w:t>0.550</w:t>
            </w:r>
          </w:p>
        </w:tc>
        <w:tc>
          <w:tcPr>
            <w:tcW w:type="dxa" w:w="1740"/>
            <w:vAlign w:val="center"/>
          </w:tcPr>
          <w:p>
            <w:pPr>
              <w:pStyle w:val="TableBody"/>
              <w:jc w:val="center"/>
            </w:pPr>
            <w:r>
              <w:t>0.482</w:t>
            </w:r>
          </w:p>
        </w:tc>
      </w:tr>
    </w:tbl>
    <w:p>
      <w:pPr>
        <w:pStyle w:val="TableCitation"/>
      </w:pPr>
    </w:p>
    <w:p>
      <w:pPr/>
      <w:r>
        <w:t>The selected unweighted operating point has precision 0.640 and recall 0.549, at a threshold of approximately 0.2347. Both model variant and threshold were selected on these development predictions. Ranking improved modestly relative to the earlier ordinary model, but seed variation has not been quantified. [S3]</w:t>
      </w:r>
    </w:p>
    <w:p>
      <w:r>
        <w:br w:type="page"/>
      </w:r>
    </w:p>
    <w:p>
      <w:pPr>
        <w:pStyle w:val="Heading1"/>
        <w:spacing w:before="0"/>
      </w:pPr>
      <w:r>
        <w:t>Transfer to a country excluded from training</w:t>
      </w:r>
    </w:p>
    <w:p>
      <w:pPr/>
      <w:r>
        <w:t>For each row below, the classifier was fitted without that country's source cells. The latest threshold was selected from the remaining countries. The model-selection caveat described earlier still applies. [S2-S3]</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0D5DB"/>
          <w:bottom w:val="single" w:sz="4" w:color="D0D5DB"/>
          <w:left w:val="single" w:sz="4" w:color="D0D5DB"/>
          <w:right w:val="single" w:sz="4" w:color="D0D5DB"/>
          <w:insideH w:val="single" w:sz="4" w:color="D0D5DB"/>
          <w:insideV w:val="single" w:sz="4" w:color="D0D5DB"/>
        </w:tblBorders>
      </w:tblPr>
      <w:tblGrid>
        <w:gridCol w:w="2480"/>
        <w:gridCol w:w="1540"/>
        <w:gridCol w:w="1540"/>
        <w:gridCol w:w="1900"/>
        <w:gridCol w:w="1900"/>
      </w:tblGrid>
      <w:tr>
        <w:trPr>
          <w:cantSplit/>
          <w:tblHeader/>
        </w:trPr>
        <w:tc>
          <w:tcPr>
            <w:tcW w:type="dxa" w:w="2480"/>
            <w:vAlign w:val="center"/>
            <w:shd w:fill="F2F4F7"/>
          </w:tcPr>
          <w:p>
            <w:pPr>
              <w:pStyle w:val="TableBody"/>
              <w:jc w:val="left"/>
            </w:pPr>
            <w:r>
              <w:rPr>
                <w:b/>
              </w:rPr>
              <w:t>Excluded country</w:t>
            </w:r>
          </w:p>
        </w:tc>
        <w:tc>
          <w:tcPr>
            <w:tcW w:type="dxa" w:w="1540"/>
            <w:vAlign w:val="center"/>
            <w:shd w:fill="F2F4F7"/>
          </w:tcPr>
          <w:p>
            <w:pPr>
              <w:pStyle w:val="TableBody"/>
              <w:jc w:val="center"/>
            </w:pPr>
            <w:r>
              <w:rPr>
                <w:b/>
              </w:rPr>
              <w:t>Earlier F1</w:t>
            </w:r>
          </w:p>
        </w:tc>
        <w:tc>
          <w:tcPr>
            <w:tcW w:type="dxa" w:w="1540"/>
            <w:vAlign w:val="center"/>
            <w:shd w:fill="F2F4F7"/>
          </w:tcPr>
          <w:p>
            <w:pPr>
              <w:pStyle w:val="TableBody"/>
              <w:jc w:val="center"/>
            </w:pPr>
            <w:r>
              <w:rPr>
                <w:b/>
              </w:rPr>
              <w:t>Latest F1</w:t>
            </w:r>
          </w:p>
        </w:tc>
        <w:tc>
          <w:tcPr>
            <w:tcW w:type="dxa" w:w="1900"/>
            <w:vAlign w:val="center"/>
            <w:shd w:fill="F2F4F7"/>
          </w:tcPr>
          <w:p>
            <w:pPr>
              <w:pStyle w:val="TableBody"/>
              <w:jc w:val="center"/>
            </w:pPr>
            <w:r>
              <w:rPr>
                <w:b/>
              </w:rPr>
              <w:t>Latest recall</w:t>
            </w:r>
          </w:p>
        </w:tc>
        <w:tc>
          <w:tcPr>
            <w:tcW w:type="dxa" w:w="1900"/>
            <w:vAlign w:val="center"/>
            <w:shd w:fill="F2F4F7"/>
          </w:tcPr>
          <w:p>
            <w:pPr>
              <w:pStyle w:val="TableBody"/>
              <w:jc w:val="center"/>
            </w:pPr>
            <w:r>
              <w:rPr>
                <w:b/>
              </w:rPr>
              <w:t>Latest PR-AUC</w:t>
            </w:r>
          </w:p>
        </w:tc>
      </w:tr>
      <w:tr>
        <w:trPr>
          <w:cantSplit/>
        </w:trPr>
        <w:tc>
          <w:tcPr>
            <w:tcW w:type="dxa" w:w="2480"/>
            <w:vAlign w:val="center"/>
          </w:tcPr>
          <w:p>
            <w:pPr>
              <w:pStyle w:val="TableBody"/>
              <w:jc w:val="left"/>
            </w:pPr>
            <w:r>
              <w:t>Algeria</w:t>
            </w:r>
          </w:p>
        </w:tc>
        <w:tc>
          <w:tcPr>
            <w:tcW w:type="dxa" w:w="1540"/>
            <w:vAlign w:val="center"/>
          </w:tcPr>
          <w:p>
            <w:pPr>
              <w:pStyle w:val="TableBody"/>
              <w:jc w:val="center"/>
            </w:pPr>
            <w:r>
              <w:t>0.596</w:t>
            </w:r>
          </w:p>
        </w:tc>
        <w:tc>
          <w:tcPr>
            <w:tcW w:type="dxa" w:w="1540"/>
            <w:vAlign w:val="center"/>
          </w:tcPr>
          <w:p>
            <w:pPr>
              <w:pStyle w:val="TableBody"/>
              <w:jc w:val="center"/>
            </w:pPr>
            <w:r>
              <w:t>0.617</w:t>
            </w:r>
          </w:p>
        </w:tc>
        <w:tc>
          <w:tcPr>
            <w:tcW w:type="dxa" w:w="1900"/>
            <w:vAlign w:val="center"/>
          </w:tcPr>
          <w:p>
            <w:pPr>
              <w:pStyle w:val="TableBody"/>
              <w:jc w:val="center"/>
            </w:pPr>
            <w:r>
              <w:t>50.0%</w:t>
            </w:r>
          </w:p>
        </w:tc>
        <w:tc>
          <w:tcPr>
            <w:tcW w:type="dxa" w:w="1900"/>
            <w:vAlign w:val="center"/>
          </w:tcPr>
          <w:p>
            <w:pPr>
              <w:pStyle w:val="TableBody"/>
              <w:jc w:val="center"/>
            </w:pPr>
            <w:r>
              <w:t>0.651</w:t>
            </w:r>
          </w:p>
        </w:tc>
      </w:tr>
      <w:tr>
        <w:trPr>
          <w:cantSplit/>
        </w:trPr>
        <w:tc>
          <w:tcPr>
            <w:tcW w:type="dxa" w:w="2480"/>
            <w:vAlign w:val="center"/>
          </w:tcPr>
          <w:p>
            <w:pPr>
              <w:pStyle w:val="TableBody"/>
              <w:jc w:val="left"/>
            </w:pPr>
            <w:r>
              <w:t>Angola</w:t>
            </w:r>
          </w:p>
        </w:tc>
        <w:tc>
          <w:tcPr>
            <w:tcW w:type="dxa" w:w="1540"/>
            <w:vAlign w:val="center"/>
          </w:tcPr>
          <w:p>
            <w:pPr>
              <w:pStyle w:val="TableBody"/>
              <w:jc w:val="center"/>
            </w:pPr>
            <w:r>
              <w:t>0.165</w:t>
            </w:r>
          </w:p>
        </w:tc>
        <w:tc>
          <w:tcPr>
            <w:tcW w:type="dxa" w:w="1540"/>
            <w:vAlign w:val="center"/>
          </w:tcPr>
          <w:p>
            <w:pPr>
              <w:pStyle w:val="TableBody"/>
              <w:jc w:val="center"/>
            </w:pPr>
            <w:r>
              <w:t>0.256</w:t>
            </w:r>
          </w:p>
        </w:tc>
        <w:tc>
          <w:tcPr>
            <w:tcW w:type="dxa" w:w="1900"/>
            <w:vAlign w:val="center"/>
          </w:tcPr>
          <w:p>
            <w:pPr>
              <w:pStyle w:val="TableBody"/>
              <w:jc w:val="center"/>
            </w:pPr>
            <w:r>
              <w:t>31.3%</w:t>
            </w:r>
          </w:p>
        </w:tc>
        <w:tc>
          <w:tcPr>
            <w:tcW w:type="dxa" w:w="1900"/>
            <w:vAlign w:val="center"/>
          </w:tcPr>
          <w:p>
            <w:pPr>
              <w:pStyle w:val="TableBody"/>
              <w:jc w:val="center"/>
            </w:pPr>
            <w:r>
              <w:t>0.203</w:t>
            </w:r>
          </w:p>
        </w:tc>
      </w:tr>
      <w:tr>
        <w:trPr>
          <w:cantSplit/>
        </w:trPr>
        <w:tc>
          <w:tcPr>
            <w:tcW w:type="dxa" w:w="2480"/>
            <w:vAlign w:val="center"/>
          </w:tcPr>
          <w:p>
            <w:pPr>
              <w:pStyle w:val="TableBody"/>
              <w:jc w:val="left"/>
            </w:pPr>
            <w:r>
              <w:t>Indonesia</w:t>
            </w:r>
          </w:p>
        </w:tc>
        <w:tc>
          <w:tcPr>
            <w:tcW w:type="dxa" w:w="1540"/>
            <w:vAlign w:val="center"/>
          </w:tcPr>
          <w:p>
            <w:pPr>
              <w:pStyle w:val="TableBody"/>
              <w:jc w:val="center"/>
            </w:pPr>
            <w:r>
              <w:t>0.144</w:t>
            </w:r>
          </w:p>
        </w:tc>
        <w:tc>
          <w:tcPr>
            <w:tcW w:type="dxa" w:w="1540"/>
            <w:vAlign w:val="center"/>
          </w:tcPr>
          <w:p>
            <w:pPr>
              <w:pStyle w:val="TableBody"/>
              <w:jc w:val="center"/>
            </w:pPr>
            <w:r>
              <w:t>0.210</w:t>
            </w:r>
          </w:p>
        </w:tc>
        <w:tc>
          <w:tcPr>
            <w:tcW w:type="dxa" w:w="1900"/>
            <w:vAlign w:val="center"/>
          </w:tcPr>
          <w:p>
            <w:pPr>
              <w:pStyle w:val="TableBody"/>
              <w:jc w:val="center"/>
            </w:pPr>
            <w:r>
              <w:t>28.7%</w:t>
            </w:r>
          </w:p>
        </w:tc>
        <w:tc>
          <w:tcPr>
            <w:tcW w:type="dxa" w:w="1900"/>
            <w:vAlign w:val="center"/>
          </w:tcPr>
          <w:p>
            <w:pPr>
              <w:pStyle w:val="TableBody"/>
              <w:jc w:val="center"/>
            </w:pPr>
            <w:r>
              <w:t>0.094</w:t>
            </w:r>
          </w:p>
        </w:tc>
      </w:tr>
      <w:tr>
        <w:trPr>
          <w:cantSplit/>
        </w:trPr>
        <w:tc>
          <w:tcPr>
            <w:tcW w:type="dxa" w:w="2480"/>
            <w:vAlign w:val="center"/>
          </w:tcPr>
          <w:p>
            <w:pPr>
              <w:pStyle w:val="TableBody"/>
              <w:jc w:val="left"/>
            </w:pPr>
            <w:r>
              <w:t>Iraq</w:t>
            </w:r>
          </w:p>
        </w:tc>
        <w:tc>
          <w:tcPr>
            <w:tcW w:type="dxa" w:w="1540"/>
            <w:vAlign w:val="center"/>
          </w:tcPr>
          <w:p>
            <w:pPr>
              <w:pStyle w:val="TableBody"/>
              <w:jc w:val="center"/>
            </w:pPr>
            <w:r>
              <w:t>0.641</w:t>
            </w:r>
          </w:p>
        </w:tc>
        <w:tc>
          <w:tcPr>
            <w:tcW w:type="dxa" w:w="1540"/>
            <w:vAlign w:val="center"/>
          </w:tcPr>
          <w:p>
            <w:pPr>
              <w:pStyle w:val="TableBody"/>
              <w:jc w:val="center"/>
            </w:pPr>
            <w:r>
              <w:t>0.582</w:t>
            </w:r>
          </w:p>
        </w:tc>
        <w:tc>
          <w:tcPr>
            <w:tcW w:type="dxa" w:w="1900"/>
            <w:vAlign w:val="center"/>
          </w:tcPr>
          <w:p>
            <w:pPr>
              <w:pStyle w:val="TableBody"/>
              <w:jc w:val="center"/>
            </w:pPr>
            <w:r>
              <w:t>72.3%</w:t>
            </w:r>
          </w:p>
        </w:tc>
        <w:tc>
          <w:tcPr>
            <w:tcW w:type="dxa" w:w="1900"/>
            <w:vAlign w:val="center"/>
          </w:tcPr>
          <w:p>
            <w:pPr>
              <w:pStyle w:val="TableBody"/>
              <w:jc w:val="center"/>
            </w:pPr>
            <w:r>
              <w:t>0.575</w:t>
            </w:r>
          </w:p>
        </w:tc>
      </w:tr>
      <w:tr>
        <w:trPr>
          <w:cantSplit/>
        </w:trPr>
        <w:tc>
          <w:tcPr>
            <w:tcW w:type="dxa" w:w="2480"/>
            <w:vAlign w:val="center"/>
          </w:tcPr>
          <w:p>
            <w:pPr>
              <w:pStyle w:val="TableBody"/>
              <w:jc w:val="left"/>
            </w:pPr>
            <w:r>
              <w:t>Libya</w:t>
            </w:r>
          </w:p>
        </w:tc>
        <w:tc>
          <w:tcPr>
            <w:tcW w:type="dxa" w:w="1540"/>
            <w:vAlign w:val="center"/>
          </w:tcPr>
          <w:p>
            <w:pPr>
              <w:pStyle w:val="TableBody"/>
              <w:jc w:val="center"/>
            </w:pPr>
            <w:r>
              <w:t>0.667</w:t>
            </w:r>
          </w:p>
        </w:tc>
        <w:tc>
          <w:tcPr>
            <w:tcW w:type="dxa" w:w="1540"/>
            <w:vAlign w:val="center"/>
          </w:tcPr>
          <w:p>
            <w:pPr>
              <w:pStyle w:val="TableBody"/>
              <w:jc w:val="center"/>
            </w:pPr>
            <w:r>
              <w:t>0.705</w:t>
            </w:r>
          </w:p>
        </w:tc>
        <w:tc>
          <w:tcPr>
            <w:tcW w:type="dxa" w:w="1900"/>
            <w:vAlign w:val="center"/>
          </w:tcPr>
          <w:p>
            <w:pPr>
              <w:pStyle w:val="TableBody"/>
              <w:jc w:val="center"/>
            </w:pPr>
            <w:r>
              <w:t>62.6%</w:t>
            </w:r>
          </w:p>
        </w:tc>
        <w:tc>
          <w:tcPr>
            <w:tcW w:type="dxa" w:w="1900"/>
            <w:vAlign w:val="center"/>
          </w:tcPr>
          <w:p>
            <w:pPr>
              <w:pStyle w:val="TableBody"/>
              <w:jc w:val="center"/>
            </w:pPr>
            <w:r>
              <w:t>0.761</w:t>
            </w:r>
          </w:p>
        </w:tc>
      </w:tr>
      <w:tr>
        <w:trPr>
          <w:cantSplit/>
        </w:trPr>
        <w:tc>
          <w:tcPr>
            <w:tcW w:type="dxa" w:w="2480"/>
            <w:vAlign w:val="center"/>
          </w:tcPr>
          <w:p>
            <w:pPr>
              <w:pStyle w:val="TableBody"/>
              <w:jc w:val="left"/>
            </w:pPr>
            <w:r>
              <w:t>Nigeria</w:t>
            </w:r>
          </w:p>
        </w:tc>
        <w:tc>
          <w:tcPr>
            <w:tcW w:type="dxa" w:w="1540"/>
            <w:vAlign w:val="center"/>
          </w:tcPr>
          <w:p>
            <w:pPr>
              <w:pStyle w:val="TableBody"/>
              <w:jc w:val="center"/>
            </w:pPr>
            <w:r>
              <w:t>0.028</w:t>
            </w:r>
          </w:p>
        </w:tc>
        <w:tc>
          <w:tcPr>
            <w:tcW w:type="dxa" w:w="1540"/>
            <w:vAlign w:val="center"/>
          </w:tcPr>
          <w:p>
            <w:pPr>
              <w:pStyle w:val="TableBody"/>
              <w:jc w:val="center"/>
            </w:pPr>
            <w:r>
              <w:t>0.262</w:t>
            </w:r>
          </w:p>
        </w:tc>
        <w:tc>
          <w:tcPr>
            <w:tcW w:type="dxa" w:w="1900"/>
            <w:vAlign w:val="center"/>
          </w:tcPr>
          <w:p>
            <w:pPr>
              <w:pStyle w:val="TableBody"/>
              <w:jc w:val="center"/>
            </w:pPr>
            <w:r>
              <w:t>17.5%</w:t>
            </w:r>
          </w:p>
        </w:tc>
        <w:tc>
          <w:tcPr>
            <w:tcW w:type="dxa" w:w="1900"/>
            <w:vAlign w:val="center"/>
          </w:tcPr>
          <w:p>
            <w:pPr>
              <w:pStyle w:val="TableBody"/>
              <w:jc w:val="center"/>
            </w:pPr>
            <w:r>
              <w:t>0.203</w:t>
            </w:r>
          </w:p>
        </w:tc>
      </w:tr>
      <w:tr>
        <w:trPr>
          <w:cantSplit/>
        </w:trPr>
        <w:tc>
          <w:tcPr>
            <w:tcW w:type="dxa" w:w="2480"/>
            <w:vAlign w:val="center"/>
          </w:tcPr>
          <w:p>
            <w:pPr>
              <w:pStyle w:val="TableBody"/>
              <w:jc w:val="left"/>
            </w:pPr>
            <w:r>
              <w:t>Country average</w:t>
            </w:r>
          </w:p>
        </w:tc>
        <w:tc>
          <w:tcPr>
            <w:tcW w:type="dxa" w:w="1540"/>
            <w:vAlign w:val="center"/>
          </w:tcPr>
          <w:p>
            <w:pPr>
              <w:pStyle w:val="TableBody"/>
              <w:jc w:val="center"/>
            </w:pPr>
            <w:r>
              <w:t>0.374</w:t>
            </w:r>
          </w:p>
        </w:tc>
        <w:tc>
          <w:tcPr>
            <w:tcW w:type="dxa" w:w="1540"/>
            <w:vAlign w:val="center"/>
          </w:tcPr>
          <w:p>
            <w:pPr>
              <w:pStyle w:val="TableBody"/>
              <w:jc w:val="center"/>
            </w:pPr>
            <w:r>
              <w:t>0.439</w:t>
            </w:r>
          </w:p>
        </w:tc>
        <w:tc>
          <w:tcPr>
            <w:tcW w:type="dxa" w:w="1900"/>
            <w:vAlign w:val="center"/>
          </w:tcPr>
          <w:p>
            <w:pPr>
              <w:pStyle w:val="TableBody"/>
              <w:jc w:val="center"/>
            </w:pPr>
            <w:r>
              <w:t>43.7%</w:t>
            </w:r>
          </w:p>
        </w:tc>
        <w:tc>
          <w:tcPr>
            <w:tcW w:type="dxa" w:w="1900"/>
            <w:vAlign w:val="center"/>
          </w:tcPr>
          <w:p>
            <w:pPr>
              <w:pStyle w:val="TableBody"/>
              <w:jc w:val="center"/>
            </w:pPr>
            <w:r>
              <w:t>0.414</w:t>
            </w:r>
          </w:p>
        </w:tc>
      </w:tr>
    </w:tbl>
    <w:p>
      <w:pPr>
        <w:pStyle w:val="TableCitation"/>
      </w:pPr>
    </w:p>
    <w:p>
      <w:pPr/>
      <w:r/>
      <w:r>
        <w:rPr>
          <w:b/>
        </w:rPr>
        <w:t>Observation:</w:t>
      </w:r>
      <w:r>
        <w:t xml:space="preserve"> Average F1 improved, but average country-held-out PR-AUC changed from 0.418 to 0.414. Iraq's F1 fell while five countries improved. Nigeria still misses most labelled positive cells.</w:t>
      </w:r>
    </w:p>
    <w:p>
      <w:pPr/>
      <w:r/>
      <w:r>
        <w:rPr>
          <w:b/>
        </w:rPr>
        <w:t>Interpretation:</w:t>
      </w:r>
      <w:r>
        <w:t xml:space="preserve"> Much of the F1 gain comes from a better operating threshold. Applying the new Nigerian threshold to the old model's scores already gives F1 of 0.245, versus 0.262 for the new model. This is a diagnostic comparison, not a threshold chosen for deployment. Geographic transfer remains uneven. [S7]</w:t>
      </w:r>
    </w:p>
    <w:p>
      <w:pPr>
        <w:pStyle w:val="Heading2"/>
      </w:pPr>
      <w:r>
        <w:t>Physical flare-site recovery</w:t>
      </w:r>
    </w:p>
    <w:p>
      <w:pPr/>
      <w:r>
        <w:t>One detected cell is sufficient to count its matched physical flare site as found. The following table separates classification from the upstream problem of whether a site has any corresponding source cell. [S3]</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0D5DB"/>
          <w:bottom w:val="single" w:sz="4" w:color="D0D5DB"/>
          <w:left w:val="single" w:sz="4" w:color="D0D5DB"/>
          <w:right w:val="single" w:sz="4" w:color="D0D5DB"/>
          <w:insideH w:val="single" w:sz="4" w:color="D0D5DB"/>
          <w:insideV w:val="single" w:sz="4" w:color="D0D5DB"/>
        </w:tblBorders>
      </w:tblPr>
      <w:tblGrid>
        <w:gridCol w:w="1900"/>
        <w:gridCol w:w="1850"/>
        <w:gridCol w:w="2200"/>
        <w:gridCol w:w="1550"/>
        <w:gridCol w:w="1860"/>
      </w:tblGrid>
      <w:tr>
        <w:trPr>
          <w:cantSplit/>
          <w:tblHeader/>
        </w:trPr>
        <w:tc>
          <w:tcPr>
            <w:tcW w:type="dxa" w:w="1900"/>
            <w:vAlign w:val="center"/>
            <w:shd w:fill="F2F4F7"/>
          </w:tcPr>
          <w:p>
            <w:pPr>
              <w:pStyle w:val="TableBody"/>
              <w:jc w:val="left"/>
            </w:pPr>
            <w:r>
              <w:rPr>
                <w:b/>
              </w:rPr>
              <w:t>Country</w:t>
            </w:r>
          </w:p>
        </w:tc>
        <w:tc>
          <w:tcPr>
            <w:tcW w:type="dxa" w:w="1850"/>
            <w:vAlign w:val="center"/>
            <w:shd w:fill="F2F4F7"/>
          </w:tcPr>
          <w:p>
            <w:pPr>
              <w:pStyle w:val="TableBody"/>
              <w:jc w:val="center"/>
            </w:pPr>
            <w:r>
              <w:rPr>
                <w:b/>
              </w:rPr>
              <w:t>Active reference sites</w:t>
            </w:r>
          </w:p>
        </w:tc>
        <w:tc>
          <w:tcPr>
            <w:tcW w:type="dxa" w:w="2200"/>
            <w:vAlign w:val="center"/>
            <w:shd w:fill="F2F4F7"/>
          </w:tcPr>
          <w:p>
            <w:pPr>
              <w:pStyle w:val="TableBody"/>
              <w:jc w:val="center"/>
            </w:pPr>
            <w:r>
              <w:rPr>
                <w:b/>
              </w:rPr>
              <w:t>Sites represented in features</w:t>
            </w:r>
          </w:p>
        </w:tc>
        <w:tc>
          <w:tcPr>
            <w:tcW w:type="dxa" w:w="1550"/>
            <w:vAlign w:val="center"/>
            <w:shd w:fill="F2F4F7"/>
          </w:tcPr>
          <w:p>
            <w:pPr>
              <w:pStyle w:val="TableBody"/>
              <w:jc w:val="center"/>
            </w:pPr>
            <w:r>
              <w:rPr>
                <w:b/>
              </w:rPr>
              <w:t>Sites detected</w:t>
            </w:r>
          </w:p>
        </w:tc>
        <w:tc>
          <w:tcPr>
            <w:tcW w:type="dxa" w:w="1860"/>
            <w:vAlign w:val="center"/>
            <w:shd w:fill="F2F4F7"/>
          </w:tcPr>
          <w:p>
            <w:pPr>
              <w:pStyle w:val="TableBody"/>
              <w:jc w:val="center"/>
            </w:pPr>
            <w:r>
              <w:rPr>
                <w:b/>
              </w:rPr>
              <w:t>Recall of all sites</w:t>
            </w:r>
          </w:p>
        </w:tc>
      </w:tr>
      <w:tr>
        <w:trPr>
          <w:cantSplit/>
        </w:trPr>
        <w:tc>
          <w:tcPr>
            <w:tcW w:type="dxa" w:w="1900"/>
            <w:vAlign w:val="center"/>
          </w:tcPr>
          <w:p>
            <w:pPr>
              <w:pStyle w:val="TableBody"/>
              <w:jc w:val="left"/>
            </w:pPr>
            <w:r>
              <w:t>Algeria</w:t>
            </w:r>
          </w:p>
        </w:tc>
        <w:tc>
          <w:tcPr>
            <w:tcW w:type="dxa" w:w="1850"/>
            <w:vAlign w:val="center"/>
          </w:tcPr>
          <w:p>
            <w:pPr>
              <w:pStyle w:val="TableBody"/>
              <w:jc w:val="center"/>
            </w:pPr>
            <w:r>
              <w:t>414</w:t>
            </w:r>
          </w:p>
        </w:tc>
        <w:tc>
          <w:tcPr>
            <w:tcW w:type="dxa" w:w="2200"/>
            <w:vAlign w:val="center"/>
          </w:tcPr>
          <w:p>
            <w:pPr>
              <w:pStyle w:val="TableBody"/>
              <w:jc w:val="center"/>
            </w:pPr>
            <w:r>
              <w:t>361</w:t>
            </w:r>
          </w:p>
        </w:tc>
        <w:tc>
          <w:tcPr>
            <w:tcW w:type="dxa" w:w="1550"/>
            <w:vAlign w:val="center"/>
          </w:tcPr>
          <w:p>
            <w:pPr>
              <w:pStyle w:val="TableBody"/>
              <w:jc w:val="center"/>
            </w:pPr>
            <w:r>
              <w:t>215</w:t>
            </w:r>
          </w:p>
        </w:tc>
        <w:tc>
          <w:tcPr>
            <w:tcW w:type="dxa" w:w="1860"/>
            <w:vAlign w:val="center"/>
          </w:tcPr>
          <w:p>
            <w:pPr>
              <w:pStyle w:val="TableBody"/>
              <w:jc w:val="center"/>
            </w:pPr>
            <w:r>
              <w:t>51.9%</w:t>
            </w:r>
          </w:p>
        </w:tc>
      </w:tr>
      <w:tr>
        <w:trPr>
          <w:cantSplit/>
        </w:trPr>
        <w:tc>
          <w:tcPr>
            <w:tcW w:type="dxa" w:w="1900"/>
            <w:vAlign w:val="center"/>
          </w:tcPr>
          <w:p>
            <w:pPr>
              <w:pStyle w:val="TableBody"/>
              <w:jc w:val="left"/>
            </w:pPr>
            <w:r>
              <w:t>Angola</w:t>
            </w:r>
          </w:p>
        </w:tc>
        <w:tc>
          <w:tcPr>
            <w:tcW w:type="dxa" w:w="1850"/>
            <w:vAlign w:val="center"/>
          </w:tcPr>
          <w:p>
            <w:pPr>
              <w:pStyle w:val="TableBody"/>
              <w:jc w:val="center"/>
            </w:pPr>
            <w:r>
              <w:t>67</w:t>
            </w:r>
          </w:p>
        </w:tc>
        <w:tc>
          <w:tcPr>
            <w:tcW w:type="dxa" w:w="2200"/>
            <w:vAlign w:val="center"/>
          </w:tcPr>
          <w:p>
            <w:pPr>
              <w:pStyle w:val="TableBody"/>
              <w:jc w:val="center"/>
            </w:pPr>
            <w:r>
              <w:t>10</w:t>
            </w:r>
          </w:p>
        </w:tc>
        <w:tc>
          <w:tcPr>
            <w:tcW w:type="dxa" w:w="1550"/>
            <w:vAlign w:val="center"/>
          </w:tcPr>
          <w:p>
            <w:pPr>
              <w:pStyle w:val="TableBody"/>
              <w:jc w:val="center"/>
            </w:pPr>
            <w:r>
              <w:t>6</w:t>
            </w:r>
          </w:p>
        </w:tc>
        <w:tc>
          <w:tcPr>
            <w:tcW w:type="dxa" w:w="1860"/>
            <w:vAlign w:val="center"/>
          </w:tcPr>
          <w:p>
            <w:pPr>
              <w:pStyle w:val="TableBody"/>
              <w:jc w:val="center"/>
            </w:pPr>
            <w:r>
              <w:t>9.0%</w:t>
            </w:r>
          </w:p>
        </w:tc>
      </w:tr>
      <w:tr>
        <w:trPr>
          <w:cantSplit/>
        </w:trPr>
        <w:tc>
          <w:tcPr>
            <w:tcW w:type="dxa" w:w="1900"/>
            <w:vAlign w:val="center"/>
          </w:tcPr>
          <w:p>
            <w:pPr>
              <w:pStyle w:val="TableBody"/>
              <w:jc w:val="left"/>
            </w:pPr>
            <w:r>
              <w:t>Indonesia</w:t>
            </w:r>
          </w:p>
        </w:tc>
        <w:tc>
          <w:tcPr>
            <w:tcW w:type="dxa" w:w="1850"/>
            <w:vAlign w:val="center"/>
          </w:tcPr>
          <w:p>
            <w:pPr>
              <w:pStyle w:val="TableBody"/>
              <w:jc w:val="center"/>
            </w:pPr>
            <w:r>
              <w:t>336</w:t>
            </w:r>
          </w:p>
        </w:tc>
        <w:tc>
          <w:tcPr>
            <w:tcW w:type="dxa" w:w="2200"/>
            <w:vAlign w:val="center"/>
          </w:tcPr>
          <w:p>
            <w:pPr>
              <w:pStyle w:val="TableBody"/>
              <w:jc w:val="center"/>
            </w:pPr>
            <w:r>
              <w:t>184</w:t>
            </w:r>
          </w:p>
        </w:tc>
        <w:tc>
          <w:tcPr>
            <w:tcW w:type="dxa" w:w="1550"/>
            <w:vAlign w:val="center"/>
          </w:tcPr>
          <w:p>
            <w:pPr>
              <w:pStyle w:val="TableBody"/>
              <w:jc w:val="center"/>
            </w:pPr>
            <w:r>
              <w:t>75</w:t>
            </w:r>
          </w:p>
        </w:tc>
        <w:tc>
          <w:tcPr>
            <w:tcW w:type="dxa" w:w="1860"/>
            <w:vAlign w:val="center"/>
          </w:tcPr>
          <w:p>
            <w:pPr>
              <w:pStyle w:val="TableBody"/>
              <w:jc w:val="center"/>
            </w:pPr>
            <w:r>
              <w:t>22.3%</w:t>
            </w:r>
          </w:p>
        </w:tc>
      </w:tr>
      <w:tr>
        <w:trPr>
          <w:cantSplit/>
        </w:trPr>
        <w:tc>
          <w:tcPr>
            <w:tcW w:type="dxa" w:w="1900"/>
            <w:vAlign w:val="center"/>
          </w:tcPr>
          <w:p>
            <w:pPr>
              <w:pStyle w:val="TableBody"/>
              <w:jc w:val="left"/>
            </w:pPr>
            <w:r>
              <w:t>Iraq</w:t>
            </w:r>
          </w:p>
        </w:tc>
        <w:tc>
          <w:tcPr>
            <w:tcW w:type="dxa" w:w="1850"/>
            <w:vAlign w:val="center"/>
          </w:tcPr>
          <w:p>
            <w:pPr>
              <w:pStyle w:val="TableBody"/>
              <w:jc w:val="center"/>
            </w:pPr>
            <w:r>
              <w:t>262</w:t>
            </w:r>
          </w:p>
        </w:tc>
        <w:tc>
          <w:tcPr>
            <w:tcW w:type="dxa" w:w="2200"/>
            <w:vAlign w:val="center"/>
          </w:tcPr>
          <w:p>
            <w:pPr>
              <w:pStyle w:val="TableBody"/>
              <w:jc w:val="center"/>
            </w:pPr>
            <w:r>
              <w:t>220</w:t>
            </w:r>
          </w:p>
        </w:tc>
        <w:tc>
          <w:tcPr>
            <w:tcW w:type="dxa" w:w="1550"/>
            <w:vAlign w:val="center"/>
          </w:tcPr>
          <w:p>
            <w:pPr>
              <w:pStyle w:val="TableBody"/>
              <w:jc w:val="center"/>
            </w:pPr>
            <w:r>
              <w:t>170</w:t>
            </w:r>
          </w:p>
        </w:tc>
        <w:tc>
          <w:tcPr>
            <w:tcW w:type="dxa" w:w="1860"/>
            <w:vAlign w:val="center"/>
          </w:tcPr>
          <w:p>
            <w:pPr>
              <w:pStyle w:val="TableBody"/>
              <w:jc w:val="center"/>
            </w:pPr>
            <w:r>
              <w:t>64.9%</w:t>
            </w:r>
          </w:p>
        </w:tc>
      </w:tr>
      <w:tr>
        <w:trPr>
          <w:cantSplit/>
        </w:trPr>
        <w:tc>
          <w:tcPr>
            <w:tcW w:type="dxa" w:w="1900"/>
            <w:vAlign w:val="center"/>
          </w:tcPr>
          <w:p>
            <w:pPr>
              <w:pStyle w:val="TableBody"/>
              <w:jc w:val="left"/>
            </w:pPr>
            <w:r>
              <w:t>Libya</w:t>
            </w:r>
          </w:p>
        </w:tc>
        <w:tc>
          <w:tcPr>
            <w:tcW w:type="dxa" w:w="1850"/>
            <w:vAlign w:val="center"/>
          </w:tcPr>
          <w:p>
            <w:pPr>
              <w:pStyle w:val="TableBody"/>
              <w:jc w:val="center"/>
            </w:pPr>
            <w:r>
              <w:t>200</w:t>
            </w:r>
          </w:p>
        </w:tc>
        <w:tc>
          <w:tcPr>
            <w:tcW w:type="dxa" w:w="2200"/>
            <w:vAlign w:val="center"/>
          </w:tcPr>
          <w:p>
            <w:pPr>
              <w:pStyle w:val="TableBody"/>
              <w:jc w:val="center"/>
            </w:pPr>
            <w:r>
              <w:t>169</w:t>
            </w:r>
          </w:p>
        </w:tc>
        <w:tc>
          <w:tcPr>
            <w:tcW w:type="dxa" w:w="1550"/>
            <w:vAlign w:val="center"/>
          </w:tcPr>
          <w:p>
            <w:pPr>
              <w:pStyle w:val="TableBody"/>
              <w:jc w:val="center"/>
            </w:pPr>
            <w:r>
              <w:t>130</w:t>
            </w:r>
          </w:p>
        </w:tc>
        <w:tc>
          <w:tcPr>
            <w:tcW w:type="dxa" w:w="1860"/>
            <w:vAlign w:val="center"/>
          </w:tcPr>
          <w:p>
            <w:pPr>
              <w:pStyle w:val="TableBody"/>
              <w:jc w:val="center"/>
            </w:pPr>
            <w:r>
              <w:t>65.0%</w:t>
            </w:r>
          </w:p>
        </w:tc>
      </w:tr>
      <w:tr>
        <w:trPr>
          <w:cantSplit/>
        </w:trPr>
        <w:tc>
          <w:tcPr>
            <w:tcW w:type="dxa" w:w="1900"/>
            <w:vAlign w:val="center"/>
          </w:tcPr>
          <w:p>
            <w:pPr>
              <w:pStyle w:val="TableBody"/>
              <w:jc w:val="left"/>
            </w:pPr>
            <w:r>
              <w:t>Nigeria</w:t>
            </w:r>
          </w:p>
        </w:tc>
        <w:tc>
          <w:tcPr>
            <w:tcW w:type="dxa" w:w="1850"/>
            <w:vAlign w:val="center"/>
          </w:tcPr>
          <w:p>
            <w:pPr>
              <w:pStyle w:val="TableBody"/>
              <w:jc w:val="center"/>
            </w:pPr>
            <w:r>
              <w:t>412</w:t>
            </w:r>
          </w:p>
        </w:tc>
        <w:tc>
          <w:tcPr>
            <w:tcW w:type="dxa" w:w="2200"/>
            <w:vAlign w:val="center"/>
          </w:tcPr>
          <w:p>
            <w:pPr>
              <w:pStyle w:val="TableBody"/>
              <w:jc w:val="center"/>
            </w:pPr>
            <w:r>
              <w:t>288</w:t>
            </w:r>
          </w:p>
        </w:tc>
        <w:tc>
          <w:tcPr>
            <w:tcW w:type="dxa" w:w="1550"/>
            <w:vAlign w:val="center"/>
          </w:tcPr>
          <w:p>
            <w:pPr>
              <w:pStyle w:val="TableBody"/>
              <w:jc w:val="center"/>
            </w:pPr>
            <w:r>
              <w:t>75</w:t>
            </w:r>
          </w:p>
        </w:tc>
        <w:tc>
          <w:tcPr>
            <w:tcW w:type="dxa" w:w="1860"/>
            <w:vAlign w:val="center"/>
          </w:tcPr>
          <w:p>
            <w:pPr>
              <w:pStyle w:val="TableBody"/>
              <w:jc w:val="center"/>
            </w:pPr>
            <w:r>
              <w:t>18.2%</w:t>
            </w:r>
          </w:p>
        </w:tc>
      </w:tr>
      <w:tr>
        <w:trPr>
          <w:cantSplit/>
        </w:trPr>
        <w:tc>
          <w:tcPr>
            <w:tcW w:type="dxa" w:w="1900"/>
            <w:vAlign w:val="center"/>
          </w:tcPr>
          <w:p>
            <w:pPr>
              <w:pStyle w:val="TableBody"/>
              <w:jc w:val="left"/>
            </w:pPr>
            <w:r>
              <w:t>Total</w:t>
            </w:r>
          </w:p>
        </w:tc>
        <w:tc>
          <w:tcPr>
            <w:tcW w:type="dxa" w:w="1850"/>
            <w:vAlign w:val="center"/>
          </w:tcPr>
          <w:p>
            <w:pPr>
              <w:pStyle w:val="TableBody"/>
              <w:jc w:val="center"/>
            </w:pPr>
            <w:r>
              <w:t>1,691</w:t>
            </w:r>
          </w:p>
        </w:tc>
        <w:tc>
          <w:tcPr>
            <w:tcW w:type="dxa" w:w="2200"/>
            <w:vAlign w:val="center"/>
          </w:tcPr>
          <w:p>
            <w:pPr>
              <w:pStyle w:val="TableBody"/>
              <w:jc w:val="center"/>
            </w:pPr>
            <w:r>
              <w:t>1,232</w:t>
            </w:r>
          </w:p>
        </w:tc>
        <w:tc>
          <w:tcPr>
            <w:tcW w:type="dxa" w:w="1550"/>
            <w:vAlign w:val="center"/>
          </w:tcPr>
          <w:p>
            <w:pPr>
              <w:pStyle w:val="TableBody"/>
              <w:jc w:val="center"/>
            </w:pPr>
            <w:r>
              <w:t>671</w:t>
            </w:r>
          </w:p>
        </w:tc>
        <w:tc>
          <w:tcPr>
            <w:tcW w:type="dxa" w:w="1860"/>
            <w:vAlign w:val="center"/>
          </w:tcPr>
          <w:p>
            <w:pPr>
              <w:pStyle w:val="TableBody"/>
              <w:jc w:val="center"/>
            </w:pPr>
            <w:r>
              <w:t>39.7%</w:t>
            </w:r>
          </w:p>
        </w:tc>
      </w:tr>
    </w:tbl>
    <w:p>
      <w:pPr>
        <w:pStyle w:val="TableCitation"/>
      </w:pPr>
    </w:p>
    <w:p>
      <w:pPr/>
      <w:r>
        <w:t>The classifier finds 54.5% of the 1,232 represented reference sites, but only 39.7% of all 1,691 active reference sites. In Angola, only ten of 67 sites enter the feature population. A classifier cannot recover an absent candidate: acquisition coverage, filtering, grid construction and label matching require investigation alongside model changes.</w:t>
      </w:r>
    </w:p>
    <w:p>
      <w:r>
        <w:br w:type="page"/>
      </w:r>
    </w:p>
    <w:p>
      <w:pPr>
        <w:pStyle w:val="Heading1"/>
        <w:spacing w:before="0"/>
      </w:pPr>
      <w:r>
        <w:t>Satellite imagery: completed acquisition pilot</w:t>
      </w:r>
    </w:p>
    <w:p>
      <w:pPr/>
      <w:r>
        <w:t>FIRMS records show thermal behavior, but provide limited detail about surrounding infrastructure. We tested a complementary imagery workflow using Sentinel-2 Level-2A surface reflectance and ESA WorldCover 2021 v200 land-cover classes.</w:t>
      </w:r>
    </w:p>
    <w:p>
      <w:pPr/>
      <w:r>
        <w:t>The pilot used public Earth Search and WorldCover endpoints without requiring the team to complete Copernicus registration. Each selected source received a six-band, approximately 2 km by 2 km patch on a common 10 m grid. The six bands cover visible blue, green and red, near infrared and two shortwave infrared channels. Resampling the 20 m shortwave bands onto 10 m pixels does not create extra native spatial detail.</w:t>
      </w:r>
    </w:p>
    <w:p>
      <w:pPr/>
      <w:r>
        <w:t>This pilot selects one acceptable scene per source from up to eight candidates in 2022-2024. It does not yet create seasonal composites or time-series image stacks. Cloud/coverage masks require at least 80% valid pixels across the whole chip and its central 500 m region. The accepted SCL classes are vegetation, non-vegetated surfaces and water. [S4-S5]</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0D5DB"/>
          <w:bottom w:val="single" w:sz="4" w:color="D0D5DB"/>
          <w:left w:val="single" w:sz="4" w:color="D0D5DB"/>
          <w:right w:val="single" w:sz="4" w:color="D0D5DB"/>
          <w:insideH w:val="single" w:sz="4" w:color="D0D5DB"/>
          <w:insideV w:val="single" w:sz="4" w:color="D0D5DB"/>
        </w:tblBorders>
      </w:tblPr>
      <w:tblGrid>
        <w:gridCol w:w="5700"/>
        <w:gridCol w:w="3660"/>
      </w:tblGrid>
      <w:tr>
        <w:trPr>
          <w:cantSplit/>
          <w:tblHeader/>
        </w:trPr>
        <w:tc>
          <w:tcPr>
            <w:tcW w:type="dxa" w:w="5700"/>
            <w:vAlign w:val="center"/>
            <w:shd w:fill="F2F4F7"/>
          </w:tcPr>
          <w:p>
            <w:pPr>
              <w:pStyle w:val="TableBody"/>
              <w:jc w:val="left"/>
            </w:pPr>
            <w:r>
              <w:rPr>
                <w:b/>
              </w:rPr>
              <w:t>Acquisition or verification measure</w:t>
            </w:r>
          </w:p>
        </w:tc>
        <w:tc>
          <w:tcPr>
            <w:tcW w:type="dxa" w:w="3660"/>
            <w:vAlign w:val="center"/>
            <w:shd w:fill="F2F4F7"/>
          </w:tcPr>
          <w:p>
            <w:pPr>
              <w:pStyle w:val="TableBody"/>
              <w:jc w:val="center"/>
            </w:pPr>
            <w:r>
              <w:rPr>
                <w:b/>
              </w:rPr>
              <w:t>Result</w:t>
            </w:r>
          </w:p>
        </w:tc>
      </w:tr>
      <w:tr>
        <w:trPr>
          <w:cantSplit/>
        </w:trPr>
        <w:tc>
          <w:tcPr>
            <w:tcW w:type="dxa" w:w="5700"/>
            <w:vAlign w:val="center"/>
          </w:tcPr>
          <w:p>
            <w:pPr>
              <w:pStyle w:val="TableBody"/>
              <w:jc w:val="left"/>
            </w:pPr>
            <w:r>
              <w:t>Locations attempted</w:t>
            </w:r>
          </w:p>
        </w:tc>
        <w:tc>
          <w:tcPr>
            <w:tcW w:type="dxa" w:w="3660"/>
            <w:vAlign w:val="center"/>
          </w:tcPr>
          <w:p>
            <w:pPr>
              <w:pStyle w:val="TableBody"/>
              <w:jc w:val="center"/>
            </w:pPr>
            <w:r>
              <w:t>100</w:t>
            </w:r>
          </w:p>
        </w:tc>
      </w:tr>
      <w:tr>
        <w:trPr>
          <w:cantSplit/>
        </w:trPr>
        <w:tc>
          <w:tcPr>
            <w:tcW w:type="dxa" w:w="5700"/>
            <w:vAlign w:val="center"/>
          </w:tcPr>
          <w:p>
            <w:pPr>
              <w:pStyle w:val="TableBody"/>
              <w:jc w:val="left"/>
            </w:pPr>
            <w:r>
              <w:t>Successful downloads</w:t>
            </w:r>
          </w:p>
        </w:tc>
        <w:tc>
          <w:tcPr>
            <w:tcW w:type="dxa" w:w="3660"/>
            <w:vAlign w:val="center"/>
          </w:tcPr>
          <w:p>
            <w:pPr>
              <w:pStyle w:val="TableBody"/>
              <w:jc w:val="center"/>
            </w:pPr>
            <w:r>
              <w:t>99</w:t>
            </w:r>
          </w:p>
        </w:tc>
      </w:tr>
      <w:tr>
        <w:trPr>
          <w:cantSplit/>
        </w:trPr>
        <w:tc>
          <w:tcPr>
            <w:tcW w:type="dxa" w:w="5700"/>
            <w:vAlign w:val="center"/>
          </w:tcPr>
          <w:p>
            <w:pPr>
              <w:pStyle w:val="TableBody"/>
              <w:jc w:val="left"/>
            </w:pPr>
            <w:r>
              <w:t>Successful EOG-positive / unlabelled locations</w:t>
            </w:r>
          </w:p>
        </w:tc>
        <w:tc>
          <w:tcPr>
            <w:tcW w:type="dxa" w:w="3660"/>
            <w:vAlign w:val="center"/>
          </w:tcPr>
          <w:p>
            <w:pPr>
              <w:pStyle w:val="TableBody"/>
              <w:jc w:val="center"/>
            </w:pPr>
            <w:r>
              <w:t>46 / 53</w:t>
            </w:r>
          </w:p>
        </w:tc>
      </w:tr>
      <w:tr>
        <w:trPr>
          <w:cantSplit/>
        </w:trPr>
        <w:tc>
          <w:tcPr>
            <w:tcW w:type="dxa" w:w="5700"/>
            <w:vAlign w:val="center"/>
          </w:tcPr>
          <w:p>
            <w:pPr>
              <w:pStyle w:val="TableBody"/>
              <w:jc w:val="left"/>
            </w:pPr>
            <w:r>
              <w:t>Array shape</w:t>
            </w:r>
          </w:p>
        </w:tc>
        <w:tc>
          <w:tcPr>
            <w:tcW w:type="dxa" w:w="3660"/>
            <w:vAlign w:val="center"/>
          </w:tcPr>
          <w:p>
            <w:pPr>
              <w:pStyle w:val="TableBody"/>
              <w:jc w:val="center"/>
            </w:pPr>
            <w:r>
              <w:t>6 bands x 200 x 200 pixels</w:t>
            </w:r>
          </w:p>
        </w:tc>
      </w:tr>
      <w:tr>
        <w:trPr>
          <w:cantSplit/>
        </w:trPr>
        <w:tc>
          <w:tcPr>
            <w:tcW w:type="dxa" w:w="5700"/>
            <w:vAlign w:val="center"/>
          </w:tcPr>
          <w:p>
            <w:pPr>
              <w:pStyle w:val="TableBody"/>
              <w:jc w:val="left"/>
            </w:pPr>
            <w:r>
              <w:t>Average clear/valid pixel fraction</w:t>
            </w:r>
          </w:p>
        </w:tc>
        <w:tc>
          <w:tcPr>
            <w:tcW w:type="dxa" w:w="3660"/>
            <w:vAlign w:val="center"/>
          </w:tcPr>
          <w:p>
            <w:pPr>
              <w:pStyle w:val="TableBody"/>
              <w:jc w:val="center"/>
            </w:pPr>
            <w:r>
              <w:t>98.84%</w:t>
            </w:r>
          </w:p>
        </w:tc>
      </w:tr>
      <w:tr>
        <w:trPr>
          <w:cantSplit/>
        </w:trPr>
        <w:tc>
          <w:tcPr>
            <w:tcW w:type="dxa" w:w="5700"/>
            <w:vAlign w:val="center"/>
          </w:tcPr>
          <w:p>
            <w:pPr>
              <w:pStyle w:val="TableBody"/>
              <w:jc w:val="left"/>
            </w:pPr>
            <w:r>
              <w:t>Lowest accepted clear/valid pixel fraction</w:t>
            </w:r>
          </w:p>
        </w:tc>
        <w:tc>
          <w:tcPr>
            <w:tcW w:type="dxa" w:w="3660"/>
            <w:vAlign w:val="center"/>
          </w:tcPr>
          <w:p>
            <w:pPr>
              <w:pStyle w:val="TableBody"/>
              <w:jc w:val="center"/>
            </w:pPr>
            <w:r>
              <w:t>82.34%</w:t>
            </w:r>
          </w:p>
        </w:tc>
      </w:tr>
      <w:tr>
        <w:trPr>
          <w:cantSplit/>
        </w:trPr>
        <w:tc>
          <w:tcPr>
            <w:tcW w:type="dxa" w:w="5700"/>
            <w:vAlign w:val="center"/>
          </w:tcPr>
          <w:p>
            <w:pPr>
              <w:pStyle w:val="TableBody"/>
              <w:jc w:val="left"/>
            </w:pPr>
            <w:r>
              <w:t>WorldCover valid coverage on accepted chips</w:t>
            </w:r>
          </w:p>
        </w:tc>
        <w:tc>
          <w:tcPr>
            <w:tcW w:type="dxa" w:w="3660"/>
            <w:vAlign w:val="center"/>
          </w:tcPr>
          <w:p>
            <w:pPr>
              <w:pStyle w:val="TableBody"/>
              <w:jc w:val="center"/>
            </w:pPr>
            <w:r>
              <w:t>100%</w:t>
            </w:r>
          </w:p>
        </w:tc>
      </w:tr>
      <w:tr>
        <w:trPr>
          <w:cantSplit/>
        </w:trPr>
        <w:tc>
          <w:tcPr>
            <w:tcW w:type="dxa" w:w="5700"/>
            <w:vAlign w:val="center"/>
          </w:tcPr>
          <w:p>
            <w:pPr>
              <w:pStyle w:val="TableBody"/>
              <w:jc w:val="left"/>
            </w:pPr>
            <w:r>
              <w:t>Successful chips passing automated checks</w:t>
            </w:r>
          </w:p>
        </w:tc>
        <w:tc>
          <w:tcPr>
            <w:tcW w:type="dxa" w:w="3660"/>
            <w:vAlign w:val="center"/>
          </w:tcPr>
          <w:p>
            <w:pPr>
              <w:pStyle w:val="TableBody"/>
              <w:jc w:val="center"/>
            </w:pPr>
            <w:r>
              <w:t>99 of 99</w:t>
            </w:r>
          </w:p>
        </w:tc>
      </w:tr>
      <w:tr>
        <w:trPr>
          <w:cantSplit/>
        </w:trPr>
        <w:tc>
          <w:tcPr>
            <w:tcW w:type="dxa" w:w="5700"/>
            <w:vAlign w:val="center"/>
          </w:tcPr>
          <w:p>
            <w:pPr>
              <w:pStyle w:val="TableBody"/>
              <w:jc w:val="left"/>
            </w:pPr>
            <w:r>
              <w:t>Unique Sentinel-2 scenes used</w:t>
            </w:r>
          </w:p>
        </w:tc>
        <w:tc>
          <w:tcPr>
            <w:tcW w:type="dxa" w:w="3660"/>
            <w:vAlign w:val="center"/>
          </w:tcPr>
          <w:p>
            <w:pPr>
              <w:pStyle w:val="TableBody"/>
              <w:jc w:val="center"/>
            </w:pPr>
            <w:r>
              <w:t>86</w:t>
            </w:r>
          </w:p>
        </w:tc>
      </w:tr>
      <w:tr>
        <w:trPr>
          <w:cantSplit/>
        </w:trPr>
        <w:tc>
          <w:tcPr>
            <w:tcW w:type="dxa" w:w="5700"/>
            <w:vAlign w:val="center"/>
          </w:tcPr>
          <w:p>
            <w:pPr>
              <w:pStyle w:val="TableBody"/>
              <w:jc w:val="left"/>
            </w:pPr>
            <w:r>
              <w:t>Accepted scenes from 2022 / 2023 / 2024</w:t>
            </w:r>
          </w:p>
        </w:tc>
        <w:tc>
          <w:tcPr>
            <w:tcW w:type="dxa" w:w="3660"/>
            <w:vAlign w:val="center"/>
          </w:tcPr>
          <w:p>
            <w:pPr>
              <w:pStyle w:val="TableBody"/>
              <w:jc w:val="center"/>
            </w:pPr>
            <w:r>
              <w:t>5 / 44 / 50</w:t>
            </w:r>
          </w:p>
        </w:tc>
      </w:tr>
    </w:tbl>
    <w:p>
      <w:pPr>
        <w:pStyle w:val="TableCitation"/>
      </w:pPr>
    </w:p>
    <w:p>
      <w:pPr/>
      <w:r>
        <w:t>Saved arrays passed checks for shape, dtype, finite valid values, masked NaNs, valid land-cover classes, band ordering, metadata consistency and stored coordinate-center alignment. These checks do not establish perfect real-world georegistration or facility-label correctness.</w:t>
      </w:r>
    </w:p>
    <w:p>
      <w:pPr/>
      <w:r>
        <w:t>One Nigerian positive source failed because none of its eight candidates met the clear-coverage requirement. One accepted Angola chip has a noticeable negative-reflectance tail and needs targeted visual review. The existing preview covers only three Algerian examples, not all countries.</w:t>
      </w:r>
    </w:p>
    <w:p>
      <w:pPr/>
      <w:r/>
      <w:r>
        <w:rPr>
          <w:b/>
        </w:rPr>
        <w:t>What this proves:</w:t>
      </w:r>
      <w:r>
        <w:t xml:space="preserve"> The acquisition and storage workflow works for a small, selected sample. The files are available as compressed numerical arrays with source manifests and scene metadata.</w:t>
      </w:r>
    </w:p>
    <w:p>
      <w:pPr/>
      <w:r/>
      <w:r>
        <w:rPr>
          <w:b/>
        </w:rPr>
        <w:t>What remains unproven:</w:t>
      </w:r>
      <w:r>
        <w:t xml:space="preserve"> Whether imagery improves classification, whether downloads scale to the full population, and whether a cloud-filtered sample is representative. WorldCover supplies context, not industrial facility labels; its 2021 land cover may also differ from conditions during 2022-2024.</w:t>
      </w:r>
    </w:p>
    <w:p>
      <w:r>
        <w:br w:type="page"/>
      </w:r>
    </w:p>
    <w:p>
      <w:pPr>
        <w:pStyle w:val="Heading1"/>
        <w:spacing w:before="0"/>
      </w:pPr>
      <w:r>
        <w:t>Findings, limitations and decisions</w:t>
      </w:r>
    </w:p>
    <w:p>
      <w:pPr>
        <w:pStyle w:val="Heading2"/>
      </w:pPr>
      <w:r>
        <w:t>What the evidence supports</w:t>
      </w:r>
    </w:p>
    <w:p>
      <w:pPr/>
      <w:r>
        <w:t>The initial six-country baseline found LightGBM stronger than the tested rules and anomaly detector. Feature experiments suggested that adding intensity information to temporal summaries was useful. Removing seasonality slightly improved an earlier result, which motivated a closer look at geographic and observation-window effects. These are development findings, not controlled proof that a feature family is universally useful or harmful. [S1]</w:t>
      </w:r>
    </w:p>
    <w:p>
      <w:pPr/>
      <w:r>
        <w:t>The latest weighting run did not beat ordinary training. The most visible country-held-out F1 gain is largely attributable to threshold selection. The imagery workflow is operational at pilot scale. Together, these findings support retaining the simple tabular model while improving evaluation and data quality.</w:t>
      </w:r>
    </w:p>
    <w:p>
      <w:pPr>
        <w:pStyle w:val="Heading2"/>
      </w:pPr>
      <w:r>
        <w:t>Evaluation corrections needed before final claims</w:t>
      </w:r>
    </w:p>
    <w:p>
      <w:pPr/>
      <w:r/>
      <w:r>
        <w:rPr>
          <w:b/>
        </w:rPr>
        <w:t>Seed control.</w:t>
      </w:r>
      <w:r>
        <w:t xml:space="preserve"> Weighting variants were trained with different random seeds. Repeat comparisons using matched seeds and fixed folds, then report variation rather than interpreting small one-run gaps as reliable improvements.</w:t>
      </w:r>
    </w:p>
    <w:p>
      <w:pPr/>
      <w:r/>
      <w:r>
        <w:rPr>
          <w:b/>
        </w:rPr>
        <w:t>Training-fold-only weights.</w:t>
      </w:r>
      <w:r>
        <w:t xml:space="preserve"> For weighted variants, label-dependent sample weights were computed before splitting validation folds. Recompute weights using only each training partition. The selected unweighted model uses constant weights and is not affected by this specific issue.</w:t>
      </w:r>
    </w:p>
    <w:p>
      <w:pPr/>
      <w:r/>
      <w:r>
        <w:rPr>
          <w:b/>
        </w:rPr>
        <w:t>Nested model selection.</w:t>
      </w:r>
      <w:r>
        <w:t xml:space="preserve"> The winning variant was chosen using all six countries before country-held-out evaluation. Select the variant inside each outer training set. Alternatively, freeze the present model for a genuinely untouched future test, while retaining the foreign-country results as development evidence.</w:t>
      </w:r>
    </w:p>
    <w:p>
      <w:pPr/>
      <w:r/>
      <w:r>
        <w:rPr>
          <w:b/>
        </w:rPr>
        <w:t>Spatial independence and uncertainty.</w:t>
      </w:r>
      <w:r>
        <w:t xml:space="preserve"> Audit shared physical flare sites across blocks and folds, including boundary cases. Use group-level resampling or repeated experiments to report uncertainty. The 32 positive Angola cells represent only ten recoverable reference sites, so cell-level sample counts overstate the number of independent positives.</w:t>
      </w:r>
    </w:p>
    <w:p>
      <w:pPr/>
      <w:r/>
      <w:r>
        <w:rPr>
          <w:b/>
        </w:rPr>
        <w:t>Labels and calibration.</w:t>
      </w:r>
      <w:r>
        <w:t xml:space="preserve"> An EOG mismatch is not proof of a false alarm. Review unmatched predictions and add verified labels. Model scores should be treated as ranking scores, not calibrated probabilities of industrial activity. No claimed gain currently has a reported confidence interval or significance test. [S3, S6-S7]</w:t>
      </w:r>
    </w:p>
    <w:p>
      <w:pPr>
        <w:pStyle w:val="Heading2"/>
      </w:pPr>
      <w:r>
        <w:t>What we are deferring</w:t>
      </w:r>
    </w:p>
    <w:p>
      <w:pPr/>
      <w:r>
        <w:t>We are not immediately building a GRU or temporal convolutional network, which would learn from sequences instead of aggregated features. Such models may help if a specific temporal-pattern failure is demonstrated, but they are not a demonstrated remedy for missing labels or geographic shift.</w:t>
      </w:r>
    </w:p>
    <w:p>
      <w:pPr/>
      <w:r>
        <w:t>We are also deferring an image neural network and stacking, which combines multiple predictive branches. The imagery branch must first show independent value under the same evaluation splits. Earlier advice to drop imagery entirely has been superseded by the successful acquisition pilot, not by an accuracy result.</w:t>
      </w:r>
    </w:p>
    <w:p>
      <w:r>
        <w:br w:type="page"/>
      </w:r>
    </w:p>
    <w:p>
      <w:pPr>
        <w:pStyle w:val="Heading1"/>
        <w:spacing w:before="0"/>
      </w:pPr>
      <w:r>
        <w:t>Future work: a controlled sequence</w:t>
      </w:r>
    </w:p>
    <w:p>
      <w:pPr>
        <w:pStyle w:val="Heading2"/>
      </w:pPr>
      <w:r>
        <w:t>First: repair and freeze the development protocol</w:t>
      </w:r>
    </w:p>
    <w:p>
      <w:pPr/>
      <w:r>
        <w:t>Correct the evaluation issues, preserve the existing baseline, and compare variants on identical splits and matched seeds. Use a small predeclared repeated-seed experiment before expanding compute. Report pooled and per-country PR-AUC, precision, recall, F1 and physical-site recall with uncertainty. Choose thresholds only from training-side validation data.</w:t>
      </w:r>
    </w:p>
    <w:p>
      <w:pPr/>
      <w:r>
        <w:t>Completion criterion: reproducible predictions, no held-out labels in model or threshold selection, documented site-overlap checks, and a stable baseline against which later changes can be compared.</w:t>
      </w:r>
    </w:p>
    <w:p>
      <w:pPr>
        <w:pStyle w:val="Heading2"/>
      </w:pPr>
      <w:r>
        <w:t>Next: investigate errors and missing candidates</w:t>
      </w:r>
    </w:p>
    <w:p>
      <w:pPr/>
      <w:r>
        <w:t>Review high-scoring unmatched sources and missed EOG sites across every development country. Stratify by country, confidence, persistence, onshore/offshore context and known source type where labels support it. Investigate why so few Angolan reference sites enter the feature table. Track ambiguous cases rather than forcing a binary label.</w:t>
      </w:r>
    </w:p>
    <w:p>
      <w:pPr/>
      <w:r>
        <w:t>Completion criterion: an adjudicated error sample that separates label gaps, missing candidates, matching errors and genuine classification failures. Use it to define targeted feature or data changes, not to repeatedly tune on the final test set.</w:t>
      </w:r>
    </w:p>
    <w:p>
      <w:pPr/>
      <w:r>
        <w:t>In parallel, obtain the missing VIIRS NOAA-20 detections for Angola and Indonesia for 2022-2024. After checking comparable coverage across the development countries, rebuild the affected source and feature tables and test adding this instrument against the existing MODIS plus S-NPP baseline. Report both candidate/site recovery and classifier performance, so changes in the source population are not confused with better classification. Additional detections may help, but an improvement is not yet demonstrated.</w:t>
      </w:r>
    </w:p>
    <w:p>
      <w:pPr>
        <w:pStyle w:val="Heading2"/>
      </w:pPr>
      <w:r>
        <w:t>Then: test whether imagery adds useful information</w:t>
      </w:r>
    </w:p>
    <w:p>
      <w:pPr/>
      <w:r>
        <w:t>Visually audit accepted chips across countries, inspect the Angola reflectance case and log acquisition failures. Expand source-centred acquisition in bounded batches, retaining positives, high-score unlabelled sources and representative medium/low-score controls. Do not download entire countries. The earlier proposed 20,000-source pilot is a planning scale, not a completed dataset or a requirement before testing feasibility.</w:t>
      </w:r>
    </w:p>
    <w:p>
      <w:pPr/>
      <w:r>
        <w:t>Start with inexpensive land-cover fractions and spectral/context summaries. Compare thermal-only, context-only and combined models using the same folds. Where needed, test seasonal composites as a separate change. Include matched-subset and full eligible-population reporting so selective image availability cannot make results look better.</w:t>
      </w:r>
    </w:p>
    <w:p>
      <w:pPr/>
      <w:r>
        <w:t>Acceptance criterion: a predeclared, practically meaningful improvement in held-out-country ranking or audited precision/recall, without unacceptable regressions in difficult countries. If there is no repeatable gain, defer the image model and stacking.</w:t>
      </w:r>
    </w:p>
    <w:p>
      <w:pPr>
        <w:pStyle w:val="Heading2"/>
      </w:pPr>
      <w:r>
        <w:t>Finally: evaluate India and broader industrial categories</w:t>
      </w:r>
    </w:p>
    <w:p>
      <w:pPr/>
      <w:r>
        <w:t>Freeze features, observation period, model, score threshold and evaluation plan using development data. Build a compatible India feature population and evaluate against independently reviewed labels. Report both recovery of known sites and precision from a representative reviewed prediction sample, with uncertainty and geographic slices.</w:t>
      </w:r>
    </w:p>
    <w:p>
      <w:pPr/>
      <w:r>
        <w:t>If Indian examples later guide tuning, they become development data and a separate untouched Indian test set is needed. Only pursue a sequence model or image encoder after a specific unresolved failure gives that experiment a testable purpose.</w:t>
      </w:r>
    </w:p>
    <w:p>
      <w:r>
        <w:br w:type="page"/>
      </w:r>
    </w:p>
    <w:p>
      <w:pPr>
        <w:pStyle w:val="Heading1"/>
        <w:spacing w:before="0"/>
      </w:pPr>
      <w:r>
        <w:t>What data the team should obtain</w:t>
      </w:r>
    </w:p>
    <w:p>
      <w:pPr>
        <w:pStyle w:val="Heading2"/>
      </w:pPr>
      <w:r>
        <w:t>Highest priority: ground truth, not another model</w:t>
      </w:r>
    </w:p>
    <w:p>
      <w:pPr/>
      <w:r>
        <w:t>Obtain verified locations for gas flares, brick kilns, cement plants, steel facilities and other thermally active industries relevant to the project scope. Include coordinates or facility polygons, source type, operational dates, evidence provenance, confidence and review status. A facility's existence alone is not proof that it emitted detectable heat during our observation period.</w:t>
      </w:r>
    </w:p>
    <w:p>
      <w:pPr/>
      <w:r>
        <w:t>Also obtain reviewed examples of agricultural residue burning, wildfires and other non-industrial activity. Sample controls across geography and seasons. An absent facility-map entry must not automatically become a negative label. Reserve an independently reviewed Indian sample for final evaluation.</w:t>
      </w:r>
    </w:p>
    <w:p>
      <w:pPr>
        <w:pStyle w:val="Heading2"/>
      </w:pPr>
      <w:r>
        <w:t>Fill the missing NOAA-20 coverage</w:t>
      </w:r>
    </w:p>
    <w:p>
      <w:pPr/>
      <w:r>
        <w:t>Obtain NASA FIRMS VIIRS NOAA-20 (JPSS-1) active-fire detection records for both Angola and Indonesia from 1 January 2022 through 31 December 2024. Request both day and night records, full country coverage and the original fields, including coordinates, acquisition date/time, instrument identifier, fire radiative power, confidence and available brightness/pixel-size measurements. These are additional thermal-detection records, not Sentinel-2 imagery or EOG flare labels. Existing NOAA-20 files in this project use the viirs-jpss1 naming convention. [S1, S6]</w:t>
      </w:r>
    </w:p>
    <w:p>
      <w:pPr/>
      <w:r>
        <w:t>The current dataset lacks this instrument for these two countries. We excluded NOAA-20-derived features from all countries to avoid inconsistent sensor availability becoming a geographic shortcut. Before reintroducing it, verify missing months, duplicates, schema, units and a consistent product/processing version across the development countries. Do not treat unavailable coverage as zero activity. Retain the existing two-instrument baseline and compare the additional instrument using corrected country-held-out evaluation; extra data are a hypothesis to test, not a promised metric gain. Confirm compatible Indian input coverage only after freezing the foreign-country model specification.</w:t>
      </w:r>
    </w:p>
    <w:p>
      <w:pPr>
        <w:pStyle w:val="Heading2"/>
      </w:pPr>
      <w:r>
        <w:t>Expand imagery using the working source-centred pipeline</w:t>
      </w:r>
    </w:p>
    <w:p>
      <w:pPr/>
      <w:r>
        <w:t>Request Sentinel-2 Level-2A bands B2, B3, B4, B8, B11 and B12, plus scene-classification masks, for the defined 2022-2024 window. Keep source-centred 2 km patches, scene dates, scale/offset metadata, native band resolution, masks and acceptance/failure records. Retain WorldCover 2021 v200 for the same footprints and document its earlier reference year.</w:t>
      </w:r>
    </w:p>
    <w:p>
      <w:pPr/>
      <w:r>
        <w:t>Join imagery to thermal features by source ID. Keep identifiers, coordinates, EOG matches, review outcomes and country metadata outside the model feature whitelist. Store the source manifest alongside arrays so labels and provenance remain traceable without being encoded into image pixels or filenames. Public imagery access worked in the pilot; additional local full-tile downloads are not required merely to proceed.</w:t>
      </w:r>
    </w:p>
    <w:p>
      <w:r>
        <w:br w:type="page"/>
      </w:r>
    </w:p>
    <w:p>
      <w:pPr>
        <w:pStyle w:val="Heading1"/>
        <w:spacing w:before="0"/>
      </w:pPr>
      <w:r>
        <w:t>Evidence and reproducibility notes</w:t>
      </w:r>
    </w:p>
    <w:p>
      <w:pPr/>
      <w:r>
        <w:t>This report summarizes existing experiments and the subsequent read-only artifact audit. It does not report a new training run. Early regional metrics are retained as historical context; current results are tied to the saved tables and predictions below. Figures are rounded for readability.</w:t>
      </w:r>
    </w:p>
    <w:p>
      <w:pPr>
        <w:pStyle w:val="Evidence"/>
      </w:pPr>
      <w:r>
        <w:t>[S0] User-supplied historical project summary: Libya-Algeria baselines and initial data audit.</w:t>
      </w:r>
    </w:p>
    <w:p>
      <w:pPr>
        <w:pStyle w:val="Evidence"/>
      </w:pPr>
      <w:r>
        <w:t>[S1] Original run: output nb1/02_source_summary.csv, 04_baselines.csv, 05_lgbm_ablation.csv and 05_lgbm_leave_country_out.csv; interpreted alongside sih26162/RESULTS.md. Its original country-held-out F1 used test-country threshold tuning and is not reproduced as a valid transfer estimate here.</w:t>
      </w:r>
    </w:p>
    <w:p>
      <w:pPr>
        <w:pStyle w:val="Evidence"/>
      </w:pPr>
      <w:r>
        <w:t>[S2] Earlier common-window run: stage05b_results/outputs/05b_robust_models.csv and 05b_corrected_loco.csv; saved prediction files under stage05b_results/cache/.</w:t>
      </w:r>
    </w:p>
    <w:p>
      <w:pPr>
        <w:pStyle w:val="Evidence"/>
      </w:pPr>
      <w:r>
        <w:t>[S3] Latest run: stage05c_results/outputs/05c_weighting_variants.csv, 05c_corrected_loco.csv, 05c_loco_site_metrics.csv and 05c_model_manifest.json; saved prediction files under stage05c_results/cache/.</w:t>
      </w:r>
    </w:p>
    <w:p>
      <w:pPr>
        <w:pStyle w:val="Evidence"/>
      </w:pPr>
      <w:r>
        <w:t>[S4] Imagery: nb4_sih_cv_pilot/cv_pilot_v1/run_config.json, pilot_sources.csv, download_manifest.csv, individual NPZ arrays and source JSON sidecars.</w:t>
      </w:r>
    </w:p>
    <w:p>
      <w:pPr>
        <w:pStyle w:val="Evidence"/>
      </w:pPr>
      <w:r>
        <w:t>[S5] Acquisition implementation: sih26162/deliverables/SIH_NB4_CV_Pilot.ipynb. The broader seasonal-composite request in CV_DATA_REQUEST.md has not yet been implemented by this single-scene pilot.</w:t>
      </w:r>
    </w:p>
    <w:p>
      <w:pPr>
        <w:pStyle w:val="Evidence"/>
      </w:pPr>
      <w:r>
        <w:t>[S6] Evaluation implementation: sih26162/kaggle/kg_05c_balanced_tabular.py, especially weighting, variant comparison and country-held-out selection. NOAA-20 exclusions and file naming are documented in sih26162/kaggle/kg_03_features.py and sih26162/README.md.</w:t>
      </w:r>
    </w:p>
    <w:p>
      <w:pPr>
        <w:pStyle w:val="Evidence"/>
      </w:pPr>
      <w:r>
        <w:t>[S7] Artifact audit: saved OOF and country-held-out predictions reconciled with metric tables; exact threshold diagnostic and all 99 chip checks run locally. Audit script: tmp/audit_05c_nb4.py.</w:t>
      </w:r>
    </w:p>
    <w:p>
      <w:pPr/>
      <w:r/>
      <w:r>
        <w:rPr>
          <w:b/>
        </w:rPr>
        <w:t>Bottom line:</w:t>
      </w:r>
      <w:r>
        <w:t xml:space="preserve"> We have demonstrated a useful flare-oriented baseline and a working imagery pilot. We have not yet demonstrated a general industrial detector, a benefit from image-based classification, or validated performance in India.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SIH | Thermal source detection | Research findings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222222"/>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b w:val="0"/>
      <w:color w:val="66666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b w:val="0"/>
      <w:color w:val="66666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20" w:line="264" w:lineRule="auto"/>
    </w:pPr>
    <w:rPr>
      <w:rFonts w:asciiTheme="majorHAnsi" w:eastAsiaTheme="majorEastAsia" w:hAnsiTheme="majorHAnsi" w:cstheme="majorBidi" w:ascii="Calibri" w:hAnsi="Calibri"/>
      <w:b w:val="0"/>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widowControl/>
      <w:spacing w:before="0" w:after="0" w:line="264" w:lineRule="auto"/>
    </w:pPr>
    <w:rPr>
      <w:rFonts w:ascii="Calibri" w:hAnsi="Calibri"/>
      <w:b w:val="0"/>
      <w:color w:val="222222"/>
      <w:sz w:val="19"/>
    </w:rPr>
  </w:style>
  <w:style w:type="paragraph" w:customStyle="1" w:styleId="TableCitation">
    <w:name w:val="Table Citation"/>
    <w:pPr>
      <w:widowControl/>
      <w:spacing w:before="80" w:after="80" w:line="264" w:lineRule="auto"/>
    </w:pPr>
    <w:rPr>
      <w:rFonts w:ascii="Calibri" w:hAnsi="Calibri"/>
      <w:b w:val="0"/>
      <w:color w:val="555555"/>
      <w:sz w:val="18"/>
    </w:rPr>
  </w:style>
  <w:style w:type="paragraph" w:customStyle="1" w:styleId="Evidence">
    <w:name w:val="Evidence"/>
    <w:pPr>
      <w:widowControl/>
      <w:spacing w:before="0" w:after="80" w:line="264" w:lineRule="auto"/>
    </w:pPr>
    <w:rPr>
      <w:rFonts w:ascii="Calibri" w:hAnsi="Calibri"/>
      <w:b w:val="0"/>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Satellite-Based Thermal Source Detection: Overview, Findings and Roadmap</dc:title>
  <dc:subject>Project methods, evaluation evidence, limitations and next experiments</dc:subject>
  <dc:creator/>
  <cp:keywords/>
  <dc:description/>
  <cp:lastModifiedBy/>
  <cp:revision>1</cp:revision>
  <dcterms:created xsi:type="dcterms:W3CDTF">2013-12-23T23:15:00Z</dcterms:created>
  <dcterms:modified xsi:type="dcterms:W3CDTF">2013-12-23T23:15:00Z</dcterms:modified>
  <cp:category/>
</cp:coreProperties>
</file>