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80"/>
      </w:pPr>
    </w:p>
    <w:p>
      <w:pPr>
        <w:spacing w:before="0" w:after="120"/>
      </w:pPr>
      <w:r>
        <w:rPr>
          <w:rFonts w:ascii="Calibri" w:hAnsi="Calibri"/>
          <w:b/>
          <w:i w:val="0"/>
          <w:color w:val="0B2545"/>
          <w:sz w:val="50"/>
        </w:rPr>
        <w:t>SIH26162 Solution and CV Dataset Additions</w:t>
      </w:r>
    </w:p>
    <w:p>
      <w:pPr>
        <w:spacing w:after="360"/>
      </w:pPr>
      <w:r>
        <w:rPr>
          <w:rFonts w:ascii="Calibri" w:hAnsi="Calibri"/>
          <w:b w:val="0"/>
          <w:i w:val="0"/>
          <w:color w:val="5B6573"/>
          <w:sz w:val="27"/>
        </w:rPr>
        <w:t>Persistent industrial thermal-source detection from NASA FIRMS observations</w:t>
      </w:r>
    </w:p>
    <w:p>
      <w:pPr>
        <w:spacing w:after="60"/>
      </w:pPr>
      <w:r>
        <w:rPr>
          <w:rFonts w:ascii="Calibri" w:hAnsi="Calibri"/>
          <w:b/>
          <w:i w:val="0"/>
          <w:color w:val="0B2545"/>
          <w:sz w:val="22"/>
        </w:rPr>
        <w:t xml:space="preserve">Prepared for: </w:t>
      </w:r>
      <w:r>
        <w:rPr>
          <w:rFonts w:ascii="Calibri" w:hAnsi="Calibri"/>
          <w:b w:val="0"/>
          <w:i w:val="0"/>
          <w:color w:val="303840"/>
          <w:sz w:val="22"/>
        </w:rPr>
        <w:t>Project collaborator / technical reviewer</w:t>
      </w:r>
    </w:p>
    <w:p>
      <w:pPr>
        <w:spacing w:after="60"/>
      </w:pPr>
      <w:r>
        <w:rPr>
          <w:rFonts w:ascii="Calibri" w:hAnsi="Calibri"/>
          <w:b/>
          <w:i w:val="0"/>
          <w:color w:val="0B2545"/>
          <w:sz w:val="22"/>
        </w:rPr>
        <w:t xml:space="preserve">Prepared on: </w:t>
      </w:r>
      <w:r>
        <w:rPr>
          <w:rFonts w:ascii="Calibri" w:hAnsi="Calibri"/>
          <w:b w:val="0"/>
          <w:i w:val="0"/>
          <w:color w:val="303840"/>
          <w:sz w:val="22"/>
        </w:rPr>
        <w:t>2 September 2026</w:t>
      </w:r>
    </w:p>
    <w:p>
      <w:pPr>
        <w:spacing w:after="60"/>
      </w:pPr>
      <w:r>
        <w:rPr>
          <w:rFonts w:ascii="Calibri" w:hAnsi="Calibri"/>
          <w:b/>
          <w:i w:val="0"/>
          <w:color w:val="0B2545"/>
          <w:sz w:val="22"/>
        </w:rPr>
        <w:t xml:space="preserve">Scope: </w:t>
      </w:r>
      <w:r>
        <w:rPr>
          <w:rFonts w:ascii="Calibri" w:hAnsi="Calibri"/>
          <w:b w:val="0"/>
          <w:i w:val="0"/>
          <w:color w:val="303840"/>
          <w:sz w:val="22"/>
        </w:rPr>
        <w:t>Solution architecture, verified dataset inventory, CV-relevant data, results, and recent additions</w:t>
      </w:r>
    </w:p>
    <w:p>
      <w:pPr>
        <w:spacing w:after="60"/>
      </w:pPr>
      <w:r>
        <w:rPr>
          <w:rFonts w:ascii="Calibri" w:hAnsi="Calibri"/>
          <w:b/>
          <w:i w:val="0"/>
          <w:color w:val="0B2545"/>
          <w:sz w:val="22"/>
        </w:rPr>
        <w:t xml:space="preserve">Evidence basis: </w:t>
      </w:r>
      <w:r>
        <w:rPr>
          <w:rFonts w:ascii="Calibri" w:hAnsi="Calibri"/>
          <w:b w:val="0"/>
          <w:i w:val="0"/>
          <w:color w:val="303840"/>
          <w:sz w:val="22"/>
        </w:rPr>
        <w:t>Repository code and outputs, source-data ZIP, data explainer PDF, and current working-tree changes</w:t>
      </w:r>
    </w:p>
    <w:p>
      <w:pPr>
        <w:spacing w:after="160"/>
      </w:pPr>
    </w:p>
    <w:p>
      <w:pPr>
        <w:keepLines/>
        <w:spacing w:before="80" w:after="160"/>
        <w:ind w:left="115" w:right="115"/>
        <w:shd w:fill="FFF6D8"/>
        <w:pBdr>
          <w:left w:val="single" w:sz="18" w:space="6" w:color="9B1C1C"/>
        </w:pBdr>
      </w:pPr>
      <w:r>
        <w:rPr>
          <w:rFonts w:ascii="Calibri" w:hAnsi="Calibri"/>
          <w:b/>
          <w:i w:val="0"/>
          <w:color w:val="9B1C1C"/>
          <w:sz w:val="22"/>
        </w:rPr>
        <w:t xml:space="preserve">Important clarification: </w:t>
      </w:r>
      <w:r>
        <w:rPr>
          <w:rFonts w:ascii="Calibri" w:hAnsi="Calibri"/>
          <w:b w:val="0"/>
          <w:i w:val="0"/>
          <w:color w:val="202830"/>
          <w:sz w:val="22"/>
        </w:rPr>
        <w:t>No raw optical image tiles or conventional image-classification dataset were added. The CV-relevant input is satellite imagery-derived thermal-anomaly detections exported as CSV records from MODIS and VIIRS. Sentinel-2, Landsat, and WorldCover remain explicitly excluded from the current solution.</w:t>
      </w:r>
    </w:p>
    <w:p>
      <w:r>
        <w:rPr>
          <w:rFonts w:ascii="Calibri" w:hAnsi="Calibri"/>
          <w:b w:val="0"/>
          <w:i w:val="0"/>
          <w:color w:val="000000"/>
          <w:sz w:val="22"/>
        </w:rPr>
        <w:t>This document is written so it can be forwarded directly to a teammate. Values are reported only where they are supported by files currently present in the workspace.</w:t>
      </w:r>
    </w:p>
    <w:p>
      <w:r>
        <w:br w:type="page"/>
      </w:r>
    </w:p>
    <w:p>
      <w:pPr>
        <w:pStyle w:val="Heading1"/>
      </w:pPr>
      <w:r>
        <w:t>1. Executive summary</w:t>
      </w:r>
    </w:p>
    <w:p>
      <w:r>
        <w:rPr>
          <w:rFonts w:ascii="Calibri" w:hAnsi="Calibri"/>
          <w:b w:val="0"/>
          <w:i w:val="0"/>
          <w:color w:val="000000"/>
          <w:sz w:val="22"/>
        </w:rPr>
        <w:t>The solution identifies persistent industrial heat sources such as gas flares, kilns, furnaces, cement works, and steel plants while separating them from seasonal vegetation and agricultural fires. It does this without feeding facility locations or country identity to the model. Instead, it converts repeated satellite thermal detections into source-level behavioural features and trains a LightGBM classifier using verified gas-flare locations as positive supervision.</w:t>
      </w:r>
    </w:p>
    <w:p>
      <w:pPr>
        <w:keepLines/>
        <w:spacing w:before="80" w:after="160"/>
        <w:ind w:left="115" w:right="115"/>
        <w:shd w:fill="E8EEF5"/>
        <w:pBdr>
          <w:left w:val="single" w:sz="18" w:space="6" w:color="0B2545"/>
        </w:pBdr>
      </w:pPr>
      <w:r>
        <w:rPr>
          <w:rFonts w:ascii="Calibri" w:hAnsi="Calibri"/>
          <w:b/>
          <w:i w:val="0"/>
          <w:color w:val="0B2545"/>
          <w:sz w:val="22"/>
        </w:rPr>
        <w:t xml:space="preserve">Current best verified model: </w:t>
      </w:r>
      <w:r>
        <w:rPr>
          <w:rFonts w:ascii="Calibri" w:hAnsi="Calibri"/>
          <w:b w:val="0"/>
          <w:i w:val="0"/>
          <w:color w:val="202830"/>
          <w:sz w:val="22"/>
        </w:rPr>
        <w:t>LightGBM on 49 source-level features, evaluated with spatially grouped out-of-fold predictions across six foreign training countries. Reported precision is 0.845, recall 0.379, F1 0.523, PR-AUC 0.575, and ROC-AUC 0.974 at a threshold of 0.747.</w:t>
      </w:r>
    </w:p>
    <w:p>
      <w:r>
        <w:rPr>
          <w:rFonts w:ascii="Calibri" w:hAnsi="Calibri"/>
          <w:b w:val="0"/>
          <w:i w:val="0"/>
          <w:color w:val="000000"/>
          <w:sz w:val="22"/>
        </w:rPr>
        <w:t>India is the untouched focus-country holdout. Its source features have been generated, but final India inference is intentionally deferred until the observation window, feature specification, validation procedure, and threshold are frozen using only non-India data.</w:t>
      </w:r>
    </w:p>
    <w:p>
      <w:pPr>
        <w:pStyle w:val="Heading2"/>
      </w:pPr>
      <w:r>
        <w:t>What was added</w:t>
      </w:r>
    </w:p>
    <w:p>
      <w:pPr>
        <w:pStyle w:val="ListBullet"/>
        <w:spacing w:after="160" w:line="280" w:lineRule="auto"/>
        <w:ind w:left="720" w:hanging="360"/>
      </w:pPr>
      <w:r>
        <w:rPr>
          <w:rFonts w:ascii="Calibri" w:hAnsi="Calibri"/>
          <w:b w:val="0"/>
          <w:i w:val="0"/>
          <w:color w:val="000000"/>
          <w:sz w:val="22"/>
        </w:rPr>
        <w:t>A source archive containing 112 substantive files and approximately 1.586 GB uncompressed data: 78 FIRMS thermal-detection CSVs, 2 EOG flare-label workbooks, and 32 independent validation files.</w:t>
      </w:r>
    </w:p>
    <w:p>
      <w:pPr>
        <w:pStyle w:val="ListBullet"/>
        <w:spacing w:after="160" w:line="280" w:lineRule="auto"/>
        <w:ind w:left="720" w:hanging="360"/>
      </w:pPr>
      <w:r>
        <w:rPr>
          <w:rFonts w:ascii="Calibri" w:hAnsi="Calibri"/>
          <w:b w:val="0"/>
          <w:i w:val="0"/>
          <w:color w:val="000000"/>
          <w:sz w:val="22"/>
        </w:rPr>
        <w:t>A complete source-level modelling pipeline: audit, geospatial clustering, label attachment, 49 behavioural features, simple and unsupervised baselines, LightGBM ablations, grouped validation, and saved out-of-fold predictions.</w:t>
      </w:r>
    </w:p>
    <w:p>
      <w:pPr>
        <w:pStyle w:val="ListBullet"/>
        <w:spacing w:after="160" w:line="280" w:lineRule="auto"/>
        <w:ind w:left="720" w:hanging="360"/>
      </w:pPr>
      <w:r>
        <w:rPr>
          <w:rFonts w:ascii="Calibri" w:hAnsi="Calibri"/>
          <w:b w:val="0"/>
          <w:i w:val="0"/>
          <w:color w:val="000000"/>
          <w:sz w:val="22"/>
        </w:rPr>
        <w:t>Recent uncommitted robustness additions for fixed-year observation windows, window-specific EOG labels, annualized exposure features, and tagged feature caches.</w:t>
      </w:r>
    </w:p>
    <w:p>
      <w:pPr>
        <w:pStyle w:val="ListBullet"/>
        <w:spacing w:after="160" w:line="280" w:lineRule="auto"/>
        <w:ind w:left="720" w:hanging="360"/>
      </w:pPr>
      <w:r>
        <w:rPr>
          <w:rFonts w:ascii="Calibri" w:hAnsi="Calibri"/>
          <w:b w:val="0"/>
          <w:i w:val="0"/>
          <w:color w:val="000000"/>
          <w:sz w:val="22"/>
        </w:rPr>
        <w:t>No raw imagery branch. The repository explicitly keeps Sentinel-2, Landsat, WorldCover, a temporal GRU/TCN branch, and model stacking out of scope until the tabular evaluation is trustworthy.</w:t>
      </w:r>
    </w:p>
    <w:p>
      <w:pPr>
        <w:pStyle w:val="Heading1"/>
      </w:pPr>
      <w:r>
        <w:t>2. Problem framing and design principle</w:t>
      </w:r>
    </w:p>
    <w:p>
      <w:r>
        <w:rPr>
          <w:rFonts w:ascii="Calibri" w:hAnsi="Calibri"/>
          <w:b w:val="0"/>
          <w:i w:val="0"/>
          <w:color w:val="000000"/>
          <w:sz w:val="22"/>
        </w:rPr>
        <w:t>A single FIRMS row is not a confirmed fire. It is a satellite pixel that was hotter than its surroundings during an overpass. The core task is therefore causal separation: determine whether repeated heat comes from persistent industrial activity or from episodic natural and agricultural burning.</w:t>
      </w:r>
    </w:p>
    <w:p>
      <w:pPr>
        <w:keepLines/>
        <w:spacing w:before="80" w:after="160"/>
        <w:ind w:left="115" w:right="115"/>
        <w:shd w:fill="E8EEF5"/>
        <w:pBdr>
          <w:left w:val="single" w:sz="18" w:space="6" w:color="0B2545"/>
        </w:pBdr>
      </w:pPr>
      <w:r>
        <w:rPr>
          <w:rFonts w:ascii="Calibri" w:hAnsi="Calibri"/>
          <w:b/>
          <w:i w:val="0"/>
          <w:color w:val="0B2545"/>
          <w:sz w:val="22"/>
        </w:rPr>
        <w:t xml:space="preserve">Learning setup: </w:t>
      </w:r>
      <w:r>
        <w:rPr>
          <w:rFonts w:ascii="Calibri" w:hAnsi="Calibri"/>
          <w:b w:val="0"/>
          <w:i w:val="0"/>
          <w:color w:val="202830"/>
          <w:sz w:val="22"/>
        </w:rPr>
        <w:t>This is positive-unlabelled learning, not ordinary binary classification. EOG identifies known gas flares, but an unmatched source may still be an industrial kiln, furnace, cement plant, steel plant, or an unlisted flare. Consequently, nominal precision is a lower bound and facility absence is not proof of a false positive.</w:t>
      </w:r>
    </w:p>
    <w:p>
      <w:pPr>
        <w:pStyle w:val="Heading2"/>
      </w:pPr>
      <w:r>
        <w:t>Leakage controls</w:t>
      </w:r>
    </w:p>
    <w:p>
      <w:pPr>
        <w:pStyle w:val="ListBullet"/>
        <w:spacing w:after="160" w:line="280" w:lineRule="auto"/>
        <w:ind w:left="720" w:hanging="360"/>
      </w:pPr>
      <w:r>
        <w:rPr>
          <w:rFonts w:ascii="Calibri" w:hAnsi="Calibri"/>
          <w:b w:val="0"/>
          <w:i w:val="0"/>
          <w:color w:val="000000"/>
          <w:sz w:val="22"/>
        </w:rPr>
        <w:t>India is never used for training, feature selection, hyperparameter selection, or threshold tuning.</w:t>
      </w:r>
    </w:p>
    <w:p>
      <w:pPr>
        <w:pStyle w:val="ListBullet"/>
        <w:spacing w:after="160" w:line="280" w:lineRule="auto"/>
        <w:ind w:left="720" w:hanging="360"/>
      </w:pPr>
      <w:r>
        <w:rPr>
          <w:rFonts w:ascii="Calibri" w:hAnsi="Calibri"/>
          <w:b w:val="0"/>
          <w:i w:val="0"/>
          <w:color w:val="000000"/>
          <w:sz w:val="22"/>
        </w:rPr>
        <w:t>Facility catalogues are validation-only and never become model features.</w:t>
      </w:r>
    </w:p>
    <w:p>
      <w:pPr>
        <w:pStyle w:val="ListBullet"/>
        <w:spacing w:after="160" w:line="280" w:lineRule="auto"/>
        <w:ind w:left="720" w:hanging="360"/>
      </w:pPr>
      <w:r>
        <w:rPr>
          <w:rFonts w:ascii="Calibri" w:hAnsi="Calibri"/>
          <w:b w:val="0"/>
          <w:i w:val="0"/>
          <w:color w:val="000000"/>
          <w:sz w:val="22"/>
        </w:rPr>
        <w:t>Latitude, longitude, country, source IDs, block IDs, and EOG matching fields are blocklisted from the model feature matrix.</w:t>
      </w:r>
    </w:p>
    <w:p>
      <w:pPr>
        <w:pStyle w:val="ListBullet"/>
        <w:spacing w:after="160" w:line="280" w:lineRule="auto"/>
        <w:ind w:left="720" w:hanging="360"/>
      </w:pPr>
      <w:r>
        <w:rPr>
          <w:rFonts w:ascii="Calibri" w:hAnsi="Calibri"/>
          <w:b w:val="0"/>
          <w:i w:val="0"/>
          <w:color w:val="000000"/>
          <w:sz w:val="22"/>
        </w:rPr>
        <w:t>Cross-validation groups by 10 km spatial block so neighbouring fragments of one physical source do not straddle training and validation folds.</w:t>
      </w:r>
    </w:p>
    <w:p>
      <w:r>
        <w:br w:type="page"/>
      </w:r>
    </w:p>
    <w:p>
      <w:pPr>
        <w:pStyle w:val="Heading1"/>
      </w:pPr>
      <w:r>
        <w:t>3. End-to-end solution</w:t>
      </w:r>
    </w:p>
    <w:p>
      <w:pPr>
        <w:pStyle w:val="ListNumber"/>
        <w:spacing w:after="160" w:line="280" w:lineRule="auto"/>
        <w:ind w:left="720" w:hanging="360"/>
      </w:pPr>
      <w:r>
        <w:rPr>
          <w:rFonts w:ascii="Calibri" w:hAnsi="Calibri"/>
          <w:b/>
          <w:i w:val="0"/>
          <w:color w:val="0B2545"/>
          <w:sz w:val="22"/>
        </w:rPr>
        <w:t xml:space="preserve">Audit and normalize inputs. </w:t>
      </w:r>
      <w:r>
        <w:rPr>
          <w:rFonts w:ascii="Calibri" w:hAnsi="Calibri"/>
          <w:b w:val="0"/>
          <w:i w:val="0"/>
          <w:color w:val="000000"/>
          <w:sz w:val="22"/>
        </w:rPr>
        <w:t>Validate schemas, dates, nulls, duplicates, sensor naming, country coverage, and quality fields across all FIRMS files.</w:t>
      </w:r>
    </w:p>
    <w:p>
      <w:pPr>
        <w:pStyle w:val="ListNumber"/>
        <w:spacing w:after="160" w:line="280" w:lineRule="auto"/>
        <w:ind w:left="720" w:hanging="360"/>
      </w:pPr>
      <w:r>
        <w:rPr>
          <w:rFonts w:ascii="Calibri" w:hAnsi="Calibri"/>
          <w:b/>
          <w:i w:val="0"/>
          <w:color w:val="0B2545"/>
          <w:sz w:val="22"/>
        </w:rPr>
        <w:t xml:space="preserve">Cluster detections into physical sources. </w:t>
      </w:r>
      <w:r>
        <w:rPr>
          <w:rFonts w:ascii="Calibri" w:hAnsi="Calibri"/>
          <w:b w:val="0"/>
          <w:i w:val="0"/>
          <w:color w:val="000000"/>
          <w:sz w:val="22"/>
        </w:rPr>
        <w:t>Project coordinates locally, group detections into approximately 1 km source cells, and assign 10 km spatial block IDs for leakage-safe evaluation.</w:t>
      </w:r>
    </w:p>
    <w:p>
      <w:pPr>
        <w:pStyle w:val="ListNumber"/>
        <w:spacing w:after="160" w:line="280" w:lineRule="auto"/>
        <w:ind w:left="720" w:hanging="360"/>
      </w:pPr>
      <w:r>
        <w:rPr>
          <w:rFonts w:ascii="Calibri" w:hAnsi="Calibri"/>
          <w:b/>
          <w:i w:val="0"/>
          <w:color w:val="0B2545"/>
          <w:sz w:val="22"/>
        </w:rPr>
        <w:t xml:space="preserve">Attach positive labels. </w:t>
      </w:r>
      <w:r>
        <w:rPr>
          <w:rFonts w:ascii="Calibri" w:hAnsi="Calibri"/>
          <w:b w:val="0"/>
          <w:i w:val="0"/>
          <w:color w:val="000000"/>
          <w:sz w:val="22"/>
        </w:rPr>
        <w:t>Match source centroids to active EOG flare locations within the configured radius, retaining distance, flare ID, and offshore status as metadata only.</w:t>
      </w:r>
    </w:p>
    <w:p>
      <w:pPr>
        <w:pStyle w:val="ListNumber"/>
        <w:spacing w:after="160" w:line="280" w:lineRule="auto"/>
        <w:ind w:left="720" w:hanging="360"/>
      </w:pPr>
      <w:r>
        <w:rPr>
          <w:rFonts w:ascii="Calibri" w:hAnsi="Calibri"/>
          <w:b/>
          <w:i w:val="0"/>
          <w:color w:val="0B2545"/>
          <w:sz w:val="22"/>
        </w:rPr>
        <w:t xml:space="preserve">Build source-level features. </w:t>
      </w:r>
      <w:r>
        <w:rPr>
          <w:rFonts w:ascii="Calibri" w:hAnsi="Calibri"/>
          <w:b w:val="0"/>
          <w:i w:val="0"/>
          <w:color w:val="000000"/>
          <w:sz w:val="22"/>
        </w:rPr>
        <w:t>Aggregate intensity, persistence, seasonality, timing, cross-instrument, confidence, and spatial-spread evidence from MODIS and VIIRS S-NPP detections.</w:t>
      </w:r>
    </w:p>
    <w:p>
      <w:pPr>
        <w:pStyle w:val="ListNumber"/>
        <w:spacing w:after="160" w:line="280" w:lineRule="auto"/>
        <w:ind w:left="720" w:hanging="360"/>
      </w:pPr>
      <w:r>
        <w:rPr>
          <w:rFonts w:ascii="Calibri" w:hAnsi="Calibri"/>
          <w:b/>
          <w:i w:val="0"/>
          <w:color w:val="0B2545"/>
          <w:sz w:val="22"/>
        </w:rPr>
        <w:t xml:space="preserve">Establish baselines. </w:t>
      </w:r>
      <w:r>
        <w:rPr>
          <w:rFonts w:ascii="Calibri" w:hAnsi="Calibri"/>
          <w:b w:val="0"/>
          <w:i w:val="0"/>
          <w:color w:val="000000"/>
          <w:sz w:val="22"/>
        </w:rPr>
        <w:t>Run persistence rules, continuous single-feature scores, and Isolation Forest before introducing a supervised model.</w:t>
      </w:r>
    </w:p>
    <w:p>
      <w:pPr>
        <w:pStyle w:val="ListNumber"/>
        <w:spacing w:after="160" w:line="280" w:lineRule="auto"/>
        <w:ind w:left="720" w:hanging="360"/>
      </w:pPr>
      <w:r>
        <w:rPr>
          <w:rFonts w:ascii="Calibri" w:hAnsi="Calibri"/>
          <w:b/>
          <w:i w:val="0"/>
          <w:color w:val="0B2545"/>
          <w:sz w:val="22"/>
        </w:rPr>
        <w:t xml:space="preserve">Train and validate LightGBM. </w:t>
      </w:r>
      <w:r>
        <w:rPr>
          <w:rFonts w:ascii="Calibri" w:hAnsi="Calibri"/>
          <w:b w:val="0"/>
          <w:i w:val="0"/>
          <w:color w:val="000000"/>
          <w:sz w:val="22"/>
        </w:rPr>
        <w:t>Use grouped out-of-fold predictions, ablation studies, feature importance, calibration diagnostics, and leave-country-out ranking checks.</w:t>
      </w:r>
    </w:p>
    <w:p>
      <w:pPr>
        <w:pStyle w:val="ListNumber"/>
        <w:spacing w:after="160" w:line="280" w:lineRule="auto"/>
        <w:ind w:left="720" w:hanging="360"/>
      </w:pPr>
      <w:r>
        <w:rPr>
          <w:rFonts w:ascii="Calibri" w:hAnsi="Calibri"/>
          <w:b/>
          <w:i w:val="0"/>
          <w:color w:val="0B2545"/>
          <w:sz w:val="22"/>
        </w:rPr>
        <w:t xml:space="preserve">Freeze and score India once. </w:t>
      </w:r>
      <w:r>
        <w:rPr>
          <w:rFonts w:ascii="Calibri" w:hAnsi="Calibri"/>
          <w:b w:val="0"/>
          <w:i w:val="0"/>
          <w:color w:val="000000"/>
          <w:sz w:val="22"/>
        </w:rPr>
        <w:t>After correcting robustness issues, save source-level India scores without retuning and validate against EOG, GEM, WRI, OSM, and manual review.</w:t>
      </w:r>
    </w:p>
    <w:p>
      <w:pPr>
        <w:pStyle w:val="Heading2"/>
      </w:pPr>
      <w:r>
        <w:t>Source construction</w:t>
      </w:r>
    </w:p>
    <w:p>
      <w:r>
        <w:rPr>
          <w:rFonts w:ascii="Calibri" w:hAnsi="Calibri"/>
          <w:b w:val="0"/>
          <w:i w:val="0"/>
          <w:color w:val="000000"/>
          <w:sz w:val="22"/>
        </w:rPr>
        <w:t>The clustering stage converts millions of observations into persistent source entities. A 1 km source grid groups repeated detections; a separate 10 km block ID controls validation leakage. Model features are built only from MODIS and VIIRS S-NPP because both are uniformly available across all seven countries. NOAA-20 remains useful in the archive and audit but is excluded from the current model matrix to avoid sensor-availability leakage.</w:t>
      </w:r>
    </w:p>
    <w:p>
      <w:pPr>
        <w:pStyle w:val="Heading2"/>
      </w:pPr>
      <w:r>
        <w:t>Feature families</w:t>
      </w:r>
    </w:p>
    <w:tbl>
      <w:tblPr>
        <w:tblStyle w:val="TableGrid"/>
        <w:tblW w:type="dxa" w:w="9360"/>
        <w:tblLayout w:type="fixed"/>
        <w:tblLook w:firstColumn="1" w:firstRow="1" w:lastColumn="0" w:lastRow="0" w:noHBand="0" w:noVBand="1" w:val="04A0"/>
        <w:tblInd w:w="120" w:type="dxa"/>
      </w:tblPr>
      <w:tblGrid>
        <w:gridCol w:w="2300"/>
        <w:gridCol w:w="7060"/>
      </w:tblGrid>
      <w:tr>
        <w:trPr>
          <w:tblHeader w:val="true"/>
        </w:trPr>
        <w:tc>
          <w:tcPr>
            <w:tcW w:type="dxa" w:w="2300"/>
            <w:vAlign w:val="center"/>
            <w:tcMar>
              <w:top w:w="80" w:type="dxa"/>
              <w:start w:w="120" w:type="dxa"/>
              <w:bottom w:w="80" w:type="dxa"/>
              <w:end w:w="120" w:type="dxa"/>
            </w:tcMar>
            <w:shd w:fill="F2F4F7"/>
          </w:tcPr>
          <w:p>
            <w:pPr>
              <w:spacing w:after="0"/>
              <w:jc w:val="center"/>
            </w:pPr>
            <w:r>
              <w:rPr>
                <w:rFonts w:ascii="Calibri" w:hAnsi="Calibri"/>
                <w:b/>
                <w:i w:val="0"/>
                <w:color w:val="0B2545"/>
                <w:sz w:val="18"/>
              </w:rPr>
              <w:t>Feature family</w:t>
            </w:r>
          </w:p>
        </w:tc>
        <w:tc>
          <w:tcPr>
            <w:tcW w:type="dxa" w:w="7060"/>
            <w:vAlign w:val="center"/>
            <w:tcMar>
              <w:top w:w="80" w:type="dxa"/>
              <w:start w:w="120" w:type="dxa"/>
              <w:bottom w:w="80" w:type="dxa"/>
              <w:end w:w="120" w:type="dxa"/>
            </w:tcMar>
            <w:shd w:fill="F2F4F7"/>
          </w:tcPr>
          <w:p>
            <w:pPr>
              <w:spacing w:after="0"/>
              <w:jc w:val="center"/>
            </w:pPr>
            <w:r>
              <w:rPr>
                <w:rFonts w:ascii="Calibri" w:hAnsi="Calibri"/>
                <w:b/>
                <w:i w:val="0"/>
                <w:color w:val="0B2545"/>
                <w:sz w:val="18"/>
              </w:rPr>
              <w:t>Evidence encoded</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Intensity</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FRP and FRP density statistics; mid-wave and long-wave temperature statistics; temperature difference; saturation; pixel area</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Temporal persistence</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Detection count, active days/months/years, span, duty cycle, detections per day, maximum and mean active-day gaps</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Seasonality</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Normalized month entropy and maximum monthly share</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Overpass timing</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Circular mean and standard deviation of local solar time; night-time fraction</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Cross-instrument</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MODIS and S-NPP counts, S-NPP/MODIS ratio, and number of contributing sensors</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Confidence</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MODIS mean confidence and VIIRS nominal/low/high fractions</w:t>
            </w:r>
          </w:p>
        </w:tc>
      </w:tr>
      <w:tr>
        <w:tc>
          <w:tcPr>
            <w:tcW w:type="dxa" w:w="2300"/>
            <w:vAlign w:val="center"/>
            <w:tcMar>
              <w:top w:w="80" w:type="dxa"/>
              <w:start w:w="120" w:type="dxa"/>
              <w:bottom w:w="80" w:type="dxa"/>
              <w:end w:w="120" w:type="dxa"/>
            </w:tcMar>
          </w:tcPr>
          <w:p>
            <w:pPr>
              <w:spacing w:after="0"/>
              <w:jc w:val="left"/>
            </w:pPr>
            <w:r>
              <w:rPr>
                <w:rFonts w:ascii="Calibri" w:hAnsi="Calibri"/>
                <w:b w:val="0"/>
                <w:i w:val="0"/>
                <w:color w:val="000000"/>
                <w:sz w:val="18"/>
              </w:rPr>
              <w:t>Spatial</w:t>
            </w:r>
          </w:p>
        </w:tc>
        <w:tc>
          <w:tcPr>
            <w:tcW w:type="dxa" w:w="7060"/>
            <w:vAlign w:val="center"/>
            <w:tcMar>
              <w:top w:w="80" w:type="dxa"/>
              <w:start w:w="120" w:type="dxa"/>
              <w:bottom w:w="80" w:type="dxa"/>
              <w:end w:w="120" w:type="dxa"/>
            </w:tcMar>
          </w:tcPr>
          <w:p>
            <w:pPr>
              <w:spacing w:after="0"/>
              <w:jc w:val="center"/>
            </w:pPr>
            <w:r>
              <w:rPr>
                <w:rFonts w:ascii="Calibri" w:hAnsi="Calibri"/>
                <w:b w:val="0"/>
                <w:i w:val="0"/>
                <w:color w:val="000000"/>
                <w:sz w:val="18"/>
              </w:rPr>
              <w:t>Within-source spread in metres and number of distinct detected pixels</w:t>
            </w:r>
          </w:p>
        </w:tc>
      </w:tr>
    </w:tbl>
    <w:p>
      <w:pPr>
        <w:spacing w:after="40"/>
      </w:pPr>
    </w:p>
    <w:p>
      <w:r>
        <w:br w:type="page"/>
      </w:r>
    </w:p>
    <w:p>
      <w:pPr>
        <w:pStyle w:val="Heading1"/>
      </w:pPr>
      <w:r>
        <w:t>4. Dataset additions and CV-relevant data</w:t>
      </w:r>
    </w:p>
    <w:p>
      <w:pPr>
        <w:keepLines/>
        <w:spacing w:before="80" w:after="160"/>
        <w:ind w:left="115" w:right="115"/>
        <w:shd w:fill="FFF6D8"/>
        <w:pBdr>
          <w:left w:val="single" w:sz="18" w:space="6" w:color="9B1C1C"/>
        </w:pBdr>
      </w:pPr>
      <w:r>
        <w:rPr>
          <w:rFonts w:ascii="Calibri" w:hAnsi="Calibri"/>
          <w:b/>
          <w:i w:val="0"/>
          <w:color w:val="9B1C1C"/>
          <w:sz w:val="22"/>
        </w:rPr>
        <w:t xml:space="preserve">Direct answer on image data: </w:t>
      </w:r>
      <w:r>
        <w:rPr>
          <w:rFonts w:ascii="Calibri" w:hAnsi="Calibri"/>
          <w:b w:val="0"/>
          <w:i w:val="0"/>
          <w:color w:val="202830"/>
          <w:sz w:val="22"/>
        </w:rPr>
        <w:t>There are zero raw image files in the supplied archive. No JPG, PNG, TIFF, GeoTIFF, Sentinel-2 tile, Landsat scene, or WorldCover raster was added. The model uses per-detection measurements extracted from satellite imagery by NASA FIRMS. This is best described as remote-sensing CV-derived tabular data, not a pixel-level CV dataset.</w:t>
      </w:r>
    </w:p>
    <w:p>
      <w:pPr>
        <w:pStyle w:val="Heading2"/>
      </w:pPr>
      <w:r>
        <w:t>Archive inventory</w:t>
      </w:r>
    </w:p>
    <w:tbl>
      <w:tblPr>
        <w:tblStyle w:val="TableGrid"/>
        <w:tblW w:type="dxa" w:w="9360"/>
        <w:tblLayout w:type="fixed"/>
        <w:tblLook w:firstColumn="1" w:firstRow="1" w:lastColumn="0" w:lastRow="0" w:noHBand="0" w:noVBand="1" w:val="04A0"/>
        <w:tblInd w:w="120" w:type="dxa"/>
      </w:tblPr>
      <w:tblGrid>
        <w:gridCol w:w="2200"/>
        <w:gridCol w:w="1000"/>
        <w:gridCol w:w="1500"/>
        <w:gridCol w:w="2860"/>
        <w:gridCol w:w="1800"/>
      </w:tblGrid>
      <w:tr>
        <w:trPr>
          <w:tblHeader w:val="true"/>
        </w:trPr>
        <w:tc>
          <w:tcPr>
            <w:tcW w:type="dxa" w:w="2200"/>
            <w:vAlign w:val="center"/>
            <w:tcMar>
              <w:top w:w="80" w:type="dxa"/>
              <w:start w:w="120" w:type="dxa"/>
              <w:bottom w:w="80" w:type="dxa"/>
              <w:end w:w="120" w:type="dxa"/>
            </w:tcMar>
            <w:shd w:fill="F2F4F7"/>
          </w:tcPr>
          <w:p>
            <w:pPr>
              <w:spacing w:after="0"/>
              <w:jc w:val="center"/>
            </w:pPr>
            <w:r>
              <w:rPr>
                <w:rFonts w:ascii="Calibri" w:hAnsi="Calibri"/>
                <w:b/>
                <w:i w:val="0"/>
                <w:color w:val="0B2545"/>
                <w:sz w:val="17"/>
              </w:rPr>
              <w:t>Dataset</w:t>
            </w:r>
          </w:p>
        </w:tc>
        <w:tc>
          <w:tcPr>
            <w:tcW w:type="dxa" w:w="1000"/>
            <w:vAlign w:val="center"/>
            <w:tcMar>
              <w:top w:w="80" w:type="dxa"/>
              <w:start w:w="120" w:type="dxa"/>
              <w:bottom w:w="80" w:type="dxa"/>
              <w:end w:w="120" w:type="dxa"/>
            </w:tcMar>
            <w:shd w:fill="F2F4F7"/>
          </w:tcPr>
          <w:p>
            <w:pPr>
              <w:spacing w:after="0"/>
              <w:jc w:val="center"/>
            </w:pPr>
            <w:r>
              <w:rPr>
                <w:rFonts w:ascii="Calibri" w:hAnsi="Calibri"/>
                <w:b/>
                <w:i w:val="0"/>
                <w:color w:val="0B2545"/>
                <w:sz w:val="17"/>
              </w:rPr>
              <w:t>Files</w:t>
            </w:r>
          </w:p>
        </w:tc>
        <w:tc>
          <w:tcPr>
            <w:tcW w:type="dxa" w:w="1500"/>
            <w:vAlign w:val="center"/>
            <w:tcMar>
              <w:top w:w="80" w:type="dxa"/>
              <w:start w:w="120" w:type="dxa"/>
              <w:bottom w:w="80" w:type="dxa"/>
              <w:end w:w="120" w:type="dxa"/>
            </w:tcMar>
            <w:shd w:fill="F2F4F7"/>
          </w:tcPr>
          <w:p>
            <w:pPr>
              <w:spacing w:after="0"/>
              <w:jc w:val="center"/>
            </w:pPr>
            <w:r>
              <w:rPr>
                <w:rFonts w:ascii="Calibri" w:hAnsi="Calibri"/>
                <w:b/>
                <w:i w:val="0"/>
                <w:color w:val="0B2545"/>
                <w:sz w:val="17"/>
              </w:rPr>
              <w:t>Role</w:t>
            </w:r>
          </w:p>
        </w:tc>
        <w:tc>
          <w:tcPr>
            <w:tcW w:type="dxa" w:w="2860"/>
            <w:vAlign w:val="center"/>
            <w:tcMar>
              <w:top w:w="80" w:type="dxa"/>
              <w:start w:w="120" w:type="dxa"/>
              <w:bottom w:w="80" w:type="dxa"/>
              <w:end w:w="120" w:type="dxa"/>
            </w:tcMar>
            <w:shd w:fill="F2F4F7"/>
          </w:tcPr>
          <w:p>
            <w:pPr>
              <w:spacing w:after="0"/>
              <w:jc w:val="center"/>
            </w:pPr>
            <w:r>
              <w:rPr>
                <w:rFonts w:ascii="Calibri" w:hAnsi="Calibri"/>
                <w:b/>
                <w:i w:val="0"/>
                <w:color w:val="0B2545"/>
                <w:sz w:val="17"/>
              </w:rPr>
              <w:t>Content</w:t>
            </w:r>
          </w:p>
        </w:tc>
        <w:tc>
          <w:tcPr>
            <w:tcW w:type="dxa" w:w="1800"/>
            <w:vAlign w:val="center"/>
            <w:tcMar>
              <w:top w:w="80" w:type="dxa"/>
              <w:start w:w="120" w:type="dxa"/>
              <w:bottom w:w="80" w:type="dxa"/>
              <w:end w:w="120" w:type="dxa"/>
            </w:tcMar>
            <w:shd w:fill="F2F4F7"/>
          </w:tcPr>
          <w:p>
            <w:pPr>
              <w:spacing w:after="0"/>
              <w:jc w:val="center"/>
            </w:pPr>
            <w:r>
              <w:rPr>
                <w:rFonts w:ascii="Calibri" w:hAnsi="Calibri"/>
                <w:b/>
                <w:i w:val="0"/>
                <w:color w:val="0B2545"/>
                <w:sz w:val="17"/>
              </w:rPr>
              <w:t>Coverage</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NASA FIRMS - MODIS</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28 CSV</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Model input</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1 km nadir; Terra/Aqua</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2019-2024</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NASA FIRMS - VIIRS S-NPP</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28 CSV</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Model input</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375 m</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2019-2024</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NASA FIRMS - VIIRS NOAA-20</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22 CSV</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Audit / archive</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375 m</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2019-2024</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EOG flare inventory</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2 XLSX</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Positive supervision</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Known flare locations/activity</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2012-2025</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OpenStreetMap India</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24 GeoJSON</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Validation only</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Flare/kiln/facility context</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State files</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WRI GPPD</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1 CSV</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Validation only</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Global power plants</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Global</w:t>
            </w:r>
          </w:p>
        </w:tc>
      </w:tr>
      <w:tr>
        <w:tc>
          <w:tcPr>
            <w:tcW w:type="dxa" w:w="2200"/>
            <w:vAlign w:val="center"/>
            <w:tcMar>
              <w:top w:w="80" w:type="dxa"/>
              <w:start w:w="120" w:type="dxa"/>
              <w:bottom w:w="80" w:type="dxa"/>
              <w:end w:w="120" w:type="dxa"/>
            </w:tcMar>
          </w:tcPr>
          <w:p>
            <w:pPr>
              <w:spacing w:after="0"/>
              <w:jc w:val="left"/>
            </w:pPr>
            <w:r>
              <w:rPr>
                <w:rFonts w:ascii="Calibri" w:hAnsi="Calibri"/>
                <w:b w:val="0"/>
                <w:i w:val="0"/>
                <w:color w:val="000000"/>
                <w:sz w:val="17"/>
              </w:rPr>
              <w:t>GEM trackers</w:t>
            </w:r>
          </w:p>
        </w:tc>
        <w:tc>
          <w:tcPr>
            <w:tcW w:type="dxa" w:w="1000"/>
            <w:vAlign w:val="center"/>
            <w:tcMar>
              <w:top w:w="80" w:type="dxa"/>
              <w:start w:w="120" w:type="dxa"/>
              <w:bottom w:w="80" w:type="dxa"/>
              <w:end w:w="120" w:type="dxa"/>
            </w:tcMar>
          </w:tcPr>
          <w:p>
            <w:pPr>
              <w:spacing w:after="0"/>
              <w:jc w:val="center"/>
            </w:pPr>
            <w:r>
              <w:rPr>
                <w:rFonts w:ascii="Calibri" w:hAnsi="Calibri"/>
                <w:b w:val="0"/>
                <w:i w:val="0"/>
                <w:color w:val="000000"/>
                <w:sz w:val="17"/>
              </w:rPr>
              <w:t>7 XLSX</w:t>
            </w:r>
          </w:p>
        </w:tc>
        <w:tc>
          <w:tcPr>
            <w:tcW w:type="dxa" w:w="1500"/>
            <w:vAlign w:val="center"/>
            <w:tcMar>
              <w:top w:w="80" w:type="dxa"/>
              <w:start w:w="120" w:type="dxa"/>
              <w:bottom w:w="80" w:type="dxa"/>
              <w:end w:w="120" w:type="dxa"/>
            </w:tcMar>
          </w:tcPr>
          <w:p>
            <w:pPr>
              <w:spacing w:after="0"/>
              <w:jc w:val="center"/>
            </w:pPr>
            <w:r>
              <w:rPr>
                <w:rFonts w:ascii="Calibri" w:hAnsi="Calibri"/>
                <w:b w:val="0"/>
                <w:i w:val="0"/>
                <w:color w:val="000000"/>
                <w:sz w:val="17"/>
              </w:rPr>
              <w:t>Validation only</w:t>
            </w:r>
          </w:p>
        </w:tc>
        <w:tc>
          <w:tcPr>
            <w:tcW w:type="dxa" w:w="2860"/>
            <w:vAlign w:val="center"/>
            <w:tcMar>
              <w:top w:w="80" w:type="dxa"/>
              <w:start w:w="120" w:type="dxa"/>
              <w:bottom w:w="80" w:type="dxa"/>
              <w:end w:w="120" w:type="dxa"/>
            </w:tcMar>
          </w:tcPr>
          <w:p>
            <w:pPr>
              <w:spacing w:after="0"/>
              <w:jc w:val="center"/>
            </w:pPr>
            <w:r>
              <w:rPr>
                <w:rFonts w:ascii="Calibri" w:hAnsi="Calibri"/>
                <w:b w:val="0"/>
                <w:i w:val="0"/>
                <w:color w:val="000000"/>
                <w:sz w:val="17"/>
              </w:rPr>
              <w:t>Oil/gas, coal, steel, cement</w:t>
            </w:r>
          </w:p>
        </w:tc>
        <w:tc>
          <w:tcPr>
            <w:tcW w:type="dxa" w:w="1800"/>
            <w:vAlign w:val="center"/>
            <w:tcMar>
              <w:top w:w="80" w:type="dxa"/>
              <w:start w:w="120" w:type="dxa"/>
              <w:bottom w:w="80" w:type="dxa"/>
              <w:end w:w="120" w:type="dxa"/>
            </w:tcMar>
          </w:tcPr>
          <w:p>
            <w:pPr>
              <w:spacing w:after="0"/>
              <w:jc w:val="center"/>
            </w:pPr>
            <w:r>
              <w:rPr>
                <w:rFonts w:ascii="Calibri" w:hAnsi="Calibri"/>
                <w:b w:val="0"/>
                <w:i w:val="0"/>
                <w:color w:val="000000"/>
                <w:sz w:val="17"/>
              </w:rPr>
              <w:t>2026 editions</w:t>
            </w:r>
          </w:p>
        </w:tc>
      </w:tr>
    </w:tbl>
    <w:p>
      <w:pPr>
        <w:spacing w:after="40"/>
      </w:pPr>
    </w:p>
    <w:p>
      <w:r>
        <w:rPr>
          <w:rFonts w:ascii="Calibri" w:hAnsi="Calibri"/>
          <w:b w:val="0"/>
          <w:i w:val="0"/>
          <w:color w:val="000000"/>
          <w:sz w:val="22"/>
        </w:rPr>
        <w:t>Archive totals: 112 substantive files; 79 CSV, 9 XLSX, and 24 GeoJSON; 1,585,566,493 uncompressed bytes (about 1.586 GB). The ZIP itself is 383,831,220 bytes. macOS metadata entries and .DS_Store files are excluded from these counts.</w:t>
      </w:r>
    </w:p>
    <w:p>
      <w:pPr>
        <w:pStyle w:val="Heading2"/>
      </w:pPr>
      <w:r>
        <w:t>FIRMS country and sensor coverage</w:t>
      </w:r>
    </w:p>
    <w:tbl>
      <w:tblPr>
        <w:tblStyle w:val="TableGrid"/>
        <w:tblW w:type="dxa" w:w="9360"/>
        <w:tblLayout w:type="fixed"/>
        <w:tblLook w:firstColumn="1" w:firstRow="1" w:lastColumn="0" w:lastRow="0" w:noHBand="0" w:noVBand="1" w:val="04A0"/>
        <w:tblInd w:w="120" w:type="dxa"/>
      </w:tblPr>
      <w:tblGrid>
        <w:gridCol w:w="1160"/>
        <w:gridCol w:w="1240"/>
        <w:gridCol w:w="1280"/>
        <w:gridCol w:w="1520"/>
        <w:gridCol w:w="1360"/>
        <w:gridCol w:w="1480"/>
        <w:gridCol w:w="1320"/>
      </w:tblGrid>
      <w:tr>
        <w:trPr>
          <w:tblHeader w:val="true"/>
        </w:trPr>
        <w:tc>
          <w:tcPr>
            <w:tcW w:type="dxa" w:w="1160"/>
            <w:vAlign w:val="center"/>
            <w:tcMar>
              <w:top w:w="80" w:type="dxa"/>
              <w:start w:w="120" w:type="dxa"/>
              <w:bottom w:w="80" w:type="dxa"/>
              <w:end w:w="120" w:type="dxa"/>
            </w:tcMar>
            <w:shd w:fill="F2F4F7"/>
          </w:tcPr>
          <w:p>
            <w:pPr>
              <w:spacing w:after="0"/>
              <w:jc w:val="center"/>
            </w:pPr>
            <w:r>
              <w:rPr>
                <w:rFonts w:ascii="Calibri" w:hAnsi="Calibri"/>
                <w:b/>
                <w:i w:val="0"/>
                <w:color w:val="0B2545"/>
                <w:sz w:val="15"/>
              </w:rPr>
              <w:t>Country</w:t>
            </w:r>
          </w:p>
        </w:tc>
        <w:tc>
          <w:tcPr>
            <w:tcW w:type="dxa" w:w="1240"/>
            <w:vAlign w:val="center"/>
            <w:tcMar>
              <w:top w:w="80" w:type="dxa"/>
              <w:start w:w="120" w:type="dxa"/>
              <w:bottom w:w="80" w:type="dxa"/>
              <w:end w:w="120" w:type="dxa"/>
            </w:tcMar>
            <w:shd w:fill="F2F4F7"/>
          </w:tcPr>
          <w:p>
            <w:pPr>
              <w:spacing w:after="0"/>
              <w:jc w:val="center"/>
            </w:pPr>
            <w:r>
              <w:rPr>
                <w:rFonts w:ascii="Calibri" w:hAnsi="Calibri"/>
                <w:b/>
                <w:i w:val="0"/>
                <w:color w:val="0B2545"/>
                <w:sz w:val="15"/>
              </w:rPr>
              <w:t>Years</w:t>
            </w:r>
          </w:p>
        </w:tc>
        <w:tc>
          <w:tcPr>
            <w:tcW w:type="dxa" w:w="1280"/>
            <w:vAlign w:val="center"/>
            <w:tcMar>
              <w:top w:w="80" w:type="dxa"/>
              <w:start w:w="120" w:type="dxa"/>
              <w:bottom w:w="80" w:type="dxa"/>
              <w:end w:w="120" w:type="dxa"/>
            </w:tcMar>
            <w:shd w:fill="F2F4F7"/>
          </w:tcPr>
          <w:p>
            <w:pPr>
              <w:spacing w:after="0"/>
              <w:jc w:val="center"/>
            </w:pPr>
            <w:r>
              <w:rPr>
                <w:rFonts w:ascii="Calibri" w:hAnsi="Calibri"/>
                <w:b/>
                <w:i w:val="0"/>
                <w:color w:val="0B2545"/>
                <w:sz w:val="15"/>
              </w:rPr>
              <w:t>MODIS</w:t>
            </w:r>
          </w:p>
        </w:tc>
        <w:tc>
          <w:tcPr>
            <w:tcW w:type="dxa" w:w="1520"/>
            <w:vAlign w:val="center"/>
            <w:tcMar>
              <w:top w:w="80" w:type="dxa"/>
              <w:start w:w="120" w:type="dxa"/>
              <w:bottom w:w="80" w:type="dxa"/>
              <w:end w:w="120" w:type="dxa"/>
            </w:tcMar>
            <w:shd w:fill="F2F4F7"/>
          </w:tcPr>
          <w:p>
            <w:pPr>
              <w:spacing w:after="0"/>
              <w:jc w:val="center"/>
            </w:pPr>
            <w:r>
              <w:rPr>
                <w:rFonts w:ascii="Calibri" w:hAnsi="Calibri"/>
                <w:b/>
                <w:i w:val="0"/>
                <w:color w:val="0B2545"/>
                <w:sz w:val="15"/>
              </w:rPr>
              <w:t>VIIRS S-NPP</w:t>
            </w:r>
          </w:p>
        </w:tc>
        <w:tc>
          <w:tcPr>
            <w:tcW w:type="dxa" w:w="1360"/>
            <w:vAlign w:val="center"/>
            <w:tcMar>
              <w:top w:w="80" w:type="dxa"/>
              <w:start w:w="120" w:type="dxa"/>
              <w:bottom w:w="80" w:type="dxa"/>
              <w:end w:w="120" w:type="dxa"/>
            </w:tcMar>
            <w:shd w:fill="F2F4F7"/>
          </w:tcPr>
          <w:p>
            <w:pPr>
              <w:spacing w:after="0"/>
              <w:jc w:val="center"/>
            </w:pPr>
            <w:r>
              <w:rPr>
                <w:rFonts w:ascii="Calibri" w:hAnsi="Calibri"/>
                <w:b/>
                <w:i w:val="0"/>
                <w:color w:val="0B2545"/>
                <w:sz w:val="15"/>
              </w:rPr>
              <w:t>VIIRS N20</w:t>
            </w:r>
          </w:p>
        </w:tc>
        <w:tc>
          <w:tcPr>
            <w:tcW w:type="dxa" w:w="1480"/>
            <w:vAlign w:val="center"/>
            <w:tcMar>
              <w:top w:w="80" w:type="dxa"/>
              <w:start w:w="120" w:type="dxa"/>
              <w:bottom w:w="80" w:type="dxa"/>
              <w:end w:w="120" w:type="dxa"/>
            </w:tcMar>
            <w:shd w:fill="F2F4F7"/>
          </w:tcPr>
          <w:p>
            <w:pPr>
              <w:spacing w:after="0"/>
              <w:jc w:val="center"/>
            </w:pPr>
            <w:r>
              <w:rPr>
                <w:rFonts w:ascii="Calibri" w:hAnsi="Calibri"/>
                <w:b/>
                <w:i w:val="0"/>
                <w:color w:val="0B2545"/>
                <w:sz w:val="15"/>
              </w:rPr>
              <w:t>Total</w:t>
            </w:r>
          </w:p>
        </w:tc>
        <w:tc>
          <w:tcPr>
            <w:tcW w:type="dxa" w:w="1320"/>
            <w:vAlign w:val="center"/>
            <w:tcMar>
              <w:top w:w="80" w:type="dxa"/>
              <w:start w:w="120" w:type="dxa"/>
              <w:bottom w:w="80" w:type="dxa"/>
              <w:end w:w="120" w:type="dxa"/>
            </w:tcMar>
            <w:shd w:fill="F2F4F7"/>
          </w:tcPr>
          <w:p>
            <w:pPr>
              <w:spacing w:after="0"/>
              <w:jc w:val="center"/>
            </w:pPr>
            <w:r>
              <w:rPr>
                <w:rFonts w:ascii="Calibri" w:hAnsi="Calibri"/>
                <w:b/>
                <w:i w:val="0"/>
                <w:color w:val="0B2545"/>
                <w:sz w:val="15"/>
              </w:rPr>
              <w:t>Role</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India</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2019-2024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496,769</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3,522,955</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3,574,545</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7,594,269</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Holdout</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Angola</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2022-2024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1,039,703</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3,830,013</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N/A</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4,869,716</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Train</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Nigeria</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2021-2024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278,411</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1,817,312</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1,818,841</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3,914,564</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Train</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Iraq</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2021-2024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142,218</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584,908</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562,857</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1,289,983</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Train</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Algeria</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2021-2024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23,476</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361,078</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359,698</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744,252</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Train</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Indonesia</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2022-2024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86,977</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414,794</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N/A</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501,771</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Train</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Libya</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2021-2024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20,952</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205,428</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201,137</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427,517</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Train</w:t>
            </w:r>
          </w:p>
        </w:tc>
      </w:tr>
      <w:tr>
        <w:tc>
          <w:tcPr>
            <w:tcW w:type="dxa" w:w="1160"/>
            <w:vAlign w:val="center"/>
            <w:tcMar>
              <w:top w:w="80" w:type="dxa"/>
              <w:start w:w="120" w:type="dxa"/>
              <w:bottom w:w="80" w:type="dxa"/>
              <w:end w:w="120" w:type="dxa"/>
            </w:tcMar>
          </w:tcPr>
          <w:p>
            <w:pPr>
              <w:spacing w:after="0"/>
              <w:jc w:val="left"/>
            </w:pPr>
            <w:r>
              <w:rPr>
                <w:rFonts w:ascii="Calibri" w:hAnsi="Calibri"/>
                <w:b w:val="0"/>
                <w:i w:val="0"/>
                <w:color w:val="000000"/>
                <w:sz w:val="15"/>
              </w:rPr>
              <w:t>Total</w:t>
            </w:r>
          </w:p>
        </w:tc>
        <w:tc>
          <w:tcPr>
            <w:tcW w:type="dxa" w:w="1240"/>
            <w:vAlign w:val="center"/>
            <w:tcMar>
              <w:top w:w="80" w:type="dxa"/>
              <w:start w:w="120" w:type="dxa"/>
              <w:bottom w:w="80" w:type="dxa"/>
              <w:end w:w="120" w:type="dxa"/>
            </w:tcMar>
          </w:tcPr>
          <w:p>
            <w:pPr>
              <w:spacing w:after="0"/>
              <w:jc w:val="center"/>
            </w:pPr>
            <w:r>
              <w:rPr>
                <w:rFonts w:ascii="Calibri" w:hAnsi="Calibri"/>
                <w:b w:val="0"/>
                <w:i w:val="0"/>
                <w:color w:val="000000"/>
                <w:sz w:val="15"/>
              </w:rPr>
              <w:t>2019-2024</w:t>
            </w:r>
          </w:p>
        </w:tc>
        <w:tc>
          <w:tcPr>
            <w:tcW w:type="dxa" w:w="1280"/>
            <w:vAlign w:val="center"/>
            <w:tcMar>
              <w:top w:w="80" w:type="dxa"/>
              <w:start w:w="120" w:type="dxa"/>
              <w:bottom w:w="80" w:type="dxa"/>
              <w:end w:w="120" w:type="dxa"/>
            </w:tcMar>
          </w:tcPr>
          <w:p>
            <w:pPr>
              <w:spacing w:after="0"/>
              <w:jc w:val="center"/>
            </w:pPr>
            <w:r>
              <w:rPr>
                <w:rFonts w:ascii="Calibri" w:hAnsi="Calibri"/>
                <w:b w:val="0"/>
                <w:i w:val="0"/>
                <w:color w:val="000000"/>
                <w:sz w:val="15"/>
              </w:rPr>
              <w:t>2,088,506</w:t>
            </w:r>
          </w:p>
        </w:tc>
        <w:tc>
          <w:tcPr>
            <w:tcW w:type="dxa" w:w="1520"/>
            <w:vAlign w:val="center"/>
            <w:tcMar>
              <w:top w:w="80" w:type="dxa"/>
              <w:start w:w="120" w:type="dxa"/>
              <w:bottom w:w="80" w:type="dxa"/>
              <w:end w:w="120" w:type="dxa"/>
            </w:tcMar>
          </w:tcPr>
          <w:p>
            <w:pPr>
              <w:spacing w:after="0"/>
              <w:jc w:val="center"/>
            </w:pPr>
            <w:r>
              <w:rPr>
                <w:rFonts w:ascii="Calibri" w:hAnsi="Calibri"/>
                <w:b w:val="0"/>
                <w:i w:val="0"/>
                <w:color w:val="000000"/>
                <w:sz w:val="15"/>
              </w:rPr>
              <w:t>10,736,488</w:t>
            </w:r>
          </w:p>
        </w:tc>
        <w:tc>
          <w:tcPr>
            <w:tcW w:type="dxa" w:w="1360"/>
            <w:vAlign w:val="center"/>
            <w:tcMar>
              <w:top w:w="80" w:type="dxa"/>
              <w:start w:w="120" w:type="dxa"/>
              <w:bottom w:w="80" w:type="dxa"/>
              <w:end w:w="120" w:type="dxa"/>
            </w:tcMar>
          </w:tcPr>
          <w:p>
            <w:pPr>
              <w:spacing w:after="0"/>
              <w:jc w:val="center"/>
            </w:pPr>
            <w:r>
              <w:rPr>
                <w:rFonts w:ascii="Calibri" w:hAnsi="Calibri"/>
                <w:b w:val="0"/>
                <w:i w:val="0"/>
                <w:color w:val="000000"/>
                <w:sz w:val="15"/>
              </w:rPr>
              <w:t>6,517,078</w:t>
            </w:r>
          </w:p>
        </w:tc>
        <w:tc>
          <w:tcPr>
            <w:tcW w:type="dxa" w:w="1480"/>
            <w:vAlign w:val="center"/>
            <w:tcMar>
              <w:top w:w="80" w:type="dxa"/>
              <w:start w:w="120" w:type="dxa"/>
              <w:bottom w:w="80" w:type="dxa"/>
              <w:end w:w="120" w:type="dxa"/>
            </w:tcMar>
          </w:tcPr>
          <w:p>
            <w:pPr>
              <w:spacing w:after="0"/>
              <w:jc w:val="center"/>
            </w:pPr>
            <w:r>
              <w:rPr>
                <w:rFonts w:ascii="Calibri" w:hAnsi="Calibri"/>
                <w:b w:val="0"/>
                <w:i w:val="0"/>
                <w:color w:val="000000"/>
                <w:sz w:val="15"/>
              </w:rPr>
              <w:t>19,342,072</w:t>
            </w:r>
          </w:p>
        </w:tc>
        <w:tc>
          <w:tcPr>
            <w:tcW w:type="dxa" w:w="1320"/>
            <w:vAlign w:val="center"/>
            <w:tcMar>
              <w:top w:w="80" w:type="dxa"/>
              <w:start w:w="120" w:type="dxa"/>
              <w:bottom w:w="80" w:type="dxa"/>
              <w:end w:w="120" w:type="dxa"/>
            </w:tcMar>
          </w:tcPr>
          <w:p>
            <w:pPr>
              <w:spacing w:after="0"/>
              <w:jc w:val="center"/>
            </w:pPr>
            <w:r>
              <w:rPr>
                <w:rFonts w:ascii="Calibri" w:hAnsi="Calibri"/>
                <w:b w:val="0"/>
                <w:i w:val="0"/>
                <w:color w:val="000000"/>
                <w:sz w:val="15"/>
              </w:rPr>
              <w:t>-</w:t>
            </w:r>
          </w:p>
        </w:tc>
      </w:tr>
    </w:tbl>
    <w:p>
      <w:pPr>
        <w:spacing w:after="40"/>
      </w:pPr>
    </w:p>
    <w:p>
      <w:pPr>
        <w:pStyle w:val="Heading2"/>
      </w:pPr>
      <w:r>
        <w:t>Verified raw-data audit</w:t>
      </w:r>
    </w:p>
    <w:p>
      <w:pPr>
        <w:pStyle w:val="ListBullet"/>
        <w:spacing w:after="160" w:line="280" w:lineRule="auto"/>
        <w:ind w:left="720" w:hanging="360"/>
      </w:pPr>
      <w:r>
        <w:rPr>
          <w:rFonts w:ascii="Calibri" w:hAnsi="Calibri"/>
          <w:b w:val="0"/>
          <w:i w:val="0"/>
          <w:color w:val="000000"/>
          <w:sz w:val="22"/>
        </w:rPr>
        <w:t>19,342,072 FIRMS detections across seven countries and the 2019-2024 observation period.</w:t>
      </w:r>
    </w:p>
    <w:p>
      <w:pPr>
        <w:pStyle w:val="ListBullet"/>
        <w:spacing w:after="160" w:line="280" w:lineRule="auto"/>
        <w:ind w:left="720" w:hanging="360"/>
      </w:pPr>
      <w:r>
        <w:rPr>
          <w:rFonts w:ascii="Calibri" w:hAnsi="Calibri"/>
          <w:b w:val="0"/>
          <w:i w:val="0"/>
          <w:color w:val="000000"/>
          <w:sz w:val="22"/>
        </w:rPr>
        <w:t>Zero null values, zero malformed acquisition dates, and zero exact duplicate rows in the audit report.</w:t>
      </w:r>
    </w:p>
    <w:p>
      <w:pPr>
        <w:pStyle w:val="ListBullet"/>
        <w:spacing w:after="160" w:line="280" w:lineRule="auto"/>
        <w:ind w:left="720" w:hanging="360"/>
      </w:pPr>
      <w:r>
        <w:rPr>
          <w:rFonts w:ascii="Calibri" w:hAnsi="Calibri"/>
          <w:b w:val="0"/>
          <w:i w:val="0"/>
          <w:color w:val="000000"/>
          <w:sz w:val="22"/>
        </w:rPr>
        <w:t>754 rows, or approximately 0.004%, have non-positive FRP and should be handled as a documented quality edge case.</w:t>
      </w:r>
    </w:p>
    <w:p>
      <w:pPr>
        <w:pStyle w:val="ListBullet"/>
        <w:spacing w:after="160" w:line="280" w:lineRule="auto"/>
        <w:ind w:left="720" w:hanging="360"/>
      </w:pPr>
      <w:r>
        <w:rPr>
          <w:rFonts w:ascii="Calibri" w:hAnsi="Calibri"/>
          <w:b w:val="0"/>
          <w:i w:val="0"/>
          <w:color w:val="000000"/>
          <w:sz w:val="22"/>
        </w:rPr>
        <w:t>All 78 FIRMS files are archive/standard-quality products rather than near-real-time products.</w:t>
      </w:r>
    </w:p>
    <w:p>
      <w:r>
        <w:br w:type="page"/>
      </w:r>
    </w:p>
    <w:p>
      <w:pPr>
        <w:pStyle w:val="Heading1"/>
      </w:pPr>
      <w:r>
        <w:t>5. Derived modelling dataset</w:t>
      </w:r>
    </w:p>
    <w:p>
      <w:r>
        <w:rPr>
          <w:rFonts w:ascii="Calibri" w:hAnsi="Calibri"/>
          <w:b w:val="0"/>
          <w:i w:val="0"/>
          <w:color w:val="000000"/>
          <w:sz w:val="22"/>
        </w:rPr>
        <w:t>After source construction and uniform-sensor filtering, the modelling tables are materially smaller than the raw detection stream. The foreign training population contains 1,687,353 source rows, including 3,766 EOG-matched positive rows. The India feature table contains 992,536 source rows, including 276 EOG-matched source rows.</w:t>
      </w:r>
    </w:p>
    <w:p>
      <w:pPr>
        <w:keepLines/>
        <w:spacing w:before="80" w:after="160"/>
        <w:ind w:left="115" w:right="115"/>
        <w:shd w:fill="E8EEF5"/>
        <w:pBdr>
          <w:left w:val="single" w:sz="18" w:space="6" w:color="0B2545"/>
        </w:pBdr>
      </w:pPr>
      <w:r>
        <w:rPr>
          <w:rFonts w:ascii="Calibri" w:hAnsi="Calibri"/>
          <w:b/>
          <w:i w:val="0"/>
          <w:color w:val="0B2545"/>
          <w:sz w:val="22"/>
        </w:rPr>
        <w:t xml:space="preserve">Upstream recall ceiling: </w:t>
      </w:r>
      <w:r>
        <w:rPr>
          <w:rFonts w:ascii="Calibri" w:hAnsi="Calibri"/>
          <w:b w:val="0"/>
          <w:i w:val="0"/>
          <w:color w:val="202830"/>
          <w:sz w:val="22"/>
        </w:rPr>
        <w:t>The source-construction stage recovers 133 of 193 known active Indian EOG sites, or 68.9%. That is the current maximum possible known-site recall unless clustering or EOG matching is changed. Multiple source cells may match a single EOG site, which is why matched source-row counts can exceed distinct site counts.</w:t>
      </w:r>
    </w:p>
    <w:p>
      <w:pPr>
        <w:pStyle w:val="Heading2"/>
      </w:pPr>
      <w:r>
        <w:t>Label and validation roles</w:t>
      </w:r>
    </w:p>
    <w:tbl>
      <w:tblPr>
        <w:tblStyle w:val="TableGrid"/>
        <w:tblW w:type="dxa" w:w="9360"/>
        <w:tblLayout w:type="fixed"/>
        <w:tblLook w:firstColumn="1" w:firstRow="1" w:lastColumn="0" w:lastRow="0" w:noHBand="0" w:noVBand="1" w:val="04A0"/>
        <w:tblInd w:w="120" w:type="dxa"/>
      </w:tblPr>
      <w:tblGrid>
        <w:gridCol w:w="3000"/>
        <w:gridCol w:w="1900"/>
        <w:gridCol w:w="4460"/>
      </w:tblGrid>
      <w:tr>
        <w:trPr>
          <w:tblHeader w:val="true"/>
        </w:trPr>
        <w:tc>
          <w:tcPr>
            <w:tcW w:type="dxa" w:w="3000"/>
            <w:vAlign w:val="center"/>
            <w:tcMar>
              <w:top w:w="80" w:type="dxa"/>
              <w:start w:w="120" w:type="dxa"/>
              <w:bottom w:w="80" w:type="dxa"/>
              <w:end w:w="120" w:type="dxa"/>
            </w:tcMar>
            <w:shd w:fill="F2F4F7"/>
          </w:tcPr>
          <w:p>
            <w:pPr>
              <w:spacing w:after="0"/>
              <w:jc w:val="center"/>
            </w:pPr>
            <w:r>
              <w:rPr>
                <w:rFonts w:ascii="Calibri" w:hAnsi="Calibri"/>
                <w:b/>
                <w:i w:val="0"/>
                <w:color w:val="0B2545"/>
                <w:sz w:val="18"/>
              </w:rPr>
              <w:t>Data slice</w:t>
            </w:r>
          </w:p>
        </w:tc>
        <w:tc>
          <w:tcPr>
            <w:tcW w:type="dxa" w:w="1900"/>
            <w:vAlign w:val="center"/>
            <w:tcMar>
              <w:top w:w="80" w:type="dxa"/>
              <w:start w:w="120" w:type="dxa"/>
              <w:bottom w:w="80" w:type="dxa"/>
              <w:end w:w="120" w:type="dxa"/>
            </w:tcMar>
            <w:shd w:fill="F2F4F7"/>
          </w:tcPr>
          <w:p>
            <w:pPr>
              <w:spacing w:after="0"/>
              <w:jc w:val="center"/>
            </w:pPr>
            <w:r>
              <w:rPr>
                <w:rFonts w:ascii="Calibri" w:hAnsi="Calibri"/>
                <w:b/>
                <w:i w:val="0"/>
                <w:color w:val="0B2545"/>
                <w:sz w:val="18"/>
              </w:rPr>
              <w:t>Role</w:t>
            </w:r>
          </w:p>
        </w:tc>
        <w:tc>
          <w:tcPr>
            <w:tcW w:type="dxa" w:w="4460"/>
            <w:vAlign w:val="center"/>
            <w:tcMar>
              <w:top w:w="80" w:type="dxa"/>
              <w:start w:w="120" w:type="dxa"/>
              <w:bottom w:w="80" w:type="dxa"/>
              <w:end w:w="120" w:type="dxa"/>
            </w:tcMar>
            <w:shd w:fill="F2F4F7"/>
          </w:tcPr>
          <w:p>
            <w:pPr>
              <w:spacing w:after="0"/>
              <w:jc w:val="center"/>
            </w:pPr>
            <w:r>
              <w:rPr>
                <w:rFonts w:ascii="Calibri" w:hAnsi="Calibri"/>
                <w:b/>
                <w:i w:val="0"/>
                <w:color w:val="0B2545"/>
                <w:sz w:val="18"/>
              </w:rPr>
              <w:t>Reason</w:t>
            </w:r>
          </w:p>
        </w:tc>
      </w:tr>
      <w:tr>
        <w:tc>
          <w:tcPr>
            <w:tcW w:type="dxa" w:w="3000"/>
            <w:vAlign w:val="center"/>
            <w:tcMar>
              <w:top w:w="80" w:type="dxa"/>
              <w:start w:w="120" w:type="dxa"/>
              <w:bottom w:w="80" w:type="dxa"/>
              <w:end w:w="120" w:type="dxa"/>
            </w:tcMar>
          </w:tcPr>
          <w:p>
            <w:pPr>
              <w:spacing w:after="0"/>
              <w:jc w:val="left"/>
            </w:pPr>
            <w:r>
              <w:rPr>
                <w:rFonts w:ascii="Calibri" w:hAnsi="Calibri"/>
                <w:b w:val="0"/>
                <w:i w:val="0"/>
                <w:color w:val="000000"/>
                <w:sz w:val="18"/>
              </w:rPr>
              <w:t>FIRMS: Iraq, Algeria, Nigeria, Libya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Training input</w:t>
            </w:r>
          </w:p>
        </w:tc>
        <w:tc>
          <w:tcPr>
            <w:tcW w:type="dxa" w:w="4460"/>
            <w:vAlign w:val="center"/>
            <w:tcMar>
              <w:top w:w="80" w:type="dxa"/>
              <w:start w:w="120" w:type="dxa"/>
              <w:bottom w:w="80" w:type="dxa"/>
              <w:end w:w="120" w:type="dxa"/>
            </w:tcMar>
          </w:tcPr>
          <w:p>
            <w:pPr>
              <w:spacing w:after="0"/>
              <w:jc w:val="center"/>
            </w:pPr>
            <w:r>
              <w:rPr>
                <w:rFonts w:ascii="Calibri" w:hAnsi="Calibri"/>
                <w:b w:val="0"/>
                <w:i w:val="0"/>
                <w:color w:val="000000"/>
                <w:sz w:val="18"/>
              </w:rPr>
              <w:t>Flare-heavy countries that provide much of the positive class</w:t>
            </w:r>
          </w:p>
        </w:tc>
      </w:tr>
      <w:tr>
        <w:tc>
          <w:tcPr>
            <w:tcW w:type="dxa" w:w="3000"/>
            <w:vAlign w:val="center"/>
            <w:tcMar>
              <w:top w:w="80" w:type="dxa"/>
              <w:start w:w="120" w:type="dxa"/>
              <w:bottom w:w="80" w:type="dxa"/>
              <w:end w:w="120" w:type="dxa"/>
            </w:tcMar>
          </w:tcPr>
          <w:p>
            <w:pPr>
              <w:spacing w:after="0"/>
              <w:jc w:val="left"/>
            </w:pPr>
            <w:r>
              <w:rPr>
                <w:rFonts w:ascii="Calibri" w:hAnsi="Calibri"/>
                <w:b w:val="0"/>
                <w:i w:val="0"/>
                <w:color w:val="000000"/>
                <w:sz w:val="18"/>
              </w:rPr>
              <w:t>FIRMS: Angola, Indonesia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Training input</w:t>
            </w:r>
          </w:p>
        </w:tc>
        <w:tc>
          <w:tcPr>
            <w:tcW w:type="dxa" w:w="4460"/>
            <w:vAlign w:val="center"/>
            <w:tcMar>
              <w:top w:w="80" w:type="dxa"/>
              <w:start w:w="120" w:type="dxa"/>
              <w:bottom w:w="80" w:type="dxa"/>
              <w:end w:w="120" w:type="dxa"/>
            </w:tcMar>
          </w:tcPr>
          <w:p>
            <w:pPr>
              <w:spacing w:after="0"/>
              <w:jc w:val="center"/>
            </w:pPr>
            <w:r>
              <w:rPr>
                <w:rFonts w:ascii="Calibri" w:hAnsi="Calibri"/>
                <w:b w:val="0"/>
                <w:i w:val="0"/>
                <w:color w:val="000000"/>
                <w:sz w:val="18"/>
              </w:rPr>
              <w:t>Vegetation-fire-heavy background population</w:t>
            </w:r>
          </w:p>
        </w:tc>
      </w:tr>
      <w:tr>
        <w:tc>
          <w:tcPr>
            <w:tcW w:type="dxa" w:w="3000"/>
            <w:vAlign w:val="center"/>
            <w:tcMar>
              <w:top w:w="80" w:type="dxa"/>
              <w:start w:w="120" w:type="dxa"/>
              <w:bottom w:w="80" w:type="dxa"/>
              <w:end w:w="120" w:type="dxa"/>
            </w:tcMar>
          </w:tcPr>
          <w:p>
            <w:pPr>
              <w:spacing w:after="0"/>
              <w:jc w:val="left"/>
            </w:pPr>
            <w:r>
              <w:rPr>
                <w:rFonts w:ascii="Calibri" w:hAnsi="Calibri"/>
                <w:b w:val="0"/>
                <w:i w:val="0"/>
                <w:color w:val="000000"/>
                <w:sz w:val="18"/>
              </w:rPr>
              <w:t>FIRMS: India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Final holdout</w:t>
            </w:r>
          </w:p>
        </w:tc>
        <w:tc>
          <w:tcPr>
            <w:tcW w:type="dxa" w:w="4460"/>
            <w:vAlign w:val="center"/>
            <w:tcMar>
              <w:top w:w="80" w:type="dxa"/>
              <w:start w:w="120" w:type="dxa"/>
              <w:bottom w:w="80" w:type="dxa"/>
              <w:end w:w="120" w:type="dxa"/>
            </w:tcMar>
          </w:tcPr>
          <w:p>
            <w:pPr>
              <w:spacing w:after="0"/>
              <w:jc w:val="center"/>
            </w:pPr>
            <w:r>
              <w:rPr>
                <w:rFonts w:ascii="Calibri" w:hAnsi="Calibri"/>
                <w:b w:val="0"/>
                <w:i w:val="0"/>
                <w:color w:val="000000"/>
                <w:sz w:val="18"/>
              </w:rPr>
              <w:t>Focus country; never used during model selection</w:t>
            </w:r>
          </w:p>
        </w:tc>
      </w:tr>
      <w:tr>
        <w:tc>
          <w:tcPr>
            <w:tcW w:type="dxa" w:w="3000"/>
            <w:vAlign w:val="center"/>
            <w:tcMar>
              <w:top w:w="80" w:type="dxa"/>
              <w:start w:w="120" w:type="dxa"/>
              <w:bottom w:w="80" w:type="dxa"/>
              <w:end w:w="120" w:type="dxa"/>
            </w:tcMar>
          </w:tcPr>
          <w:p>
            <w:pPr>
              <w:spacing w:after="0"/>
              <w:jc w:val="left"/>
            </w:pPr>
            <w:r>
              <w:rPr>
                <w:rFonts w:ascii="Calibri" w:hAnsi="Calibri"/>
                <w:b w:val="0"/>
                <w:i w:val="0"/>
                <w:color w:val="000000"/>
                <w:sz w:val="18"/>
              </w:rPr>
              <w:t>EOG outside India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Training labels</w:t>
            </w:r>
          </w:p>
        </w:tc>
        <w:tc>
          <w:tcPr>
            <w:tcW w:type="dxa" w:w="4460"/>
            <w:vAlign w:val="center"/>
            <w:tcMar>
              <w:top w:w="80" w:type="dxa"/>
              <w:start w:w="120" w:type="dxa"/>
              <w:bottom w:w="80" w:type="dxa"/>
              <w:end w:w="120" w:type="dxa"/>
            </w:tcMar>
          </w:tcPr>
          <w:p>
            <w:pPr>
              <w:spacing w:after="0"/>
              <w:jc w:val="center"/>
            </w:pPr>
            <w:r>
              <w:rPr>
                <w:rFonts w:ascii="Calibri" w:hAnsi="Calibri"/>
                <w:b w:val="0"/>
                <w:i w:val="0"/>
                <w:color w:val="000000"/>
                <w:sz w:val="18"/>
              </w:rPr>
              <w:t>Verified positive flare supervision</w:t>
            </w:r>
          </w:p>
        </w:tc>
      </w:tr>
      <w:tr>
        <w:tc>
          <w:tcPr>
            <w:tcW w:type="dxa" w:w="3000"/>
            <w:vAlign w:val="center"/>
            <w:tcMar>
              <w:top w:w="80" w:type="dxa"/>
              <w:start w:w="120" w:type="dxa"/>
              <w:bottom w:w="80" w:type="dxa"/>
              <w:end w:w="120" w:type="dxa"/>
            </w:tcMar>
          </w:tcPr>
          <w:p>
            <w:pPr>
              <w:spacing w:after="0"/>
              <w:jc w:val="left"/>
            </w:pPr>
            <w:r>
              <w:rPr>
                <w:rFonts w:ascii="Calibri" w:hAnsi="Calibri"/>
                <w:b w:val="0"/>
                <w:i w:val="0"/>
                <w:color w:val="000000"/>
                <w:sz w:val="18"/>
              </w:rPr>
              <w:t>EOG India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Holdout validation</w:t>
            </w:r>
          </w:p>
        </w:tc>
        <w:tc>
          <w:tcPr>
            <w:tcW w:type="dxa" w:w="4460"/>
            <w:vAlign w:val="center"/>
            <w:tcMar>
              <w:top w:w="80" w:type="dxa"/>
              <w:start w:w="120" w:type="dxa"/>
              <w:bottom w:w="80" w:type="dxa"/>
              <w:end w:w="120" w:type="dxa"/>
            </w:tcMar>
          </w:tcPr>
          <w:p>
            <w:pPr>
              <w:spacing w:after="0"/>
              <w:jc w:val="center"/>
            </w:pPr>
            <w:r>
              <w:rPr>
                <w:rFonts w:ascii="Calibri" w:hAnsi="Calibri"/>
                <w:b w:val="0"/>
                <w:i w:val="0"/>
                <w:color w:val="000000"/>
                <w:sz w:val="18"/>
              </w:rPr>
              <w:t>Known Indian flare-site recovery</w:t>
            </w:r>
          </w:p>
        </w:tc>
      </w:tr>
      <w:tr>
        <w:tc>
          <w:tcPr>
            <w:tcW w:type="dxa" w:w="3000"/>
            <w:vAlign w:val="center"/>
            <w:tcMar>
              <w:top w:w="80" w:type="dxa"/>
              <w:start w:w="120" w:type="dxa"/>
              <w:bottom w:w="80" w:type="dxa"/>
              <w:end w:w="120" w:type="dxa"/>
            </w:tcMar>
          </w:tcPr>
          <w:p>
            <w:pPr>
              <w:spacing w:after="0"/>
              <w:jc w:val="left"/>
            </w:pPr>
            <w:r>
              <w:rPr>
                <w:rFonts w:ascii="Calibri" w:hAnsi="Calibri"/>
                <w:b w:val="0"/>
                <w:i w:val="0"/>
                <w:color w:val="000000"/>
                <w:sz w:val="18"/>
              </w:rPr>
              <w:t>GEM, WRI, OSM</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Independent validation</w:t>
            </w:r>
          </w:p>
        </w:tc>
        <w:tc>
          <w:tcPr>
            <w:tcW w:type="dxa" w:w="4460"/>
            <w:vAlign w:val="center"/>
            <w:tcMar>
              <w:top w:w="80" w:type="dxa"/>
              <w:start w:w="120" w:type="dxa"/>
              <w:bottom w:w="80" w:type="dxa"/>
              <w:end w:w="120" w:type="dxa"/>
            </w:tcMar>
          </w:tcPr>
          <w:p>
            <w:pPr>
              <w:spacing w:after="0"/>
              <w:jc w:val="center"/>
            </w:pPr>
            <w:r>
              <w:rPr>
                <w:rFonts w:ascii="Calibri" w:hAnsi="Calibri"/>
                <w:b w:val="0"/>
                <w:i w:val="0"/>
                <w:color w:val="000000"/>
                <w:sz w:val="18"/>
              </w:rPr>
              <w:t>Never used as training features or negative labels</w:t>
            </w:r>
          </w:p>
        </w:tc>
      </w:tr>
    </w:tbl>
    <w:p>
      <w:pPr>
        <w:spacing w:after="40"/>
      </w:pPr>
    </w:p>
    <w:p>
      <w:pPr>
        <w:pStyle w:val="Heading2"/>
      </w:pPr>
      <w:r>
        <w:t>Important modelling exclusions</w:t>
      </w:r>
    </w:p>
    <w:p>
      <w:pPr>
        <w:pStyle w:val="ListBullet"/>
        <w:spacing w:after="160" w:line="280" w:lineRule="auto"/>
        <w:ind w:left="720" w:hanging="360"/>
      </w:pPr>
      <w:r>
        <w:rPr>
          <w:rFonts w:ascii="Calibri" w:hAnsi="Calibri"/>
          <w:b w:val="0"/>
          <w:i w:val="0"/>
          <w:color w:val="000000"/>
          <w:sz w:val="22"/>
        </w:rPr>
        <w:t>Geographic identifiers and coordinates are retained for traceability and spatial evaluation but excluded from training features.</w:t>
      </w:r>
    </w:p>
    <w:p>
      <w:pPr>
        <w:pStyle w:val="ListBullet"/>
        <w:spacing w:after="160" w:line="280" w:lineRule="auto"/>
        <w:ind w:left="720" w:hanging="360"/>
      </w:pPr>
      <w:r>
        <w:rPr>
          <w:rFonts w:ascii="Calibri" w:hAnsi="Calibri"/>
          <w:b w:val="0"/>
          <w:i w:val="0"/>
          <w:color w:val="000000"/>
          <w:sz w:val="22"/>
        </w:rPr>
        <w:t>EOG distance and label metadata are excluded from the feature matrix.</w:t>
      </w:r>
    </w:p>
    <w:p>
      <w:pPr>
        <w:pStyle w:val="ListBullet"/>
        <w:spacing w:after="160" w:line="280" w:lineRule="auto"/>
        <w:ind w:left="720" w:hanging="360"/>
      </w:pPr>
      <w:r>
        <w:rPr>
          <w:rFonts w:ascii="Calibri" w:hAnsi="Calibri"/>
          <w:b w:val="0"/>
          <w:i w:val="0"/>
          <w:color w:val="000000"/>
          <w:sz w:val="22"/>
        </w:rPr>
        <w:t>Facility locations are held back for external validation to prevent the model from learning a shortcut such as 'near a factory means industrial.'</w:t>
      </w:r>
    </w:p>
    <w:p>
      <w:pPr>
        <w:pStyle w:val="ListBullet"/>
        <w:spacing w:after="160" w:line="280" w:lineRule="auto"/>
        <w:ind w:left="720" w:hanging="360"/>
      </w:pPr>
      <w:r>
        <w:rPr>
          <w:rFonts w:ascii="Calibri" w:hAnsi="Calibri"/>
          <w:b w:val="0"/>
          <w:i w:val="0"/>
          <w:color w:val="000000"/>
          <w:sz w:val="22"/>
        </w:rPr>
        <w:t>NOAA-20 is excluded from current features because Angola and Indonesia lack that instrument in the supplied archive.</w:t>
      </w:r>
    </w:p>
    <w:p>
      <w:pPr>
        <w:pStyle w:val="Heading1"/>
      </w:pPr>
      <w:r>
        <w:t>6. Experimental results</w:t>
      </w:r>
    </w:p>
    <w:tbl>
      <w:tblPr>
        <w:tblStyle w:val="TableGrid"/>
        <w:tblW w:type="dxa" w:w="9360"/>
        <w:tblLayout w:type="fixed"/>
        <w:tblLook w:firstColumn="1" w:firstRow="1" w:lastColumn="0" w:lastRow="0" w:noHBand="0" w:noVBand="1" w:val="04A0"/>
        <w:tblInd w:w="120" w:type="dxa"/>
      </w:tblPr>
      <w:tblGrid>
        <w:gridCol w:w="2800"/>
        <w:gridCol w:w="1312"/>
        <w:gridCol w:w="1312"/>
        <w:gridCol w:w="1312"/>
        <w:gridCol w:w="1312"/>
        <w:gridCol w:w="1312"/>
      </w:tblGrid>
      <w:tr>
        <w:trPr>
          <w:tblHeader w:val="true"/>
        </w:trPr>
        <w:tc>
          <w:tcPr>
            <w:tcW w:type="dxa" w:w="2800"/>
            <w:vAlign w:val="center"/>
            <w:tcMar>
              <w:top w:w="80" w:type="dxa"/>
              <w:start w:w="120" w:type="dxa"/>
              <w:bottom w:w="80" w:type="dxa"/>
              <w:end w:w="120" w:type="dxa"/>
            </w:tcMar>
            <w:shd w:fill="F2F4F7"/>
          </w:tcPr>
          <w:p>
            <w:pPr>
              <w:spacing w:after="0"/>
              <w:jc w:val="center"/>
            </w:pPr>
            <w:r>
              <w:rPr>
                <w:rFonts w:ascii="Calibri" w:hAnsi="Calibri"/>
                <w:b/>
                <w:i w:val="0"/>
                <w:color w:val="0B2545"/>
                <w:sz w:val="18"/>
              </w:rPr>
              <w:t>Method</w:t>
            </w:r>
          </w:p>
        </w:tc>
        <w:tc>
          <w:tcPr>
            <w:tcW w:type="dxa" w:w="1312"/>
            <w:vAlign w:val="center"/>
            <w:tcMar>
              <w:top w:w="80" w:type="dxa"/>
              <w:start w:w="120" w:type="dxa"/>
              <w:bottom w:w="80" w:type="dxa"/>
              <w:end w:w="120" w:type="dxa"/>
            </w:tcMar>
            <w:shd w:fill="F2F4F7"/>
          </w:tcPr>
          <w:p>
            <w:pPr>
              <w:spacing w:after="0"/>
              <w:jc w:val="center"/>
            </w:pPr>
            <w:r>
              <w:rPr>
                <w:rFonts w:ascii="Calibri" w:hAnsi="Calibri"/>
                <w:b/>
                <w:i w:val="0"/>
                <w:color w:val="0B2545"/>
                <w:sz w:val="18"/>
              </w:rPr>
              <w:t>Precision</w:t>
            </w:r>
          </w:p>
        </w:tc>
        <w:tc>
          <w:tcPr>
            <w:tcW w:type="dxa" w:w="1312"/>
            <w:vAlign w:val="center"/>
            <w:tcMar>
              <w:top w:w="80" w:type="dxa"/>
              <w:start w:w="120" w:type="dxa"/>
              <w:bottom w:w="80" w:type="dxa"/>
              <w:end w:w="120" w:type="dxa"/>
            </w:tcMar>
            <w:shd w:fill="F2F4F7"/>
          </w:tcPr>
          <w:p>
            <w:pPr>
              <w:spacing w:after="0"/>
              <w:jc w:val="center"/>
            </w:pPr>
            <w:r>
              <w:rPr>
                <w:rFonts w:ascii="Calibri" w:hAnsi="Calibri"/>
                <w:b/>
                <w:i w:val="0"/>
                <w:color w:val="0B2545"/>
                <w:sz w:val="18"/>
              </w:rPr>
              <w:t>Recall</w:t>
            </w:r>
          </w:p>
        </w:tc>
        <w:tc>
          <w:tcPr>
            <w:tcW w:type="dxa" w:w="1312"/>
            <w:vAlign w:val="center"/>
            <w:tcMar>
              <w:top w:w="80" w:type="dxa"/>
              <w:start w:w="120" w:type="dxa"/>
              <w:bottom w:w="80" w:type="dxa"/>
              <w:end w:w="120" w:type="dxa"/>
            </w:tcMar>
            <w:shd w:fill="F2F4F7"/>
          </w:tcPr>
          <w:p>
            <w:pPr>
              <w:spacing w:after="0"/>
              <w:jc w:val="center"/>
            </w:pPr>
            <w:r>
              <w:rPr>
                <w:rFonts w:ascii="Calibri" w:hAnsi="Calibri"/>
                <w:b/>
                <w:i w:val="0"/>
                <w:color w:val="0B2545"/>
                <w:sz w:val="18"/>
              </w:rPr>
              <w:t>F1</w:t>
            </w:r>
          </w:p>
        </w:tc>
        <w:tc>
          <w:tcPr>
            <w:tcW w:type="dxa" w:w="1312"/>
            <w:vAlign w:val="center"/>
            <w:tcMar>
              <w:top w:w="80" w:type="dxa"/>
              <w:start w:w="120" w:type="dxa"/>
              <w:bottom w:w="80" w:type="dxa"/>
              <w:end w:w="120" w:type="dxa"/>
            </w:tcMar>
            <w:shd w:fill="F2F4F7"/>
          </w:tcPr>
          <w:p>
            <w:pPr>
              <w:spacing w:after="0"/>
              <w:jc w:val="center"/>
            </w:pPr>
            <w:r>
              <w:rPr>
                <w:rFonts w:ascii="Calibri" w:hAnsi="Calibri"/>
                <w:b/>
                <w:i w:val="0"/>
                <w:color w:val="0B2545"/>
                <w:sz w:val="18"/>
              </w:rPr>
              <w:t>PR-AUC</w:t>
            </w:r>
          </w:p>
        </w:tc>
        <w:tc>
          <w:tcPr>
            <w:tcW w:type="dxa" w:w="1312"/>
            <w:vAlign w:val="center"/>
            <w:tcMar>
              <w:top w:w="80" w:type="dxa"/>
              <w:start w:w="120" w:type="dxa"/>
              <w:bottom w:w="80" w:type="dxa"/>
              <w:end w:w="120" w:type="dxa"/>
            </w:tcMar>
            <w:shd w:fill="F2F4F7"/>
          </w:tcPr>
          <w:p>
            <w:pPr>
              <w:spacing w:after="0"/>
              <w:jc w:val="center"/>
            </w:pPr>
            <w:r>
              <w:rPr>
                <w:rFonts w:ascii="Calibri" w:hAnsi="Calibri"/>
                <w:b/>
                <w:i w:val="0"/>
                <w:color w:val="0B2545"/>
                <w:sz w:val="18"/>
              </w:rPr>
              <w:t>ROC-AUC</w:t>
            </w:r>
          </w:p>
        </w:tc>
      </w:tr>
      <w:tr>
        <w:tc>
          <w:tcPr>
            <w:tcW w:type="dxa" w:w="2800"/>
            <w:vAlign w:val="center"/>
            <w:tcMar>
              <w:top w:w="80" w:type="dxa"/>
              <w:start w:w="120" w:type="dxa"/>
              <w:bottom w:w="80" w:type="dxa"/>
              <w:end w:w="120" w:type="dxa"/>
            </w:tcMar>
          </w:tcPr>
          <w:p>
            <w:pPr>
              <w:spacing w:after="0"/>
              <w:jc w:val="left"/>
            </w:pPr>
            <w:r>
              <w:rPr>
                <w:rFonts w:ascii="Calibri" w:hAnsi="Calibri"/>
                <w:b w:val="0"/>
                <w:i w:val="0"/>
                <w:color w:val="000000"/>
                <w:sz w:val="18"/>
              </w:rPr>
              <w:t>Best persistence rule</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0.561</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0.434</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0.489</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0.245</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0.717</w:t>
            </w:r>
          </w:p>
        </w:tc>
      </w:tr>
      <w:tr>
        <w:tc>
          <w:tcPr>
            <w:tcW w:type="dxa" w:w="2800"/>
            <w:vAlign w:val="center"/>
            <w:tcMar>
              <w:top w:w="80" w:type="dxa"/>
              <w:start w:w="120" w:type="dxa"/>
              <w:bottom w:w="80" w:type="dxa"/>
              <w:end w:w="120" w:type="dxa"/>
            </w:tcMar>
          </w:tcPr>
          <w:p>
            <w:pPr>
              <w:spacing w:after="0"/>
              <w:jc w:val="left"/>
            </w:pPr>
            <w:r>
              <w:rPr>
                <w:rFonts w:ascii="Calibri" w:hAnsi="Calibri"/>
                <w:b w:val="0"/>
                <w:i w:val="0"/>
                <w:color w:val="000000"/>
                <w:sz w:val="18"/>
              </w:rPr>
              <w:t>Isolation Forest</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0.120</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0.279</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0.168</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0.060</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0.892</w:t>
            </w:r>
          </w:p>
        </w:tc>
      </w:tr>
      <w:tr>
        <w:tc>
          <w:tcPr>
            <w:tcW w:type="dxa" w:w="2800"/>
            <w:vAlign w:val="center"/>
            <w:tcMar>
              <w:top w:w="80" w:type="dxa"/>
              <w:start w:w="120" w:type="dxa"/>
              <w:bottom w:w="80" w:type="dxa"/>
              <w:end w:w="120" w:type="dxa"/>
            </w:tcMar>
          </w:tcPr>
          <w:p>
            <w:pPr>
              <w:spacing w:after="0"/>
              <w:jc w:val="left"/>
            </w:pPr>
            <w:r>
              <w:rPr>
                <w:rFonts w:ascii="Calibri" w:hAnsi="Calibri"/>
                <w:b w:val="0"/>
                <w:i w:val="0"/>
                <w:color w:val="000000"/>
                <w:sz w:val="18"/>
              </w:rPr>
              <w:t>LightGBM, 49 features</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0.845</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0.379</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0.523</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0.575</w:t>
            </w:r>
          </w:p>
        </w:tc>
        <w:tc>
          <w:tcPr>
            <w:tcW w:type="dxa" w:w="1312"/>
            <w:vAlign w:val="center"/>
            <w:tcMar>
              <w:top w:w="80" w:type="dxa"/>
              <w:start w:w="120" w:type="dxa"/>
              <w:bottom w:w="80" w:type="dxa"/>
              <w:end w:w="120" w:type="dxa"/>
            </w:tcMar>
          </w:tcPr>
          <w:p>
            <w:pPr>
              <w:spacing w:after="0"/>
              <w:jc w:val="center"/>
            </w:pPr>
            <w:r>
              <w:rPr>
                <w:rFonts w:ascii="Calibri" w:hAnsi="Calibri"/>
                <w:b w:val="0"/>
                <w:i w:val="0"/>
                <w:color w:val="000000"/>
                <w:sz w:val="18"/>
              </w:rPr>
              <w:t>0.974</w:t>
            </w:r>
          </w:p>
        </w:tc>
      </w:tr>
    </w:tbl>
    <w:p>
      <w:pPr>
        <w:spacing w:after="40"/>
      </w:pPr>
    </w:p>
    <w:p>
      <w:r>
        <w:rPr>
          <w:rFonts w:ascii="Calibri" w:hAnsi="Calibri"/>
          <w:b w:val="0"/>
          <w:i w:val="0"/>
          <w:color w:val="000000"/>
          <w:sz w:val="22"/>
        </w:rPr>
        <w:t>The LightGBM model clearly improves ranking quality and F1 over simple persistence and Isolation Forest baselines. At the selected grouped-CV threshold of 0.747 it predicts 1,688 positives: 1,427 EOG-matched positives, 261 nominal false positives, and 2,339 missed EOG-matched source rows.</w:t>
      </w:r>
    </w:p>
    <w:p>
      <w:pPr>
        <w:pStyle w:val="Heading2"/>
      </w:pPr>
      <w:r>
        <w:t>Ablation interpretation</w:t>
      </w:r>
    </w:p>
    <w:p>
      <w:pPr>
        <w:pStyle w:val="ListBullet"/>
        <w:spacing w:after="160" w:line="280" w:lineRule="auto"/>
        <w:ind w:left="720" w:hanging="360"/>
      </w:pPr>
      <w:r>
        <w:rPr>
          <w:rFonts w:ascii="Calibri" w:hAnsi="Calibri"/>
          <w:b w:val="0"/>
          <w:i w:val="0"/>
          <w:color w:val="000000"/>
          <w:sz w:val="22"/>
        </w:rPr>
        <w:t>Temporal features alone reach F1 0.445; adding intensity raises F1 to 0.513.</w:t>
      </w:r>
    </w:p>
    <w:p>
      <w:pPr>
        <w:pStyle w:val="ListBullet"/>
        <w:spacing w:after="160" w:line="280" w:lineRule="auto"/>
        <w:ind w:left="720" w:hanging="360"/>
      </w:pPr>
      <w:r>
        <w:rPr>
          <w:rFonts w:ascii="Calibri" w:hAnsi="Calibri"/>
          <w:b w:val="0"/>
          <w:i w:val="0"/>
          <w:color w:val="000000"/>
          <w:sz w:val="22"/>
        </w:rPr>
        <w:t>The strongest cumulative configuration reported is temporal + intensity + seasonality + timing at F1 0.524.</w:t>
      </w:r>
    </w:p>
    <w:p>
      <w:pPr>
        <w:pStyle w:val="ListBullet"/>
        <w:spacing w:after="160" w:line="280" w:lineRule="auto"/>
        <w:ind w:left="720" w:hanging="360"/>
      </w:pPr>
      <w:r>
        <w:rPr>
          <w:rFonts w:ascii="Calibri" w:hAnsi="Calibri"/>
          <w:b w:val="0"/>
          <w:i w:val="0"/>
          <w:color w:val="000000"/>
          <w:sz w:val="22"/>
        </w:rPr>
        <w:t>Removing intensity causes the largest harmful change, reducing F1 to 0.497.</w:t>
      </w:r>
    </w:p>
    <w:p>
      <w:pPr>
        <w:pStyle w:val="ListBullet"/>
        <w:spacing w:after="160" w:line="280" w:lineRule="auto"/>
        <w:ind w:left="720" w:hanging="360"/>
      </w:pPr>
      <w:r>
        <w:rPr>
          <w:rFonts w:ascii="Calibri" w:hAnsi="Calibri"/>
          <w:b w:val="0"/>
          <w:i w:val="0"/>
          <w:color w:val="000000"/>
          <w:sz w:val="22"/>
        </w:rPr>
        <w:t>Removing seasonality improves F1 to 0.530 and PR-AUC to 0.577, even though month_entropy dominates gain importance. This inconsistency requires robustness testing.</w:t>
      </w:r>
    </w:p>
    <w:p>
      <w:pPr>
        <w:pStyle w:val="ListBullet"/>
        <w:spacing w:after="160" w:line="280" w:lineRule="auto"/>
        <w:ind w:left="720" w:hanging="360"/>
      </w:pPr>
      <w:r>
        <w:rPr>
          <w:rFonts w:ascii="Calibri" w:hAnsi="Calibri"/>
          <w:b w:val="0"/>
          <w:i w:val="0"/>
          <w:color w:val="000000"/>
          <w:sz w:val="22"/>
        </w:rPr>
        <w:t>Temporal removal only reduces the full-model F1 from 0.523 to 0.514, so a GRU/TCN sequence model is not yet justified.</w:t>
      </w:r>
    </w:p>
    <w:p>
      <w:r>
        <w:br w:type="page"/>
      </w:r>
    </w:p>
    <w:p>
      <w:pPr>
        <w:pStyle w:val="Heading1"/>
      </w:pPr>
      <w:r>
        <w:t>7. Geographic generalization and validity limits</w:t>
      </w:r>
    </w:p>
    <w:tbl>
      <w:tblPr>
        <w:tblStyle w:val="TableGrid"/>
        <w:tblW w:type="dxa" w:w="9360"/>
        <w:tblLayout w:type="fixed"/>
        <w:tblLook w:firstColumn="1" w:firstRow="1" w:lastColumn="0" w:lastRow="0" w:noHBand="0" w:noVBand="1" w:val="04A0"/>
        <w:tblInd w:w="120" w:type="dxa"/>
      </w:tblPr>
      <w:tblGrid>
        <w:gridCol w:w="2600"/>
        <w:gridCol w:w="1900"/>
        <w:gridCol w:w="1550"/>
        <w:gridCol w:w="1655"/>
        <w:gridCol w:w="1655"/>
      </w:tblGrid>
      <w:tr>
        <w:trPr>
          <w:tblHeader w:val="true"/>
        </w:trPr>
        <w:tc>
          <w:tcPr>
            <w:tcW w:type="dxa" w:w="2600"/>
            <w:vAlign w:val="center"/>
            <w:tcMar>
              <w:top w:w="80" w:type="dxa"/>
              <w:start w:w="120" w:type="dxa"/>
              <w:bottom w:w="80" w:type="dxa"/>
              <w:end w:w="120" w:type="dxa"/>
            </w:tcMar>
            <w:shd w:fill="F2F4F7"/>
          </w:tcPr>
          <w:p>
            <w:pPr>
              <w:spacing w:after="0"/>
              <w:jc w:val="center"/>
            </w:pPr>
            <w:r>
              <w:rPr>
                <w:rFonts w:ascii="Calibri" w:hAnsi="Calibri"/>
                <w:b/>
                <w:i w:val="0"/>
                <w:color w:val="0B2545"/>
                <w:sz w:val="18"/>
              </w:rPr>
              <w:t>Held-out country</w:t>
            </w:r>
          </w:p>
        </w:tc>
        <w:tc>
          <w:tcPr>
            <w:tcW w:type="dxa" w:w="1900"/>
            <w:vAlign w:val="center"/>
            <w:tcMar>
              <w:top w:w="80" w:type="dxa"/>
              <w:start w:w="120" w:type="dxa"/>
              <w:bottom w:w="80" w:type="dxa"/>
              <w:end w:w="120" w:type="dxa"/>
            </w:tcMar>
            <w:shd w:fill="F2F4F7"/>
          </w:tcPr>
          <w:p>
            <w:pPr>
              <w:spacing w:after="0"/>
              <w:jc w:val="center"/>
            </w:pPr>
            <w:r>
              <w:rPr>
                <w:rFonts w:ascii="Calibri" w:hAnsi="Calibri"/>
                <w:b/>
                <w:i w:val="0"/>
                <w:color w:val="0B2545"/>
                <w:sz w:val="18"/>
              </w:rPr>
              <w:t>Positive rows</w:t>
            </w:r>
          </w:p>
        </w:tc>
        <w:tc>
          <w:tcPr>
            <w:tcW w:type="dxa" w:w="1550"/>
            <w:vAlign w:val="center"/>
            <w:tcMar>
              <w:top w:w="80" w:type="dxa"/>
              <w:start w:w="120" w:type="dxa"/>
              <w:bottom w:w="80" w:type="dxa"/>
              <w:end w:w="120" w:type="dxa"/>
            </w:tcMar>
            <w:shd w:fill="F2F4F7"/>
          </w:tcPr>
          <w:p>
            <w:pPr>
              <w:spacing w:after="0"/>
              <w:jc w:val="center"/>
            </w:pPr>
            <w:r>
              <w:rPr>
                <w:rFonts w:ascii="Calibri" w:hAnsi="Calibri"/>
                <w:b/>
                <w:i w:val="0"/>
                <w:color w:val="0B2545"/>
                <w:sz w:val="18"/>
              </w:rPr>
              <w:t>PR-AUC</w:t>
            </w:r>
          </w:p>
        </w:tc>
        <w:tc>
          <w:tcPr>
            <w:tcW w:type="dxa" w:w="1655"/>
            <w:vAlign w:val="center"/>
            <w:tcMar>
              <w:top w:w="80" w:type="dxa"/>
              <w:start w:w="120" w:type="dxa"/>
              <w:bottom w:w="80" w:type="dxa"/>
              <w:end w:w="120" w:type="dxa"/>
            </w:tcMar>
            <w:shd w:fill="F2F4F7"/>
          </w:tcPr>
          <w:p>
            <w:pPr>
              <w:spacing w:after="0"/>
              <w:jc w:val="center"/>
            </w:pPr>
            <w:r>
              <w:rPr>
                <w:rFonts w:ascii="Calibri" w:hAnsi="Calibri"/>
                <w:b/>
                <w:i w:val="0"/>
                <w:color w:val="0B2545"/>
                <w:sz w:val="18"/>
              </w:rPr>
              <w:t>ROC-AUC</w:t>
            </w:r>
          </w:p>
        </w:tc>
        <w:tc>
          <w:tcPr>
            <w:tcW w:type="dxa" w:w="1655"/>
            <w:vAlign w:val="center"/>
            <w:tcMar>
              <w:top w:w="80" w:type="dxa"/>
              <w:start w:w="120" w:type="dxa"/>
              <w:bottom w:w="80" w:type="dxa"/>
              <w:end w:w="120" w:type="dxa"/>
            </w:tcMar>
            <w:shd w:fill="F2F4F7"/>
          </w:tcPr>
          <w:p>
            <w:pPr>
              <w:spacing w:after="0"/>
              <w:jc w:val="center"/>
            </w:pPr>
            <w:r>
              <w:rPr>
                <w:rFonts w:ascii="Calibri" w:hAnsi="Calibri"/>
                <w:b/>
                <w:i w:val="0"/>
                <w:color w:val="0B2545"/>
                <w:sz w:val="18"/>
              </w:rPr>
              <w:t>Reported F1*</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Algeria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1,128</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000000"/>
                <w:sz w:val="18"/>
              </w:rPr>
              <w:t>0.647</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0.898</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0.636</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Angola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35</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000000"/>
                <w:sz w:val="18"/>
              </w:rPr>
              <w:t>0.150</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0.919</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0.024</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Indonesia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380</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000000"/>
                <w:sz w:val="18"/>
              </w:rPr>
              <w:t>0.107</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0.905</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0.217</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Iraq</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781</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000000"/>
                <w:sz w:val="18"/>
              </w:rPr>
              <w:t>0.653</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0.910</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0.679</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Libya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577</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000000"/>
                <w:sz w:val="18"/>
              </w:rPr>
              <w:t>0.748</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0.906</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0.728</w:t>
            </w:r>
          </w:p>
        </w:tc>
      </w:tr>
      <w:tr>
        <w:tc>
          <w:tcPr>
            <w:tcW w:type="dxa" w:w="2600"/>
            <w:vAlign w:val="center"/>
            <w:tcMar>
              <w:top w:w="80" w:type="dxa"/>
              <w:start w:w="120" w:type="dxa"/>
              <w:bottom w:w="80" w:type="dxa"/>
              <w:end w:w="120" w:type="dxa"/>
            </w:tcMar>
          </w:tcPr>
          <w:p>
            <w:pPr>
              <w:spacing w:after="0"/>
              <w:jc w:val="left"/>
            </w:pPr>
            <w:r>
              <w:rPr>
                <w:rFonts w:ascii="Calibri" w:hAnsi="Calibri"/>
                <w:b w:val="0"/>
                <w:i w:val="0"/>
                <w:color w:val="000000"/>
                <w:sz w:val="18"/>
              </w:rPr>
              <w:t>Nigeria</w:t>
            </w:r>
          </w:p>
        </w:tc>
        <w:tc>
          <w:tcPr>
            <w:tcW w:type="dxa" w:w="1900"/>
            <w:vAlign w:val="center"/>
            <w:tcMar>
              <w:top w:w="80" w:type="dxa"/>
              <w:start w:w="120" w:type="dxa"/>
              <w:bottom w:w="80" w:type="dxa"/>
              <w:end w:w="120" w:type="dxa"/>
            </w:tcMar>
          </w:tcPr>
          <w:p>
            <w:pPr>
              <w:spacing w:after="0"/>
              <w:jc w:val="center"/>
            </w:pPr>
            <w:r>
              <w:rPr>
                <w:rFonts w:ascii="Calibri" w:hAnsi="Calibri"/>
                <w:b w:val="0"/>
                <w:i w:val="0"/>
                <w:color w:val="000000"/>
                <w:sz w:val="18"/>
              </w:rPr>
              <w:t>865</w:t>
            </w:r>
          </w:p>
        </w:tc>
        <w:tc>
          <w:tcPr>
            <w:tcW w:type="dxa" w:w="1550"/>
            <w:vAlign w:val="center"/>
            <w:tcMar>
              <w:top w:w="80" w:type="dxa"/>
              <w:start w:w="120" w:type="dxa"/>
              <w:bottom w:w="80" w:type="dxa"/>
              <w:end w:w="120" w:type="dxa"/>
            </w:tcMar>
          </w:tcPr>
          <w:p>
            <w:pPr>
              <w:spacing w:after="0"/>
              <w:jc w:val="center"/>
            </w:pPr>
            <w:r>
              <w:rPr>
                <w:rFonts w:ascii="Calibri" w:hAnsi="Calibri"/>
                <w:b w:val="0"/>
                <w:i w:val="0"/>
                <w:color w:val="000000"/>
                <w:sz w:val="18"/>
              </w:rPr>
              <w:t>0.281</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0.876</w:t>
            </w:r>
          </w:p>
        </w:tc>
        <w:tc>
          <w:tcPr>
            <w:tcW w:type="dxa" w:w="1655"/>
            <w:vAlign w:val="center"/>
            <w:tcMar>
              <w:top w:w="80" w:type="dxa"/>
              <w:start w:w="120" w:type="dxa"/>
              <w:bottom w:w="80" w:type="dxa"/>
              <w:end w:w="120" w:type="dxa"/>
            </w:tcMar>
          </w:tcPr>
          <w:p>
            <w:pPr>
              <w:spacing w:after="0"/>
              <w:jc w:val="center"/>
            </w:pPr>
            <w:r>
              <w:rPr>
                <w:rFonts w:ascii="Calibri" w:hAnsi="Calibri"/>
                <w:b w:val="0"/>
                <w:i w:val="0"/>
                <w:color w:val="000000"/>
                <w:sz w:val="18"/>
              </w:rPr>
              <w:t>0.351</w:t>
            </w:r>
          </w:p>
        </w:tc>
      </w:tr>
    </w:tbl>
    <w:p>
      <w:pPr>
        <w:spacing w:after="40"/>
      </w:pPr>
    </w:p>
    <w:p>
      <w:pPr>
        <w:keepLines/>
        <w:spacing w:before="80" w:after="160"/>
        <w:ind w:left="115" w:right="115"/>
        <w:shd w:fill="FFF6D8"/>
        <w:pBdr>
          <w:left w:val="single" w:sz="18" w:space="6" w:color="9B1C1C"/>
        </w:pBdr>
      </w:pPr>
      <w:r>
        <w:rPr>
          <w:rFonts w:ascii="Calibri" w:hAnsi="Calibri"/>
          <w:b/>
          <w:i w:val="0"/>
          <w:color w:val="9B1C1C"/>
          <w:sz w:val="22"/>
        </w:rPr>
        <w:t xml:space="preserve">*Critical LOCO limitation: </w:t>
      </w:r>
      <w:r>
        <w:rPr>
          <w:rFonts w:ascii="Calibri" w:hAnsi="Calibri"/>
          <w:b w:val="0"/>
          <w:i w:val="0"/>
          <w:color w:val="202830"/>
          <w:sz w:val="22"/>
        </w:rPr>
        <w:t>The current Stage 05 code selects the best F1 threshold using labels from the held-out country after prediction. Therefore, LOCO F1, precision, and recall are optimistic and are not valid deployment estimates. PR-AUC and ROC-AUC remain usable as threshold-independent diagnostics.</w:t>
      </w:r>
    </w:p>
    <w:p>
      <w:r>
        <w:rPr>
          <w:rFonts w:ascii="Calibri" w:hAnsi="Calibri"/>
          <w:b w:val="0"/>
          <w:i w:val="0"/>
          <w:color w:val="000000"/>
          <w:sz w:val="22"/>
        </w:rPr>
        <w:t>Ranking performance is strongest for Libya, Iraq, and Algeria and materially weaker for Nigeria. Angola has only 35 matched positive source rows and is especially unstable under conventional binary precision/F1 interpretation.</w:t>
      </w:r>
    </w:p>
    <w:p>
      <w:pPr>
        <w:pStyle w:val="Heading2"/>
      </w:pPr>
      <w:r>
        <w:t>Coverage-horizon risk</w:t>
      </w:r>
    </w:p>
    <w:p>
      <w:r>
        <w:rPr>
          <w:rFonts w:ascii="Calibri" w:hAnsi="Calibri"/>
          <w:b w:val="0"/>
          <w:i w:val="0"/>
          <w:color w:val="000000"/>
          <w:sz w:val="22"/>
        </w:rPr>
        <w:t>Observation windows differ: India has six years, four countries have four years, and Angola/Indonesia have three years. Raw counts such as detections, active days, active months, active years, span, and total FRP can therefore encode country-specific exposure duration even when country and coordinates are excluded. India also sits outside the training range for maximum exposure.</w:t>
      </w:r>
    </w:p>
    <w:p>
      <w:pPr>
        <w:pStyle w:val="Heading2"/>
      </w:pPr>
      <w:r>
        <w:t>Calibration limit</w:t>
      </w:r>
    </w:p>
    <w:p>
      <w:r>
        <w:rPr>
          <w:rFonts w:ascii="Calibri" w:hAnsi="Calibri"/>
          <w:b w:val="0"/>
          <w:i w:val="0"/>
          <w:color w:val="000000"/>
          <w:sz w:val="22"/>
        </w:rPr>
        <w:t>The saved out-of-fold file contains 1,687,353 rows with no missing predictions or duplicate source IDs. Because positives are extremely rare, the small Brier score is dominated by the unmatched majority. Future reporting should emphasize precision-recall curves and top-tail or log-spaced calibration bins rather than equal-frequency bins alone.</w:t>
      </w:r>
    </w:p>
    <w:p>
      <w:pPr>
        <w:pStyle w:val="Heading1"/>
      </w:pPr>
      <w:r>
        <w:t>8. Recent additions in the current working tree</w:t>
      </w:r>
    </w:p>
    <w:p>
      <w:r>
        <w:rPr>
          <w:rFonts w:ascii="Calibri" w:hAnsi="Calibri"/>
          <w:b w:val="0"/>
          <w:i w:val="0"/>
          <w:color w:val="000000"/>
          <w:sz w:val="22"/>
        </w:rPr>
        <w:t>The repository currently contains uncommitted robustness work in four tracked files plus a new RESULTS.md. These are solution-code additions, not new imagery or raw dataset files.</w:t>
      </w:r>
    </w:p>
    <w:tbl>
      <w:tblPr>
        <w:tblStyle w:val="TableGrid"/>
        <w:tblW w:type="dxa" w:w="9360"/>
        <w:tblLayout w:type="fixed"/>
        <w:tblLook w:firstColumn="1" w:firstRow="1" w:lastColumn="0" w:lastRow="0" w:noHBand="0" w:noVBand="1" w:val="04A0"/>
        <w:tblInd w:w="120" w:type="dxa"/>
      </w:tblPr>
      <w:tblGrid>
        <w:gridCol w:w="2700"/>
        <w:gridCol w:w="6660"/>
      </w:tblGrid>
      <w:tr>
        <w:trPr>
          <w:tblHeader w:val="true"/>
        </w:trPr>
        <w:tc>
          <w:tcPr>
            <w:tcW w:type="dxa" w:w="2700"/>
            <w:vAlign w:val="center"/>
            <w:tcMar>
              <w:top w:w="80" w:type="dxa"/>
              <w:start w:w="120" w:type="dxa"/>
              <w:bottom w:w="80" w:type="dxa"/>
              <w:end w:w="120" w:type="dxa"/>
            </w:tcMar>
            <w:shd w:fill="F2F4F7"/>
          </w:tcPr>
          <w:p>
            <w:pPr>
              <w:spacing w:after="0"/>
              <w:jc w:val="center"/>
            </w:pPr>
            <w:r>
              <w:rPr>
                <w:rFonts w:ascii="Calibri" w:hAnsi="Calibri"/>
                <w:b/>
                <w:i w:val="0"/>
                <w:color w:val="0B2545"/>
                <w:sz w:val="18"/>
              </w:rPr>
              <w:t>File</w:t>
            </w:r>
          </w:p>
        </w:tc>
        <w:tc>
          <w:tcPr>
            <w:tcW w:type="dxa" w:w="6660"/>
            <w:vAlign w:val="center"/>
            <w:tcMar>
              <w:top w:w="80" w:type="dxa"/>
              <w:start w:w="120" w:type="dxa"/>
              <w:bottom w:w="80" w:type="dxa"/>
              <w:end w:w="120" w:type="dxa"/>
            </w:tcMar>
            <w:shd w:fill="F2F4F7"/>
          </w:tcPr>
          <w:p>
            <w:pPr>
              <w:spacing w:after="0"/>
              <w:jc w:val="center"/>
            </w:pPr>
            <w:r>
              <w:rPr>
                <w:rFonts w:ascii="Calibri" w:hAnsi="Calibri"/>
                <w:b/>
                <w:i w:val="0"/>
                <w:color w:val="0B2545"/>
                <w:sz w:val="18"/>
              </w:rPr>
              <w:t>Addition</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kg_02_source_clustering.py</w:t>
            </w:r>
          </w:p>
        </w:tc>
        <w:tc>
          <w:tcPr>
            <w:tcW w:type="dxa" w:w="6660"/>
            <w:vAlign w:val="center"/>
            <w:tcMar>
              <w:top w:w="80" w:type="dxa"/>
              <w:start w:w="120" w:type="dxa"/>
              <w:bottom w:w="80" w:type="dxa"/>
              <w:end w:w="120" w:type="dxa"/>
            </w:tcMar>
          </w:tcPr>
          <w:p>
            <w:pPr>
              <w:spacing w:after="0"/>
              <w:jc w:val="center"/>
            </w:pPr>
            <w:r>
              <w:rPr>
                <w:rFonts w:ascii="Calibri" w:hAnsi="Calibri"/>
                <w:b w:val="0"/>
                <w:i w:val="0"/>
                <w:color w:val="000000"/>
                <w:sz w:val="18"/>
              </w:rPr>
              <w:t>Reusable attach_eog_labels function with an active_years parameter so labels can be restricted to the same observation window as detections</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kg_03_features.py</w:t>
            </w:r>
          </w:p>
        </w:tc>
        <w:tc>
          <w:tcPr>
            <w:tcW w:type="dxa" w:w="6660"/>
            <w:vAlign w:val="center"/>
            <w:tcMar>
              <w:top w:w="80" w:type="dxa"/>
              <w:start w:w="120" w:type="dxa"/>
              <w:bottom w:w="80" w:type="dxa"/>
              <w:end w:w="120" w:type="dxa"/>
            </w:tcMar>
          </w:tcPr>
          <w:p>
            <w:pPr>
              <w:spacing w:after="0"/>
              <w:jc w:val="center"/>
            </w:pPr>
            <w:r>
              <w:rPr>
                <w:rFonts w:ascii="Calibri" w:hAnsi="Calibri"/>
                <w:b w:val="0"/>
                <w:i w:val="0"/>
                <w:color w:val="000000"/>
                <w:sz w:val="18"/>
              </w:rPr>
              <w:t>Optional years and output_tag arguments; fixed-window filtering; annualized exposure features; recomputed centroids and window-specific EOG labels</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kg_eval.py</w:t>
            </w:r>
          </w:p>
        </w:tc>
        <w:tc>
          <w:tcPr>
            <w:tcW w:type="dxa" w:w="6660"/>
            <w:vAlign w:val="center"/>
            <w:tcMar>
              <w:top w:w="80" w:type="dxa"/>
              <w:start w:w="120" w:type="dxa"/>
              <w:bottom w:w="80" w:type="dxa"/>
              <w:end w:w="120" w:type="dxa"/>
            </w:tcMar>
          </w:tcPr>
          <w:p>
            <w:pPr>
              <w:spacing w:after="0"/>
              <w:jc w:val="center"/>
            </w:pPr>
            <w:r>
              <w:rPr>
                <w:rFonts w:ascii="Calibri" w:hAnsi="Calibri"/>
                <w:b w:val="0"/>
                <w:i w:val="0"/>
                <w:color w:val="000000"/>
                <w:sz w:val="18"/>
              </w:rPr>
              <w:t>Tagged feature loading so experiments can read features_&lt;country&gt;_&lt;tag&gt;.parquet</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README.md</w:t>
            </w:r>
          </w:p>
        </w:tc>
        <w:tc>
          <w:tcPr>
            <w:tcW w:type="dxa" w:w="6660"/>
            <w:vAlign w:val="center"/>
            <w:tcMar>
              <w:top w:w="80" w:type="dxa"/>
              <w:start w:w="120" w:type="dxa"/>
              <w:bottom w:w="80" w:type="dxa"/>
              <w:end w:w="120" w:type="dxa"/>
            </w:tcMar>
          </w:tcPr>
          <w:p>
            <w:pPr>
              <w:spacing w:after="0"/>
              <w:jc w:val="center"/>
            </w:pPr>
            <w:r>
              <w:rPr>
                <w:rFonts w:ascii="Calibri" w:hAnsi="Calibri"/>
                <w:b w:val="0"/>
                <w:i w:val="0"/>
                <w:color w:val="000000"/>
                <w:sz w:val="18"/>
              </w:rPr>
              <w:t>Minor text normalization and explicit N/A values where NOAA-20 is unavailable</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RESULTS.md</w:t>
            </w:r>
          </w:p>
        </w:tc>
        <w:tc>
          <w:tcPr>
            <w:tcW w:type="dxa" w:w="6660"/>
            <w:vAlign w:val="center"/>
            <w:tcMar>
              <w:top w:w="80" w:type="dxa"/>
              <w:start w:w="120" w:type="dxa"/>
              <w:bottom w:w="80" w:type="dxa"/>
              <w:end w:w="120" w:type="dxa"/>
            </w:tcMar>
          </w:tcPr>
          <w:p>
            <w:pPr>
              <w:spacing w:after="0"/>
              <w:jc w:val="center"/>
            </w:pPr>
            <w:r>
              <w:rPr>
                <w:rFonts w:ascii="Calibri" w:hAnsi="Calibri"/>
                <w:b w:val="0"/>
                <w:i w:val="0"/>
                <w:color w:val="000000"/>
                <w:sz w:val="18"/>
              </w:rPr>
              <w:t>Consolidated verified results, limitations, decisions, and required next run</w:t>
            </w:r>
          </w:p>
        </w:tc>
      </w:tr>
    </w:tbl>
    <w:p>
      <w:pPr>
        <w:spacing w:after="40"/>
      </w:pPr>
    </w:p>
    <w:p>
      <w:r>
        <w:rPr>
          <w:rFonts w:ascii="Calibri" w:hAnsi="Calibri"/>
          <w:b w:val="0"/>
          <w:i w:val="0"/>
          <w:color w:val="000000"/>
          <w:sz w:val="22"/>
        </w:rPr>
        <w:t>The tracked diff is 119 insertions and 46 deletions across README.md and three Python files. The common-window feature outputs have not yet been produced in the visible workspace, so the additions should be described as implemented experiment support rather than completed new dataset artifacts.</w:t>
      </w:r>
    </w:p>
    <w:p>
      <w:r>
        <w:br w:type="page"/>
      </w:r>
    </w:p>
    <w:p>
      <w:pPr>
        <w:pStyle w:val="Heading1"/>
      </w:pPr>
      <w:r>
        <w:t>9. What is not part of the current CV dataset</w:t>
      </w:r>
    </w:p>
    <w:tbl>
      <w:tblPr>
        <w:tblStyle w:val="TableGrid"/>
        <w:tblW w:type="dxa" w:w="9360"/>
        <w:tblLayout w:type="fixed"/>
        <w:tblLook w:firstColumn="1" w:firstRow="1" w:lastColumn="0" w:lastRow="0" w:noHBand="0" w:noVBand="1" w:val="04A0"/>
        <w:tblInd w:w="120" w:type="dxa"/>
      </w:tblPr>
      <w:tblGrid>
        <w:gridCol w:w="2700"/>
        <w:gridCol w:w="1650"/>
        <w:gridCol w:w="5010"/>
      </w:tblGrid>
      <w:tr>
        <w:trPr>
          <w:tblHeader w:val="true"/>
        </w:trPr>
        <w:tc>
          <w:tcPr>
            <w:tcW w:type="dxa" w:w="2700"/>
            <w:vAlign w:val="center"/>
            <w:tcMar>
              <w:top w:w="80" w:type="dxa"/>
              <w:start w:w="120" w:type="dxa"/>
              <w:bottom w:w="80" w:type="dxa"/>
              <w:end w:w="120" w:type="dxa"/>
            </w:tcMar>
            <w:shd w:fill="F2F4F7"/>
          </w:tcPr>
          <w:p>
            <w:pPr>
              <w:spacing w:after="0"/>
              <w:jc w:val="center"/>
            </w:pPr>
            <w:r>
              <w:rPr>
                <w:rFonts w:ascii="Calibri" w:hAnsi="Calibri"/>
                <w:b/>
                <w:i w:val="0"/>
                <w:color w:val="0B2545"/>
                <w:sz w:val="18"/>
              </w:rPr>
              <w:t>Potential image asset</w:t>
            </w:r>
          </w:p>
        </w:tc>
        <w:tc>
          <w:tcPr>
            <w:tcW w:type="dxa" w:w="1650"/>
            <w:vAlign w:val="center"/>
            <w:tcMar>
              <w:top w:w="80" w:type="dxa"/>
              <w:start w:w="120" w:type="dxa"/>
              <w:bottom w:w="80" w:type="dxa"/>
              <w:end w:w="120" w:type="dxa"/>
            </w:tcMar>
            <w:shd w:fill="F2F4F7"/>
          </w:tcPr>
          <w:p>
            <w:pPr>
              <w:spacing w:after="0"/>
              <w:jc w:val="center"/>
            </w:pPr>
            <w:r>
              <w:rPr>
                <w:rFonts w:ascii="Calibri" w:hAnsi="Calibri"/>
                <w:b/>
                <w:i w:val="0"/>
                <w:color w:val="0B2545"/>
                <w:sz w:val="18"/>
              </w:rPr>
              <w:t>Status</w:t>
            </w:r>
          </w:p>
        </w:tc>
        <w:tc>
          <w:tcPr>
            <w:tcW w:type="dxa" w:w="5010"/>
            <w:vAlign w:val="center"/>
            <w:tcMar>
              <w:top w:w="80" w:type="dxa"/>
              <w:start w:w="120" w:type="dxa"/>
              <w:bottom w:w="80" w:type="dxa"/>
              <w:end w:w="120" w:type="dxa"/>
            </w:tcMar>
            <w:shd w:fill="F2F4F7"/>
          </w:tcPr>
          <w:p>
            <w:pPr>
              <w:spacing w:after="0"/>
              <w:jc w:val="center"/>
            </w:pPr>
            <w:r>
              <w:rPr>
                <w:rFonts w:ascii="Calibri" w:hAnsi="Calibri"/>
                <w:b/>
                <w:i w:val="0"/>
                <w:color w:val="0B2545"/>
                <w:sz w:val="18"/>
              </w:rPr>
              <w:t>Implication</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Sentinel-2 optical imagery</w:t>
            </w:r>
          </w:p>
        </w:tc>
        <w:tc>
          <w:tcPr>
            <w:tcW w:type="dxa" w:w="1650"/>
            <w:vAlign w:val="center"/>
            <w:tcMar>
              <w:top w:w="80" w:type="dxa"/>
              <w:start w:w="120" w:type="dxa"/>
              <w:bottom w:w="80" w:type="dxa"/>
              <w:end w:w="120" w:type="dxa"/>
            </w:tcMar>
          </w:tcPr>
          <w:p>
            <w:pPr>
              <w:spacing w:after="0"/>
              <w:jc w:val="center"/>
            </w:pPr>
            <w:r>
              <w:rPr>
                <w:rFonts w:ascii="Calibri" w:hAnsi="Calibri"/>
                <w:b w:val="0"/>
                <w:i w:val="0"/>
                <w:color w:val="000000"/>
                <w:sz w:val="18"/>
              </w:rPr>
              <w:t>Not present</w:t>
            </w:r>
          </w:p>
        </w:tc>
        <w:tc>
          <w:tcPr>
            <w:tcW w:type="dxa" w:w="5010"/>
            <w:vAlign w:val="center"/>
            <w:tcMar>
              <w:top w:w="80" w:type="dxa"/>
              <w:start w:w="120" w:type="dxa"/>
              <w:bottom w:w="80" w:type="dxa"/>
              <w:end w:w="120" w:type="dxa"/>
            </w:tcMar>
          </w:tcPr>
          <w:p>
            <w:pPr>
              <w:spacing w:after="0"/>
              <w:jc w:val="center"/>
            </w:pPr>
            <w:r>
              <w:rPr>
                <w:rFonts w:ascii="Calibri" w:hAnsi="Calibri"/>
                <w:b w:val="0"/>
                <w:i w:val="0"/>
                <w:color w:val="000000"/>
                <w:sz w:val="18"/>
              </w:rPr>
              <w:t>External acquisition and image preprocessing would be required</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Landsat imagery</w:t>
            </w:r>
          </w:p>
        </w:tc>
        <w:tc>
          <w:tcPr>
            <w:tcW w:type="dxa" w:w="1650"/>
            <w:vAlign w:val="center"/>
            <w:tcMar>
              <w:top w:w="80" w:type="dxa"/>
              <w:start w:w="120" w:type="dxa"/>
              <w:bottom w:w="80" w:type="dxa"/>
              <w:end w:w="120" w:type="dxa"/>
            </w:tcMar>
          </w:tcPr>
          <w:p>
            <w:pPr>
              <w:spacing w:after="0"/>
              <w:jc w:val="center"/>
            </w:pPr>
            <w:r>
              <w:rPr>
                <w:rFonts w:ascii="Calibri" w:hAnsi="Calibri"/>
                <w:b w:val="0"/>
                <w:i w:val="0"/>
                <w:color w:val="000000"/>
                <w:sz w:val="18"/>
              </w:rPr>
              <w:t>Not present</w:t>
            </w:r>
          </w:p>
        </w:tc>
        <w:tc>
          <w:tcPr>
            <w:tcW w:type="dxa" w:w="5010"/>
            <w:vAlign w:val="center"/>
            <w:tcMar>
              <w:top w:w="80" w:type="dxa"/>
              <w:start w:w="120" w:type="dxa"/>
              <w:bottom w:w="80" w:type="dxa"/>
              <w:end w:w="120" w:type="dxa"/>
            </w:tcMar>
          </w:tcPr>
          <w:p>
            <w:pPr>
              <w:spacing w:after="0"/>
              <w:jc w:val="center"/>
            </w:pPr>
            <w:r>
              <w:rPr>
                <w:rFonts w:ascii="Calibri" w:hAnsi="Calibri"/>
                <w:b w:val="0"/>
                <w:i w:val="0"/>
                <w:color w:val="000000"/>
                <w:sz w:val="18"/>
              </w:rPr>
              <w:t>No scenes, patches, bands, or embeddings in the repository</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ESA WorldCover</w:t>
            </w:r>
          </w:p>
        </w:tc>
        <w:tc>
          <w:tcPr>
            <w:tcW w:type="dxa" w:w="1650"/>
            <w:vAlign w:val="center"/>
            <w:tcMar>
              <w:top w:w="80" w:type="dxa"/>
              <w:start w:w="120" w:type="dxa"/>
              <w:bottom w:w="80" w:type="dxa"/>
              <w:end w:w="120" w:type="dxa"/>
            </w:tcMar>
          </w:tcPr>
          <w:p>
            <w:pPr>
              <w:spacing w:after="0"/>
              <w:jc w:val="center"/>
            </w:pPr>
            <w:r>
              <w:rPr>
                <w:rFonts w:ascii="Calibri" w:hAnsi="Calibri"/>
                <w:b w:val="0"/>
                <w:i w:val="0"/>
                <w:color w:val="000000"/>
                <w:sz w:val="18"/>
              </w:rPr>
              <w:t>Not present</w:t>
            </w:r>
          </w:p>
        </w:tc>
        <w:tc>
          <w:tcPr>
            <w:tcW w:type="dxa" w:w="5010"/>
            <w:vAlign w:val="center"/>
            <w:tcMar>
              <w:top w:w="80" w:type="dxa"/>
              <w:start w:w="120" w:type="dxa"/>
              <w:bottom w:w="80" w:type="dxa"/>
              <w:end w:w="120" w:type="dxa"/>
            </w:tcMar>
          </w:tcPr>
          <w:p>
            <w:pPr>
              <w:spacing w:after="0"/>
              <w:jc w:val="center"/>
            </w:pPr>
            <w:r>
              <w:rPr>
                <w:rFonts w:ascii="Calibri" w:hAnsi="Calibri"/>
                <w:b w:val="0"/>
                <w:i w:val="0"/>
                <w:color w:val="000000"/>
                <w:sz w:val="18"/>
              </w:rPr>
              <w:t>No raster or land-cover features are used</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Raw MODIS/VIIRS swath images</w:t>
            </w:r>
          </w:p>
        </w:tc>
        <w:tc>
          <w:tcPr>
            <w:tcW w:type="dxa" w:w="1650"/>
            <w:vAlign w:val="center"/>
            <w:tcMar>
              <w:top w:w="80" w:type="dxa"/>
              <w:start w:w="120" w:type="dxa"/>
              <w:bottom w:w="80" w:type="dxa"/>
              <w:end w:w="120" w:type="dxa"/>
            </w:tcMar>
          </w:tcPr>
          <w:p>
            <w:pPr>
              <w:spacing w:after="0"/>
              <w:jc w:val="center"/>
            </w:pPr>
            <w:r>
              <w:rPr>
                <w:rFonts w:ascii="Calibri" w:hAnsi="Calibri"/>
                <w:b w:val="0"/>
                <w:i w:val="0"/>
                <w:color w:val="000000"/>
                <w:sz w:val="18"/>
              </w:rPr>
              <w:t>Not present</w:t>
            </w:r>
          </w:p>
        </w:tc>
        <w:tc>
          <w:tcPr>
            <w:tcW w:type="dxa" w:w="5010"/>
            <w:vAlign w:val="center"/>
            <w:tcMar>
              <w:top w:w="80" w:type="dxa"/>
              <w:start w:w="120" w:type="dxa"/>
              <w:bottom w:w="80" w:type="dxa"/>
              <w:end w:w="120" w:type="dxa"/>
            </w:tcMar>
          </w:tcPr>
          <w:p>
            <w:pPr>
              <w:spacing w:after="0"/>
              <w:jc w:val="center"/>
            </w:pPr>
            <w:r>
              <w:rPr>
                <w:rFonts w:ascii="Calibri" w:hAnsi="Calibri"/>
                <w:b w:val="0"/>
                <w:i w:val="0"/>
                <w:color w:val="000000"/>
                <w:sz w:val="18"/>
              </w:rPr>
              <w:t>Only FIRMS detection records derived from the imagery are supplied</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Image annotations / masks / boxes</w:t>
            </w:r>
          </w:p>
        </w:tc>
        <w:tc>
          <w:tcPr>
            <w:tcW w:type="dxa" w:w="1650"/>
            <w:vAlign w:val="center"/>
            <w:tcMar>
              <w:top w:w="80" w:type="dxa"/>
              <w:start w:w="120" w:type="dxa"/>
              <w:bottom w:w="80" w:type="dxa"/>
              <w:end w:w="120" w:type="dxa"/>
            </w:tcMar>
          </w:tcPr>
          <w:p>
            <w:pPr>
              <w:spacing w:after="0"/>
              <w:jc w:val="center"/>
            </w:pPr>
            <w:r>
              <w:rPr>
                <w:rFonts w:ascii="Calibri" w:hAnsi="Calibri"/>
                <w:b w:val="0"/>
                <w:i w:val="0"/>
                <w:color w:val="000000"/>
                <w:sz w:val="18"/>
              </w:rPr>
              <w:t>Not present</w:t>
            </w:r>
          </w:p>
        </w:tc>
        <w:tc>
          <w:tcPr>
            <w:tcW w:type="dxa" w:w="5010"/>
            <w:vAlign w:val="center"/>
            <w:tcMar>
              <w:top w:w="80" w:type="dxa"/>
              <w:start w:w="120" w:type="dxa"/>
              <w:bottom w:w="80" w:type="dxa"/>
              <w:end w:w="120" w:type="dxa"/>
            </w:tcMar>
          </w:tcPr>
          <w:p>
            <w:pPr>
              <w:spacing w:after="0"/>
              <w:jc w:val="center"/>
            </w:pPr>
            <w:r>
              <w:rPr>
                <w:rFonts w:ascii="Calibri" w:hAnsi="Calibri"/>
                <w:b w:val="0"/>
                <w:i w:val="0"/>
                <w:color w:val="000000"/>
                <w:sz w:val="18"/>
              </w:rPr>
              <w:t>Labels are geospatial flare-site records, not pixel masks or bounding boxes</w:t>
            </w:r>
          </w:p>
        </w:tc>
      </w:tr>
      <w:tr>
        <w:tc>
          <w:tcPr>
            <w:tcW w:type="dxa" w:w="2700"/>
            <w:vAlign w:val="center"/>
            <w:tcMar>
              <w:top w:w="80" w:type="dxa"/>
              <w:start w:w="120" w:type="dxa"/>
              <w:bottom w:w="80" w:type="dxa"/>
              <w:end w:w="120" w:type="dxa"/>
            </w:tcMar>
          </w:tcPr>
          <w:p>
            <w:pPr>
              <w:spacing w:after="0"/>
              <w:jc w:val="left"/>
            </w:pPr>
            <w:r>
              <w:rPr>
                <w:rFonts w:ascii="Calibri" w:hAnsi="Calibri"/>
                <w:b w:val="0"/>
                <w:i w:val="0"/>
                <w:color w:val="000000"/>
                <w:sz w:val="18"/>
              </w:rPr>
              <w:t>CNN or vision-transformer branch</w:t>
            </w:r>
          </w:p>
        </w:tc>
        <w:tc>
          <w:tcPr>
            <w:tcW w:type="dxa" w:w="1650"/>
            <w:vAlign w:val="center"/>
            <w:tcMar>
              <w:top w:w="80" w:type="dxa"/>
              <w:start w:w="120" w:type="dxa"/>
              <w:bottom w:w="80" w:type="dxa"/>
              <w:end w:w="120" w:type="dxa"/>
            </w:tcMar>
          </w:tcPr>
          <w:p>
            <w:pPr>
              <w:spacing w:after="0"/>
              <w:jc w:val="center"/>
            </w:pPr>
            <w:r>
              <w:rPr>
                <w:rFonts w:ascii="Calibri" w:hAnsi="Calibri"/>
                <w:b w:val="0"/>
                <w:i w:val="0"/>
                <w:color w:val="000000"/>
                <w:sz w:val="18"/>
              </w:rPr>
              <w:t>Not implemented</w:t>
            </w:r>
          </w:p>
        </w:tc>
        <w:tc>
          <w:tcPr>
            <w:tcW w:type="dxa" w:w="5010"/>
            <w:vAlign w:val="center"/>
            <w:tcMar>
              <w:top w:w="80" w:type="dxa"/>
              <w:start w:w="120" w:type="dxa"/>
              <w:bottom w:w="80" w:type="dxa"/>
              <w:end w:w="120" w:type="dxa"/>
            </w:tcMar>
          </w:tcPr>
          <w:p>
            <w:pPr>
              <w:spacing w:after="0"/>
              <w:jc w:val="center"/>
            </w:pPr>
            <w:r>
              <w:rPr>
                <w:rFonts w:ascii="Calibri" w:hAnsi="Calibri"/>
                <w:b w:val="0"/>
                <w:i w:val="0"/>
                <w:color w:val="000000"/>
                <w:sz w:val="18"/>
              </w:rPr>
              <w:t>Current predictive model is LightGBM on source-level tabular features</w:t>
            </w:r>
          </w:p>
        </w:tc>
      </w:tr>
    </w:tbl>
    <w:p>
      <w:pPr>
        <w:spacing w:after="40"/>
      </w:pPr>
    </w:p>
    <w:p>
      <w:pPr>
        <w:keepLines/>
        <w:spacing w:before="80" w:after="160"/>
        <w:ind w:left="115" w:right="115"/>
        <w:shd w:fill="E8EEF5"/>
        <w:pBdr>
          <w:left w:val="single" w:sz="18" w:space="6" w:color="0B2545"/>
        </w:pBdr>
      </w:pPr>
      <w:r>
        <w:rPr>
          <w:rFonts w:ascii="Calibri" w:hAnsi="Calibri"/>
          <w:b/>
          <w:i w:val="0"/>
          <w:color w:val="0B2545"/>
          <w:sz w:val="22"/>
        </w:rPr>
        <w:t xml:space="preserve">Recommended wording to the requester: </w:t>
      </w:r>
      <w:r>
        <w:rPr>
          <w:rFonts w:ascii="Calibri" w:hAnsi="Calibri"/>
          <w:b w:val="0"/>
          <w:i w:val="0"/>
          <w:color w:val="202830"/>
          <w:sz w:val="22"/>
        </w:rPr>
        <w:t>We added satellite-derived thermal anomaly data from MODIS and VIIRS, not raw image tiles. The present solution is a remote-sensing feature pipeline with tabular source-level modelling. A true imagery/CV branch is deliberately deferred and should not be claimed as completed.</w:t>
      </w:r>
    </w:p>
    <w:p>
      <w:pPr>
        <w:pStyle w:val="Heading1"/>
      </w:pPr>
      <w:r>
        <w:t>10. Required next run</w:t>
      </w:r>
    </w:p>
    <w:p>
      <w:pPr>
        <w:pStyle w:val="ListNumber"/>
        <w:spacing w:after="160" w:line="280" w:lineRule="auto"/>
        <w:ind w:left="720" w:hanging="360"/>
      </w:pPr>
      <w:r>
        <w:rPr>
          <w:rFonts w:ascii="Calibri" w:hAnsi="Calibri"/>
          <w:b w:val="0"/>
          <w:i w:val="0"/>
          <w:color w:val="000000"/>
          <w:sz w:val="22"/>
        </w:rPr>
        <w:t>Correct leave-country-out threshold selection so held-out labels are never used to choose a threshold.</w:t>
      </w:r>
    </w:p>
    <w:p>
      <w:pPr>
        <w:pStyle w:val="ListNumber"/>
        <w:spacing w:after="160" w:line="280" w:lineRule="auto"/>
        <w:ind w:left="720" w:hanging="360"/>
      </w:pPr>
      <w:r>
        <w:rPr>
          <w:rFonts w:ascii="Calibri" w:hAnsi="Calibri"/>
          <w:b w:val="0"/>
          <w:i w:val="0"/>
          <w:color w:val="000000"/>
          <w:sz w:val="22"/>
        </w:rPr>
        <w:t>Rebuild every country on a common 2022-2024 observation window.</w:t>
      </w:r>
    </w:p>
    <w:p>
      <w:pPr>
        <w:pStyle w:val="ListNumber"/>
        <w:spacing w:after="160" w:line="280" w:lineRule="auto"/>
        <w:ind w:left="720" w:hanging="360"/>
      </w:pPr>
      <w:r>
        <w:rPr>
          <w:rFonts w:ascii="Calibri" w:hAnsi="Calibri"/>
          <w:b w:val="0"/>
          <w:i w:val="0"/>
          <w:color w:val="000000"/>
          <w:sz w:val="22"/>
        </w:rPr>
        <w:t>Test a reduced LightGBM model without seasonality and without raw exposure-dependent counts.</w:t>
      </w:r>
    </w:p>
    <w:p>
      <w:pPr>
        <w:pStyle w:val="ListNumber"/>
        <w:spacing w:after="160" w:line="280" w:lineRule="auto"/>
        <w:ind w:left="720" w:hanging="360"/>
      </w:pPr>
      <w:r>
        <w:rPr>
          <w:rFonts w:ascii="Calibri" w:hAnsi="Calibri"/>
          <w:b w:val="0"/>
          <w:i w:val="0"/>
          <w:color w:val="000000"/>
          <w:sz w:val="22"/>
        </w:rPr>
        <w:t>Compare candidate models using foreign-country PR-AUC, frozen-threshold precision/recall, and cross-country stability.</w:t>
      </w:r>
    </w:p>
    <w:p>
      <w:pPr>
        <w:pStyle w:val="ListNumber"/>
        <w:spacing w:after="160" w:line="280" w:lineRule="auto"/>
        <w:ind w:left="720" w:hanging="360"/>
      </w:pPr>
      <w:r>
        <w:rPr>
          <w:rFonts w:ascii="Calibri" w:hAnsi="Calibri"/>
          <w:b w:val="0"/>
          <w:i w:val="0"/>
          <w:color w:val="000000"/>
          <w:sz w:val="22"/>
        </w:rPr>
        <w:t>Freeze the exact feature list, hyperparameters, common window, and threshold in a manifest.</w:t>
      </w:r>
    </w:p>
    <w:p>
      <w:pPr>
        <w:pStyle w:val="ListNumber"/>
        <w:spacing w:after="160" w:line="280" w:lineRule="auto"/>
        <w:ind w:left="720" w:hanging="360"/>
      </w:pPr>
      <w:r>
        <w:rPr>
          <w:rFonts w:ascii="Calibri" w:hAnsi="Calibri"/>
          <w:b w:val="0"/>
          <w:i w:val="0"/>
          <w:color w:val="000000"/>
          <w:sz w:val="22"/>
        </w:rPr>
        <w:t>Score India once without retuning and save source-level probabilities.</w:t>
      </w:r>
    </w:p>
    <w:p>
      <w:pPr>
        <w:pStyle w:val="ListNumber"/>
        <w:spacing w:after="160" w:line="280" w:lineRule="auto"/>
        <w:ind w:left="720" w:hanging="360"/>
      </w:pPr>
      <w:r>
        <w:rPr>
          <w:rFonts w:ascii="Calibri" w:hAnsi="Calibri"/>
          <w:b w:val="0"/>
          <w:i w:val="0"/>
          <w:color w:val="000000"/>
          <w:sz w:val="22"/>
        </w:rPr>
        <w:t>Evaluate India against distinct EOG sites, thermally plausible GEM/WRI facilities, OSM flare/kiln records, and a spatially stratified manual sample.</w:t>
      </w:r>
    </w:p>
    <w:p>
      <w:pPr>
        <w:pStyle w:val="Heading2"/>
      </w:pPr>
      <w:r>
        <w:t>Acceptance criteria before claiming final performance</w:t>
      </w:r>
    </w:p>
    <w:p>
      <w:pPr>
        <w:pStyle w:val="ListBullet"/>
        <w:spacing w:after="160" w:line="280" w:lineRule="auto"/>
        <w:ind w:left="720" w:hanging="360"/>
      </w:pPr>
      <w:r>
        <w:rPr>
          <w:rFonts w:ascii="Calibri" w:hAnsi="Calibri"/>
          <w:b w:val="0"/>
          <w:i w:val="0"/>
          <w:color w:val="000000"/>
          <w:sz w:val="22"/>
        </w:rPr>
        <w:t>No India leakage in training, feature selection, hyperparameters, or thresholding.</w:t>
      </w:r>
    </w:p>
    <w:p>
      <w:pPr>
        <w:pStyle w:val="ListBullet"/>
        <w:spacing w:after="160" w:line="280" w:lineRule="auto"/>
        <w:ind w:left="720" w:hanging="360"/>
      </w:pPr>
      <w:r>
        <w:rPr>
          <w:rFonts w:ascii="Calibri" w:hAnsi="Calibri"/>
          <w:b w:val="0"/>
          <w:i w:val="0"/>
          <w:color w:val="000000"/>
          <w:sz w:val="22"/>
        </w:rPr>
        <w:t>One common observation window or validated exposure normalization across all countries.</w:t>
      </w:r>
    </w:p>
    <w:p>
      <w:pPr>
        <w:pStyle w:val="ListBullet"/>
        <w:spacing w:after="160" w:line="280" w:lineRule="auto"/>
        <w:ind w:left="720" w:hanging="360"/>
      </w:pPr>
      <w:r>
        <w:rPr>
          <w:rFonts w:ascii="Calibri" w:hAnsi="Calibri"/>
          <w:b w:val="0"/>
          <w:i w:val="0"/>
          <w:color w:val="000000"/>
          <w:sz w:val="22"/>
        </w:rPr>
        <w:t>Frozen-threshold LOCO metrics and documented threshold provenance.</w:t>
      </w:r>
    </w:p>
    <w:p>
      <w:pPr>
        <w:pStyle w:val="ListBullet"/>
        <w:spacing w:after="160" w:line="280" w:lineRule="auto"/>
        <w:ind w:left="720" w:hanging="360"/>
      </w:pPr>
      <w:r>
        <w:rPr>
          <w:rFonts w:ascii="Calibri" w:hAnsi="Calibri"/>
          <w:b w:val="0"/>
          <w:i w:val="0"/>
          <w:color w:val="000000"/>
          <w:sz w:val="22"/>
        </w:rPr>
        <w:t>Distinct-site recovery metrics in addition to source-row classification metrics.</w:t>
      </w:r>
    </w:p>
    <w:p>
      <w:pPr>
        <w:pStyle w:val="ListBullet"/>
        <w:spacing w:after="160" w:line="280" w:lineRule="auto"/>
        <w:ind w:left="720" w:hanging="360"/>
      </w:pPr>
      <w:r>
        <w:rPr>
          <w:rFonts w:ascii="Calibri" w:hAnsi="Calibri"/>
          <w:b w:val="0"/>
          <w:i w:val="0"/>
          <w:color w:val="000000"/>
          <w:sz w:val="22"/>
        </w:rPr>
        <w:t>Manual review of unmatched high-score sources because catalogues are incomplete.</w:t>
      </w:r>
    </w:p>
    <w:p>
      <w:pPr>
        <w:pStyle w:val="ListBullet"/>
        <w:spacing w:after="160" w:line="280" w:lineRule="auto"/>
        <w:ind w:left="720" w:hanging="360"/>
      </w:pPr>
      <w:r>
        <w:rPr>
          <w:rFonts w:ascii="Calibri" w:hAnsi="Calibri"/>
          <w:b w:val="0"/>
          <w:i w:val="0"/>
          <w:color w:val="000000"/>
          <w:sz w:val="22"/>
        </w:rPr>
        <w:t>Explicit statement that no raw imagery model was used unless a future image branch is actually acquired, trained, and validated.</w:t>
      </w:r>
    </w:p>
    <w:p>
      <w:r>
        <w:br w:type="page"/>
      </w:r>
    </w:p>
    <w:p>
      <w:pPr>
        <w:pStyle w:val="Heading1"/>
      </w:pPr>
      <w:r>
        <w:t>Appendix A. Reproducibility map</w:t>
      </w:r>
    </w:p>
    <w:tbl>
      <w:tblPr>
        <w:tblStyle w:val="TableGrid"/>
        <w:tblW w:type="dxa" w:w="9360"/>
        <w:tblLayout w:type="fixed"/>
        <w:tblLook w:firstColumn="1" w:firstRow="1" w:lastColumn="0" w:lastRow="0" w:noHBand="0" w:noVBand="1" w:val="04A0"/>
        <w:tblInd w:w="120" w:type="dxa"/>
      </w:tblPr>
      <w:tblGrid>
        <w:gridCol w:w="2100"/>
        <w:gridCol w:w="3700"/>
        <w:gridCol w:w="3560"/>
      </w:tblGrid>
      <w:tr>
        <w:trPr>
          <w:tblHeader w:val="true"/>
        </w:trPr>
        <w:tc>
          <w:tcPr>
            <w:tcW w:type="dxa" w:w="2100"/>
            <w:vAlign w:val="center"/>
            <w:tcMar>
              <w:top w:w="80" w:type="dxa"/>
              <w:start w:w="120" w:type="dxa"/>
              <w:bottom w:w="80" w:type="dxa"/>
              <w:end w:w="120" w:type="dxa"/>
            </w:tcMar>
            <w:shd w:fill="F2F4F7"/>
          </w:tcPr>
          <w:p>
            <w:pPr>
              <w:spacing w:after="0"/>
              <w:jc w:val="center"/>
            </w:pPr>
            <w:r>
              <w:rPr>
                <w:rFonts w:ascii="Calibri" w:hAnsi="Calibri"/>
                <w:b/>
                <w:i w:val="0"/>
                <w:color w:val="0B2545"/>
                <w:sz w:val="17"/>
              </w:rPr>
              <w:t>Stage</w:t>
            </w:r>
          </w:p>
        </w:tc>
        <w:tc>
          <w:tcPr>
            <w:tcW w:type="dxa" w:w="3700"/>
            <w:vAlign w:val="center"/>
            <w:tcMar>
              <w:top w:w="80" w:type="dxa"/>
              <w:start w:w="120" w:type="dxa"/>
              <w:bottom w:w="80" w:type="dxa"/>
              <w:end w:w="120" w:type="dxa"/>
            </w:tcMar>
            <w:shd w:fill="F2F4F7"/>
          </w:tcPr>
          <w:p>
            <w:pPr>
              <w:spacing w:after="0"/>
              <w:jc w:val="center"/>
            </w:pPr>
            <w:r>
              <w:rPr>
                <w:rFonts w:ascii="Calibri" w:hAnsi="Calibri"/>
                <w:b/>
                <w:i w:val="0"/>
                <w:color w:val="0B2545"/>
                <w:sz w:val="17"/>
              </w:rPr>
              <w:t>Implementation</w:t>
            </w:r>
          </w:p>
        </w:tc>
        <w:tc>
          <w:tcPr>
            <w:tcW w:type="dxa" w:w="3560"/>
            <w:vAlign w:val="center"/>
            <w:tcMar>
              <w:top w:w="80" w:type="dxa"/>
              <w:start w:w="120" w:type="dxa"/>
              <w:bottom w:w="80" w:type="dxa"/>
              <w:end w:w="120" w:type="dxa"/>
            </w:tcMar>
            <w:shd w:fill="F2F4F7"/>
          </w:tcPr>
          <w:p>
            <w:pPr>
              <w:spacing w:after="0"/>
              <w:jc w:val="center"/>
            </w:pPr>
            <w:r>
              <w:rPr>
                <w:rFonts w:ascii="Calibri" w:hAnsi="Calibri"/>
                <w:b/>
                <w:i w:val="0"/>
                <w:color w:val="0B2545"/>
                <w:sz w:val="17"/>
              </w:rPr>
              <w:t>Evidence / output</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Data audit</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src/01_data_audit.py and src/01b_audit_report.py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outputs/01_file_audit.csv; outputs/01_audit_report.txt</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Source clustering</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kaggle/kg_02_source_clustering.py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cache/detections_&lt;country&gt;.parquet; cache/sources_&lt;country&gt;.parquet</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Feature building</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kaggle/kg_03_features.py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features_&lt;country&gt;.parquet or tagged common-window variants</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Baselines</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kaggle/kg_04_baselines.py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04_baselines.csv</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LightGBM and ablations</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kaggle/kg_05_lightgbm.py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05_lgbm_ablation.csv; 05_lgbm_leave_country_out.csv; 05_feature_importance.csv</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OOF predictions</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kaggle/kg_05_lightgbm.py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05_oof_predictions.parquet</w:t>
            </w:r>
          </w:p>
        </w:tc>
      </w:tr>
      <w:tr>
        <w:tc>
          <w:tcPr>
            <w:tcW w:type="dxa" w:w="2100"/>
            <w:vAlign w:val="center"/>
            <w:tcMar>
              <w:top w:w="80" w:type="dxa"/>
              <w:start w:w="120" w:type="dxa"/>
              <w:bottom w:w="80" w:type="dxa"/>
              <w:end w:w="120" w:type="dxa"/>
            </w:tcMar>
          </w:tcPr>
          <w:p>
            <w:pPr>
              <w:spacing w:after="0"/>
              <w:jc w:val="left"/>
            </w:pPr>
            <w:r>
              <w:rPr>
                <w:rFonts w:ascii="Calibri" w:hAnsi="Calibri"/>
                <w:b w:val="0"/>
                <w:i w:val="0"/>
                <w:color w:val="000000"/>
                <w:sz w:val="17"/>
              </w:rPr>
              <w:t>Evaluation helpers</w:t>
            </w:r>
          </w:p>
        </w:tc>
        <w:tc>
          <w:tcPr>
            <w:tcW w:type="dxa" w:w="3700"/>
            <w:vAlign w:val="center"/>
            <w:tcMar>
              <w:top w:w="80" w:type="dxa"/>
              <w:start w:w="120" w:type="dxa"/>
              <w:bottom w:w="80" w:type="dxa"/>
              <w:end w:w="120" w:type="dxa"/>
            </w:tcMar>
          </w:tcPr>
          <w:p>
            <w:pPr>
              <w:spacing w:after="0"/>
              <w:jc w:val="center"/>
            </w:pPr>
            <w:r>
              <w:rPr>
                <w:rFonts w:ascii="Calibri" w:hAnsi="Calibri"/>
                <w:b w:val="0"/>
                <w:i w:val="0"/>
                <w:color w:val="000000"/>
                <w:sz w:val="17"/>
              </w:rPr>
              <w:t>kaggle/kg_eval.py</w:t>
            </w:r>
          </w:p>
        </w:tc>
        <w:tc>
          <w:tcPr>
            <w:tcW w:type="dxa" w:w="3560"/>
            <w:vAlign w:val="center"/>
            <w:tcMar>
              <w:top w:w="80" w:type="dxa"/>
              <w:start w:w="120" w:type="dxa"/>
              <w:bottom w:w="80" w:type="dxa"/>
              <w:end w:w="120" w:type="dxa"/>
            </w:tcMar>
          </w:tcPr>
          <w:p>
            <w:pPr>
              <w:spacing w:after="0"/>
              <w:jc w:val="center"/>
            </w:pPr>
            <w:r>
              <w:rPr>
                <w:rFonts w:ascii="Calibri" w:hAnsi="Calibri"/>
                <w:b w:val="0"/>
                <w:i w:val="0"/>
                <w:color w:val="000000"/>
                <w:sz w:val="17"/>
              </w:rPr>
              <w:t>Grouped folds, metrics, calibration, feature loading</w:t>
            </w:r>
          </w:p>
        </w:tc>
      </w:tr>
    </w:tbl>
    <w:p>
      <w:pPr>
        <w:spacing w:after="40"/>
      </w:pPr>
    </w:p>
    <w:p>
      <w:pPr>
        <w:pStyle w:val="Heading1"/>
      </w:pPr>
      <w:r>
        <w:t>Appendix B. Evidence reviewed</w:t>
      </w:r>
    </w:p>
    <w:p>
      <w:pPr>
        <w:pStyle w:val="ListBullet"/>
        <w:spacing w:after="160" w:line="280" w:lineRule="auto"/>
        <w:ind w:left="720" w:hanging="360"/>
      </w:pPr>
      <w:r>
        <w:rPr>
          <w:rFonts w:ascii="Calibri" w:hAnsi="Calibri"/>
          <w:b w:val="0"/>
          <w:i w:val="0"/>
          <w:color w:val="000000"/>
          <w:sz w:val="22"/>
        </w:rPr>
        <w:t>data sih.zip - source archive and exact file inventory</w:t>
      </w:r>
    </w:p>
    <w:p>
      <w:pPr>
        <w:pStyle w:val="ListBullet"/>
        <w:spacing w:after="160" w:line="280" w:lineRule="auto"/>
        <w:ind w:left="720" w:hanging="360"/>
      </w:pPr>
      <w:r>
        <w:rPr>
          <w:rFonts w:ascii="Calibri" w:hAnsi="Calibri"/>
          <w:b w:val="0"/>
          <w:i w:val="0"/>
          <w:color w:val="000000"/>
          <w:sz w:val="22"/>
        </w:rPr>
        <w:t>data descriptiom.pdf - nine-page data explainer describing roles, schemas, instruments, and split policy</w:t>
      </w:r>
    </w:p>
    <w:p>
      <w:pPr>
        <w:pStyle w:val="ListBullet"/>
        <w:spacing w:after="160" w:line="280" w:lineRule="auto"/>
        <w:ind w:left="720" w:hanging="360"/>
      </w:pPr>
      <w:r>
        <w:rPr>
          <w:rFonts w:ascii="Calibri" w:hAnsi="Calibri"/>
          <w:b w:val="0"/>
          <w:i w:val="0"/>
          <w:color w:val="000000"/>
          <w:sz w:val="22"/>
        </w:rPr>
        <w:t>sih26162/README.md - project overview, verified audit counts, and constraints</w:t>
      </w:r>
    </w:p>
    <w:p>
      <w:pPr>
        <w:pStyle w:val="ListBullet"/>
        <w:spacing w:after="160" w:line="280" w:lineRule="auto"/>
        <w:ind w:left="720" w:hanging="360"/>
      </w:pPr>
      <w:r>
        <w:rPr>
          <w:rFonts w:ascii="Calibri" w:hAnsi="Calibri"/>
          <w:b w:val="0"/>
          <w:i w:val="0"/>
          <w:color w:val="000000"/>
          <w:sz w:val="22"/>
        </w:rPr>
        <w:t>sih26162/RESULTS.md - consolidated experimental findings and decisions</w:t>
      </w:r>
    </w:p>
    <w:p>
      <w:pPr>
        <w:pStyle w:val="ListBullet"/>
        <w:spacing w:after="160" w:line="280" w:lineRule="auto"/>
        <w:ind w:left="720" w:hanging="360"/>
      </w:pPr>
      <w:r>
        <w:rPr>
          <w:rFonts w:ascii="Calibri" w:hAnsi="Calibri"/>
          <w:b w:val="0"/>
          <w:i w:val="0"/>
          <w:color w:val="000000"/>
          <w:sz w:val="22"/>
        </w:rPr>
        <w:t>sih26162/kaggle/*.py - clustering, feature construction, baselines, LightGBM, and evaluation code</w:t>
      </w:r>
    </w:p>
    <w:p>
      <w:pPr>
        <w:pStyle w:val="ListBullet"/>
        <w:spacing w:after="160" w:line="280" w:lineRule="auto"/>
        <w:ind w:left="720" w:hanging="360"/>
      </w:pPr>
      <w:r>
        <w:rPr>
          <w:rFonts w:ascii="Calibri" w:hAnsi="Calibri"/>
          <w:b w:val="0"/>
          <w:i w:val="0"/>
          <w:color w:val="000000"/>
          <w:sz w:val="22"/>
        </w:rPr>
        <w:t>output nb1/*.csv and *.parquet - source summaries, model metrics, importance, and saved predictions</w:t>
      </w:r>
    </w:p>
    <w:p>
      <w:pPr>
        <w:pStyle w:val="ListBullet"/>
        <w:spacing w:after="160" w:line="280" w:lineRule="auto"/>
        <w:ind w:left="720" w:hanging="360"/>
      </w:pPr>
      <w:r>
        <w:rPr>
          <w:rFonts w:ascii="Calibri" w:hAnsi="Calibri"/>
          <w:b w:val="0"/>
          <w:i w:val="0"/>
          <w:color w:val="000000"/>
          <w:sz w:val="22"/>
        </w:rPr>
        <w:t>git status, log, and working-tree diff inside sih26162 - recent solution additions</w:t>
      </w:r>
    </w:p>
    <w:p>
      <w:pPr>
        <w:pStyle w:val="Heading1"/>
      </w:pPr>
      <w:r>
        <w:t>Appendix C. Forwardable short note</w:t>
      </w:r>
    </w:p>
    <w:p>
      <w:pPr>
        <w:keepLines/>
        <w:spacing w:before="80" w:after="160"/>
        <w:ind w:left="115" w:right="115"/>
        <w:shd w:fill="E8EEF5"/>
        <w:pBdr>
          <w:left w:val="single" w:sz="18" w:space="6" w:color="0B2545"/>
        </w:pBdr>
      </w:pPr>
      <w:r>
        <w:rPr>
          <w:rFonts w:ascii="Calibri" w:hAnsi="Calibri"/>
          <w:b/>
          <w:i w:val="0"/>
          <w:color w:val="0B2545"/>
          <w:sz w:val="22"/>
        </w:rPr>
        <w:t xml:space="preserve">Message: </w:t>
      </w:r>
      <w:r>
        <w:rPr>
          <w:rFonts w:ascii="Calibri" w:hAnsi="Calibri"/>
          <w:b w:val="0"/>
          <w:i w:val="0"/>
          <w:color w:val="202830"/>
          <w:sz w:val="22"/>
        </w:rPr>
        <w:t>Attached is the detailed solution document. It covers the end-to-end pipeline, exact dataset inventory, preprocessing, 49 feature groups, model results, limitations, and the recent common-window robustness additions. For clarity, we have not added raw CV image tiles: the visual-data contribution is MODIS/VIIRS satellite thermal detections supplied as tabular records. Sentinel-2, Landsat, WorldCover, and a pixel-level imagery model are not part of the current implementation.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B6573"/>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73"/>
        <w:sz w:val="18"/>
      </w:rPr>
      <w:t>SIH26162 | Technical Solution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SIH26162 Solution and CV Dataset Additions</dc:title>
  <dc:subject>Technical solution, verified data inventory, and current robustness additions</dc:subject>
  <dc:creator>SIH26162 Project Team</dc:creator>
  <cp:keywords>SIH26162, NASA FIRMS, MODIS, VIIRS, LightGBM, industrial thermal source</cp:keywords>
  <dc:description>Generated from verified workspace artifacts on 2 September 2026.</dc:description>
  <cp:lastModifiedBy/>
  <cp:revision>1</cp:revision>
  <dcterms:created xsi:type="dcterms:W3CDTF">2013-12-23T23:15:00Z</dcterms:created>
  <dcterms:modified xsi:type="dcterms:W3CDTF">2013-12-23T23:15:00Z</dcterms:modified>
  <cp:category/>
</cp:coreProperties>
</file>