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TASKS TO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person presentation during week #13 showcasing the highlights and details of the AI for Social Good project. • Groups will be allocated their respective time slots at a later date. • Slides used for presentation to be uploaded to NTULearn before the end of the day of presentation. • All group members must be present and contribute to the presentation. • Total presentation time limit allocated is based on group size (i.e. 4 mins per member in the group). For example, if your group has three members, your total maximum allocated time is 12 mins. That does not mean each member must present for 4 mins. Presentation time per member should be reasonably (i.e. at least 2 minutes) but not strictly equal.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Heejin and Arnav:Human Centred AI Design </w:t>
      </w:r>
    </w:p>
    <w:p w:rsidR="00000000" w:rsidDel="00000000" w:rsidP="00000000" w:rsidRDefault="00000000" w:rsidRPr="00000000" w14:paraId="00000009">
      <w:pPr>
        <w:rPr/>
      </w:pPr>
      <w:r w:rsidDel="00000000" w:rsidR="00000000" w:rsidRPr="00000000">
        <w:rPr>
          <w:rtl w:val="0"/>
        </w:rPr>
        <w:t xml:space="preserve">Sam and Kaashvi: Algorithm Design + Social Impact and Economic Value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Zaky: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791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