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Under-resourced studies of under-resourced languages: lemmatization and POS-tagging with LLM annotators for historical Armenian, Georgian, Greek and Syriac</w:t>
      </w:r>
    </w:p>
    <w:p>
      <w:r>
        <w:t>Authors: Chahan Vidal-Gorène, Bastien Kindt, Florian Cafiero</w:t>
      </w:r>
    </w:p>
    <w:p>
      <w:r>
        <w:t>Source: http://arxiv.org/abs/2602.15753v1</w:t>
      </w:r>
    </w:p>
    <w:p>
      <w:pPr>
        <w:pStyle w:val="Heading2"/>
      </w:pPr>
      <w:r>
        <w:t>Introduction</w:t>
      </w:r>
    </w:p>
    <w:p>
      <w:r>
        <w:t>Introduction While not always surpassing state-of-the-art spe- cialized methods, Large Language Models demon- strated remarkable zero-shot performance in tasks such as POS-tagging for languages such as Arabic (Alyafeai et al., 2023) and Armenian (Vidal-Gorène et al., 2024). In related tasks such as NER, recent advancements for low-resource languages have demonstrated promising results through knowl- edge transfer from large pre-trained language mod- els (PLMs). In particular, a recent study (Tole- gen et al., 2024) showcased significant improve- ments in Kazakh NER by leveraging multilingual models such as XLM-RoBERTa, achieving a 7% increase in F1-score compared to previous ap- proaches. However, their findings also revealed that few-shot learning scenarios remain a challenge, with multilingual PLMs struggling to achieve high performance when trained on limited data. Interest- ingly, their comparison with GPT-4 indicated that such large-scale generative models exhibit superior adaptability, even in low-data scenarios, suggesting the potential of these models to generalize across diverse linguistic settings. This paper aims to build upon these insights by exploring how GPT-4 and similar foundation mod- els can offer a more agile and effective approach to low-resource NLP, demonstrating their ability to bridge the gap between high- and low-resource languages with minimal fine-tuning effort. 1.1 State of the Art Morphological annotation tasks such as lemmatiza- tion and POS tagging in under-resourced and his- torically diverse languages have been approached using rule-based systems, sequence-based neural architectures, and more recently, large language models. For Armenian, Vidal-Gorène et al. (2020) demonstrate that RNN-based models trained on Eastern Armenian can be reused to annotate di- alectal and Western varieties, outperforming rule- based baselines and showing high transferability. Similarly, in the context of Ancient Greek, Kindt et al. (2022) evaluate an RNN trained on patristic Greek to annotate historiographical prose, achiev- ing over 97% accuracy in both lemmatization and POS-tagging, with strong performance on ambigu- ous and unseen forms. Manjavacas et al. (2019) introduce a joint- learning architecture for lemmatization that com- bines character-level transduction with a sentence- level language modeling objective. Applied to non- standard historical languages such as Latin, Old French, the model surpasses baselines, especially on ambiguous forms, without relying on gold mor- 6 2 0 2 b e F 7 1 ] L C . s c [ 1 v 3 5 7 5 1 . 2 0 6 2 : v i X r a phological annotations. It has then been applied to other historical languages like Old French and Classical French (Camps et al., 2021; Cafiero and Camps, 2019; Clérice and Pinche, 2025) or 14th century Dutch (Creten et al., 2020), and integrated into specialized annotation infrastructures (Clérice et al., 2022). The feasibility of extending such models to typo- logically diverse languages is addressed by Vidal- Gorène and Kindt (2020), who apply a character- level RNN (PIE) to Classical Armenian, Old Geor- gian, and Syriac. Their models reach over 91% ac- curacy in lemmatization and 92% in POS tagging, using curated corpora derived from the GREgORI project. Results confirm the adaptability of RNNs to languages with complex polylexical structures, although accuracy on ambiguous and unknown forms remains lower (e.g., 71.9% F1 on unknown tokens in Classical Armenian). The authors em- phasize the limitations of rule-based pipelines and the potential of neural models to handle diachronic and morphologically rich corpora written in the different languages of the Christian East. More recently, Vidal-Gorène et al. (2024) bench- mark RNNs, mDeBERTa, and GPT-4 across four Armenian varieties, including Classical and a rare spoken dialect. RNNs remain competitive for POS- tagging (F1 &gt; 0.98), while GPT-4 demonstrates strong generalization in zero- and few-shot setups, achieving F1 = 0.83 in lemmatization on unseen dialect data. Transformer models underperform on morphologically rich and low-resource dialects, particularly in low-data conditions. Taken together, these studies highlight the impor- tance of context-aware neural architectures for low- resource NLP. They also point to persistent chal- lenges: heterogeneous annotation schemes, limited corpus coverage, and the need for robust cross- dialectal generalization. 2 Datasets Our data sets comprise texts in Greek, Armenian, Georgian, and Syriac, representing the linguistic and cultural diversity of the Christian East. Each language represents a sub-dataset, divided into two parts: a ’Training corpus’ (5,000 words) for model training, and an out-of-domain ’Test corpus’ (300 words) for evaluation purposes (see Table 1). Each text underwent preliminary linguistic anal- ysis, including lemmatization and POS-tagging, tagged with a hybrid approach of rule-based and RNN models (Vidal-Gorène and Kindt, 2020; Kindt et al., 2022). 2.1 Language families The languages in this dataset belong to different lan- guage</w:t>
      </w:r>
    </w:p>
    <w:p>
      <w:pPr>
        <w:pStyle w:val="Heading2"/>
      </w:pPr>
      <w:r>
        <w:t>Conclusion</w:t>
      </w:r>
    </w:p>
    <w:p>
      <w:r>
        <w:t>performance in few-shot set- tings. Finally, our approach presumes the availabil- ity of token-level supervision for evaluation, which may not be feasible for other truly under- documented languages. The reliance on pre- existing annotated corpora, even if limited, under- scores a key challenge in extending this approach to languages without any available training data. Data availability available datasets results https://github.com/CVidalG/EACL2026- and are Code, at: historical-languages. Acknowledgements This research was supported by the French Na- tional Research Agency (ANR), grant ANR-21- CE38-0006 (DALiH project) and conducted as part of the PSL Research University’s Major Research Program CultureLab, implemented by the ANR (reference ANR-10-IDEX-0001). We also thank the GREgORI lab for providing access to the data. The authors used generative AI to improve the lin- guistic clarity and assist with LaTeX formatting of the final document. Ethics Statement This research adheres to the ACL Ethics Policy. Our experiments use openly accessible linguistic datasets and publicly available LLMs, ensuring transparency and reproducibility. We acknowledge that working with historical and culturally signifi- cant texts requires sensitivity and care. Although our datasets consist exclusively of texts published and available in critical scholarly editions, researchers employing our methods in other contexts must ensure respect for cultural and historical heritage, particularly when annotating or disseminating results related to under-resourced or minority languages. Furthermore, we encourage fu- ture work to consider data sovereignty and commu- nity involvement when extending these techniques to languages without established digital resources. Figure 4: Figure 4. Accuracy as a function of the number of in-context examples (0, 5, 50, 500 shots) for lemmatization and POS tagging, reported separately for each language (GRC, HYE, KAT, SYC). Solid lines show the model accuracy at each shot count; shaded bands span the two evaluation conditions and thus indicate the range between in-domain and out-of-domain accuracies at the same shot count. Dashed horizontal lines mark the supervised PIE reference accuracies obtained with 1,000 and 5,000 training examples.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