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Labels: Information-Efficient Human-in-the-Loop Learning using Ranking and Selection Queries</w:t>
      </w:r>
    </w:p>
    <w:p>
      <w:r>
        <w:t>Authors: Belén Martín-Urcelay, Yoonsang Lee, Matthieu R. Bloch, Christopher J. Rozell</w:t>
      </w:r>
    </w:p>
    <w:p>
      <w:r>
        <w:t>Source: http://arxiv.org/abs/2602.15738v1</w:t>
      </w:r>
    </w:p>
    <w:p>
      <w:pPr>
        <w:pStyle w:val="Heading2"/>
      </w:pPr>
      <w:r>
        <w:t>Introduction</w:t>
      </w:r>
    </w:p>
    <w:p>
      <w:r>
        <w:t>Introduction Integrating machine learning systems with the nuanced judgments of human experts is a critical goal in do- mains ranging from image [1] and text [2] generation to word sense disambiguation [3] and medical diagnosis [4]. However, transferring human expertise to computational systems remains challenging. Although humans excel at making complex judgments, they often struggle to ar- ticulate the precise features or explicit logic that guide their decisions [5]. This gap between intuitive expertise and machine-interpretable explanations largely reduces the role of humans to that of labeling oracles [6], [7]. As oracles, experts provide labels that enable supervised learning algorithms to approximate the implicit decision functions. A drawback of this oracle-based paradigm is the substantial human effort and cost required to acquire large labeled datasets. Active learning [8] has emerged as an eﬀicient approach to mitigate this cost. Active learning strategies select informative examples to query, B. Martín-Urcelay (e-mail: burcelay3@gatech.edu), Y. Lee, M. R. Bloch and C. J. Rozell are with the School of Electrical and Computer Engineering, Georgia Institute of Technology, Atlanta, GA 30332 USA. thereby significantly reducing the number of required labels. Despite these advances, the information obtained from such queries is constrained by the simplistic nature of labels [9]. In practice, queries are often limited to binary classifications, for which the information gained is inherently capped at just one bit [10], [11]. This information bottleneck raises the question: can we move beyond simple labeling to richer queries that provide more information per human interaction, while remaining intuitive for humans? Even when presented with binary labeling tasks (e.g., “Is the weather today good or bad?”), humans may engage in richer cognitive processes. Humans often categorize items by recalling exemplars and comparing to reference points (e.g. “This is the worst weather we have had all week”). Despite this capacity for comparative reasoning, most human-in-the-loop strategies artificially constrain experts to binary labeling roles. To harness the underlying context-rich evaluation, we consider alternative query types: ranking items by attribute strength or selecting the most representative exemplar from a list. Capitalizing on these richer query types requires quantitative models of human responses that render such queries machine- interpretable and optimizable, as well as an algorithm that selects informative, cost-aware queries and learns from the corresponding human answers. We address these requirements through the following contributions: • Human response models for rich queries on off- the-shelf embeddings. We introduce probabilistic response models to ranking and exemplar-selection queries. These models are based on the observed relationship between the perceived score of an item and its distance to the decision boundary in the embedding space. This enables the use of rich queries that capture more information per interaction than traditional labeling. • Theoretical guarantees and empirical improvements in sample complexity. We derive theoretical bounds for the expected stopping time. Empirical evaluations with simulated annotators based on human data demonstrate up to 85% reduction in human interactions compared to traditional active labeling approaches. • Cost-aware optimization with human timing models. We formulate query selection information-rate 2 a) Word2Vec embedding for NRC dataset b) Word2Vec embedding for SocialSent dataset c) ViT-L/14 embedding for AVA dataset d) InceptionResnetV1 for UTKFace dataset Fig. 1: Scores for words (a, b) and image (c, d) attributes as a function of the inner product between their pre-defined embedding and the ground truth classifier. We observe there exists an approximately aﬀine relationship. Pre-trained embeddings naturally encode score information as distance from decision boundary, enabling information-rich queries beyond binary labels. than bits per information per as maximizing expected bits of second rather interaction. Using response time models derived from a crowdsourced study, our cost-aware approach reduces annotation time by more than half compared to label-only active learning on word sentiment classification tasks, demonstrating practical time savings beyond sample-complexity gains. Parts of this work have been previously presented at the Conference of Decision and Control [12]. This version substantially extends it in four directions: We introduce ranking queries that gather full orderings with labels in a single interaction; we provide sample-complexity guarantees that explicitly quantify how query type and embedding dimension affect stopping time; we demon- strate generalization beyond word sentiment by adding experiments on image aesthetic classification; and we incorporate an information-rate objective together with empirically fitted human timing models to optimize time costs. Together, these additions turn the original proof-of- concept into a more theoretically grounded and cost-aware framework for rich-query human-in-the-loop learning. The paper is organized as follows. In Section II we introduce the components of our method: human response models, an</w:t>
      </w:r>
    </w:p>
    <w:p>
      <w:pPr>
        <w:pStyle w:val="Heading2"/>
      </w:pPr>
      <w:r>
        <w:t>Conclusion</w:t>
      </w:r>
    </w:p>
    <w:p>
      <w:r>
        <w:t>when the response time models are altered; in this case, the optimal query becomes a selection question with two words. Different query selections translate into distinct learning behaviors. Figure 12a compares the reduction in MSE as a function of the number of interactions on the word sentiment classification task. Larger and richer queries exhibit a strong advantage in sample complexity. When measured in wall-clock time, however, the picture changes. 2468100.0050.010.0150.020.02502468100.10.120.140.160.180.20.2202004006008001000120014001600180020000.60.811.21.41.61.8200.511.522.50.60.811.21.41.61.822.2 As shown in Figure 12b, the additional time required for larger sets can offset their sample-complexity gains, so that selection from 10 words reduces error more slowly in time than selection from 3 words. Consistent with our analysis, ranking queries with 10 items offer clear benefits in both sample complexity and time, but the improvements in time are less pronounced than in interaction count. These results underscore the importance of optimizing for information rate rather than sample complexity alone when costs are query dependent. IV. Conclusion and Future Work We have presented a framework for incorporating nu- anced expert feedback into interactive learning. By ex- ploiting embedding geometries, we have designed human- in-the-loop algorithms that use exemplar selection and ranking queries, providing richer supervision than stan- dard label queries. We have shown, both theoretically and empirically, that these queries reduce sample complexity and accelerate learning. We have also proposed a query- selection strategy that accounts for query-dependent costs and demonstrated time savings on a word sentiment classification task, moving towards more cost-effective alignment between models and human expertise. Several directions remain open. The relationship be- tween scores and embeddings suggests new query types, such as asking which item a user can label most confidently or is most uncertain about. As in much of the literature, we assume human responses are conditionally independent given latent parameters, which may fail due to context effects or fatigue. Future work includes learning user- specific behavior models or adapting query policies online to user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