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Causal Effect Estimation with Latent Textual Treatments</w:t>
      </w:r>
    </w:p>
    <w:p>
      <w:r>
        <w:t>Authors: Omri Feldman, Amar Venugopal, Jann Spiess, Amir Feder</w:t>
      </w:r>
    </w:p>
    <w:p>
      <w:r>
        <w:t>Source: http://arxiv.org/abs/2602.15730v1</w:t>
      </w:r>
    </w:p>
    <w:p>
      <w:pPr>
        <w:pStyle w:val="Heading2"/>
      </w:pPr>
      <w:r>
        <w:t>Introduction</w:t>
      </w:r>
    </w:p>
    <w:p>
      <w:r>
        <w:t>Introduction Whether it is the aspects of political speech that are effec- tive in creating voter support or how social media posts can be most engaging, understanding the causal effect of textual features on downstream outcomes is of great interest across domains (Gerber et al., 2011; Fenerty et al., 2012; Egan, 2013; Fong &amp; Grimmer, 2016; Green &amp; Gerber, 2019; Luong et al., 2021; Ash &amp; Hansen, 2023; Ellickson et al., 2023). However, researchers face two particular challenges when designing experimental pipelines for such questions. First, they need to be able to modify text in systematic 1School of Computer Science and Engineering, The Hebrew University of Jerusalem 2Department of Economics, Stanford Uni- versity 3Graduate School of Business, Stanford University. Corre- spondence to: Omri Feldman &lt;omri.feldman@mail.huji.ac.il&gt;. Preprint. February 18, 2026. 1 Figure 1. An overview of our methodology. We start with a dataset of text documents, with labels classifying the semantic concept we want to intervene on. We run probes on SAE representations and identify the most persistent and semantically relevant SAE features that serve as our hypotheses. We then steer texts to generate quasi- counterfactuals that are used in downstream experiments. Finally, we present a novel residualization approach for CATE estimation in such text-as-treatment setting, alongside theoretical guarantees and empirical evidence. ways, while ensuring that documents remain readable. Sec- ond, valid causal estimation requires a separation between those intended modifications and other variations in the text (Feder et al., 2022). While large language models (LLMs) have revolutionized our ability to generate texts at scale, addressing both of the above challenges requires several key methodological enhancements. In this paper, we propose a novel framework for applying controlled interventions on textual features and estimating their causal effect on downstream outcomes. We build on the high-dimensional representation of language in LLMs to isolate semantic features and systematically intervene on those representations, producing text that varies primarily in targeted features. To facilitate a methodical choice between various candidate features, we also introduce a scoring met- ric that quantifies the effectiveness of our interventions and the potential undesired confounding artifacts it may intro- duce. We then estimate causal effects on downstream out- comes using methods from causal machine learning. To understand the appeal of this approach, consider the following example. Martin &amp; Venugopal (2026) recently assembled a dataset of transcripts of local government meet- ings across various towns in California. A key feature of these meetings is a public comment period, in which mem- Causal Effect Estimation with Latent Textual Treatments bers of the public may address the municipal government directly. These comments can vary widely in their “civility”, for which a score is provided for every observation in the dataset. A social-science researcher may be interested in understanding which aspects of speech result in a comment being regarded as more or less civil. Since civility is a com- plex concept, there may be many atomic features in the text that can impact the perceived civility of the comment. Our framework provides a researcher with a tool to generate hypotheses about which atomic features impact perceived civility and, subsequently, generate quasi-counterfactual comments that vary in these features. The researcher’s goal may then become to validate these hy- potheses through a randomized experiment, in which these quasi-counterfactual texts are shown to respondents who evaluate their civility. Similarly, the researcher may instead be interested in seeing if changes in concepts in a text that are correlated with civility impact some alternative down- stream outcome of interest, such as respondent agreement. Assessing causality in such a setting presents unique chal- lenges. While randomization of steered texts to respondents will ensure potential outcomes are uncorrelated with treat- ment assignment, steering itself is rarely “surgical”, and will likely perturb correlated nuisance features. As a result, steered texts are not true counterfactuals, and we control for such unwanted variations by adjusting for dense contextual embeddings using robust causal machine learning. In implementing our approach to causal estimation, we must address a fundamental challenge to causal identification: since the treatments (along with possible confounders) are expressed in the text, embeddings produced by a sufficiently expressive model will perfectly predict treatment itself. Us- ing such embeddings as controls will (in the parlance of causal inference) lead to a positivity violation, with no over- lap between treated and control documents and degenerate propensity scores. This leads to a central trade-off: con- trolling for more sophisticated text embeddings destroys variation in treatment, while weaker embedding models fail to provide sufficient control for nuisance features, leading</w:t>
      </w:r>
    </w:p>
    <w:p>
      <w:pPr>
        <w:pStyle w:val="Heading2"/>
      </w:pPr>
      <w:r>
        <w:t>Conclusion</w:t>
      </w:r>
    </w:p>
    <w:p>
      <w:r>
        <w:t>via dimension-by- dimension strategy. These results demonstrate a substantial reduction in both bias and RMSE following the application of our residualiza- tion approach. This marked improvement validates the effi- cacy of our methodology in mitigating the bias inherent in naive control strategies that utilize the full embeddings. Fur- thermore, these findings are consistent with our theoretical results, confirming that removing the treatment information is essential for robust causal estimation in such settings. 9. Conclusion Advances in text generation via LLMs and Sparse Autoen- coders (SAEs) offer a transformative opportunity for so- cial science research. However, the utility of these models has been limited by the difficulty of identifying optimal steering features and the bias caused by the entanglment of treatments and covariate information. We address these fundamental challenges by introducing a comprehensive pipeline for hypothesis generation from labeled data, quasi- counterfactual text generation and a novel covariate resid- ualization methodology for causal effect estimation. We demonstrate both theoretically and empirically that we can isolate treatment effects and mitigate the bias that arise in text-as-treatment settings. Our results provide a rigorous new foundation for experimentation with latent treatments, shifting the paradigm from hand-crafted techniques to for- mal and controllable causal experimentation. Principal Component 1All Others0.40.20.00.20.4Accuracy Difference0123456|Bias| and RMSE0.00.20.40.60.81.01.21.4Density|Bias(CATE(X))||Bias(CATE(X))|RMSE(CATE(X))RMSE(CATE(X)) Causal Effect Estimation with Latent Textual Treatments Impact Statement This paper presents work whose goal is to provide social scientists with a new methodology for experimentation and causal effect estimation in text-as-treatment settings. We believe our work extends the existing toolkit available to researchers and can advance the understanding of causal relationships in fields such as economics, political science, business, and marketing. While the development of con- trolled text generation and causal estimation methods carries broader societal implications for areas such as personal- ization and targeting, we feel there are no specific conse- quences that warrant further highlighting here beyond the general advancement of machine learning and its application to social science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