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Rethinking Metrics for Lexical Semantic Change Detection</w:t>
      </w:r>
    </w:p>
    <w:p>
      <w:r>
        <w:t>Authors: Roksana Goworek, Haim Dubossarsky</w:t>
      </w:r>
    </w:p>
    <w:p>
      <w:r>
        <w:t>Source: http://arxiv.org/abs/2602.15716v1</w:t>
      </w:r>
    </w:p>
    <w:p>
      <w:pPr>
        <w:pStyle w:val="Heading2"/>
      </w:pPr>
      <w:r>
        <w:t>Introduction</w:t>
      </w:r>
    </w:p>
    <w:p>
      <w:r>
        <w:t>Introduction Lexical Semantic Change Detection (LSCD) aims to automatically quantify how word meanings evolve over time through the analy- sis of diachronic text corpora (Tahmasebi and Dubossarsky, 2023). Recent shared tasks and benchmarks have established a standard eval- uation setting in which systems must deter- mine, for a given target word and two time periods, whether its meaning has changed and to what extent (Schlechtweg et al., 2020a, 2024). With the rise of contextualised lan- guage models, LSCD approaches have increas- ingly moved from static type-level represen- tations to usage-level embeddings, in which each occurrence of a target word is encoded (a) APD: average distance over all cross-corpus usage pairs. (b) PRT: cosine distance between corpus centroids. (c) AMD: nearest cross- corpus links (C1 → C2 in green, C2 → C1 in red). (d) SAMD: greedy one- to-one matching between cross-corpus usages. Figure 1: Illustrative schematic contrasting LSCD distance measures on usage embeddings from two corpora (blue: C1, yellow: C2). as a high-dimensional vector reflecting its lo- cal context (Martinc et al., 2020). Seman- tic change is then quantified by comparing the distributions of these usage embeddings across corpora, most commonly using seman- tic change metrics such as Average Pairwise Distance (APD) or distances between corpus- specific word prototypes (PRT) (Kutuzov and Giulianelli, 2020a). While these approaches achieve strong per- formance on benchmark datasets, the choice of semantic change metric implicitly encodes assumptions about what constitutes seman- tic change. Metrics such as APD and PRT aggregate information globally—either across all cross-corpus usage pairs or via a single centroid per corpus—which makes them well suited to capturing broad distributional shifts. This global aggregation can obscure localised phenomena, such as the emergence of a new sense, the disappearance of an older one, or changes affecting only a subset of usages whose occurrences might be too rare to notice. In this paper, we introduce Average Min- imum Distance (AMD) and its Symmet- ric variant SAMD, a pair of semantic change metrics based on usage-level nearest cross- corpus correspondence. For each usage in one corpus, AMD measures the distance to its clos- est counterpart in the other corpus and aver- ages these minimum distances in both direc- tions, while SAMD further enforces a one-to- one alignment between usage instances across periods. This formulation is grounded in the intuition that semantic change is reflected in how well individual usages from one corpus can be matched to semantically similar usages in another, rather than solely in how far two usage distributions are on average. As illus- trated in Figure 1, AMD and SAMD empha- sise local correspondence between usages and naturally capture usage-level changes. AMD permits a directional decomposition, distinguishing how well earlier-corpus usages are explained by later-corpus usages and vice versa. This makes it possible to analyse asym- metric changes such as broadening/narrowing or sense emergence and disappearance. More- over, because AMD and SAMD rely on usage- level correspondences rather than global distri- butional geometry, they can be applied more meaningfully in reduced or restructured repre- sentation spaces. Our experiments show that AMD and SAMD provide robust and complementary al- ternatives to existing semantic change metrics, particularly when embeddings are projected into lower-dimensional spaces, or when non- specialised encoders are used. We release code, results, and generated definitions to repro- duce our experiments and construct definition- based spaces.1 2 Related Work 2.1 Semantic change metrics for LSCD Early work on LSCD was developed in the context of static word embeddings, where a word is represented by a single vector per cor- pus (Kim et al., 2014; Hamilton et al., 2016a; Schlechtweg et al., 2019). In this setting, se- mantic change is naturally quantified by com- paring word representations across corpora. With the introduction of contextualised mod- els this paradigm was reintroduced using PRT, which averages the representations of all us- ages of a particular word, leaving a single vec- tor for subsequent analysis as in static models. In contrast, global-distribution-based met- rics such as Average Pairwise Distance (APD) are motivated by the availability of con- textualised usage embeddings and explic- itly compare distributions of individual word occurrences across corpora (Kutuzov and Giulianelli, 2020b; Kutuzov et al., 2022b). By exploiting the richer structure of con- textualised representations, APD extends prototype-based approaches and has become a standard usage-level semantic change metric in contemporary LSCD benchmarks, usually at the top of the leader-board (Periti and Tah- masebi, 2024). 2.2 Robustness and discovery-oriented LSCD Recent work has raised concerns about whether strong benchmark performance trans- lates into reliable semantic-change</w:t>
      </w:r>
    </w:p>
    <w:p>
      <w:pPr>
        <w:pStyle w:val="Heading2"/>
      </w:pPr>
      <w:r>
        <w:t>Conclusion</w:t>
      </w:r>
    </w:p>
    <w:p>
      <w:r>
        <w:t>contextualised embedding-based semantic change detection. Limitations While our experiments show that APD and PRT degrade more sharply than AMD and SAMD under dimensionality reduction, and we offer hypothetical explanations for this trend, we do not provide a mechanistic ac- count of the underlying causes. Understand- ing how different semantic change metrics in- teract with embedding geometry and variance structure remains an open question. Although AMD and SAMD are more com- patible with reduced and interpretable rep- resentation spaces, the metrics themselves yields scalar change scores (or two directional scalars), which are not directly interpretable on their own. Our robustness analysis is limited to differ- ent types of dimensionality reduction. We do not explore the behaviour of these metrics un- der other forms of embedding manipulation, such as noise injection, domain-adaptive fine- tuning, or alternative normalization and align- ment procedures. All definitions used in this work are gen- erated using a single large language model (Gemini 2.5 Pro) with a fixed prompting strat- egy. While this ensures consistency across languages and experiments, variation in the quality, granularity, or coverage of the gen- erated definitions may influence the resulting definition-based spaces and, in turn, the per- formance of AMD when paired with them. We do not evaluate the sensitivity of our results to alternative LLMs, prompting strategies, or numbers of generated definitions, and future work could explore how such factors affect the stability and interpretability of definition- based semantic change analysis. While we evaluate AMD across multiple lan- guages and encoders, our analysis is restricted to existing LSCD datasets with curated target words and gold change scores. The extent to which AMD facilitates lexical semantic change discovery, or interpretable analysis remains to be investigated. 7 Acknowledgments We are grateful to Giacomo De Luca for his insightful feedback and suggestions. This work has in part been funded by the re- search program Change is Key! supported by Riksbankens Jubileumsfond (under reference number M21-0021).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