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Content-Based Framework for Cybersecurity Refusal Decisions in Large Language Models</w:t>
      </w:r>
    </w:p>
    <w:p>
      <w:r>
        <w:t>Authors: Meirav Segal, Noa Linder, Omer Antverg, Gil Gekker, Tomer Fichman, Omri Bodenheimer, Edan Maor, Omer Nevo</w:t>
      </w:r>
    </w:p>
    <w:p>
      <w:r>
        <w:t>Source: http://arxiv.org/abs/2602.15689v1</w:t>
      </w:r>
    </w:p>
    <w:p>
      <w:pPr>
        <w:pStyle w:val="Heading2"/>
      </w:pPr>
      <w:r>
        <w:t>Introduction</w:t>
      </w:r>
    </w:p>
    <w:p>
      <w:r>
        <w:t>Recent advancements in the cyber capabilities of Large Language Models (LLMs) (Ferrag et al., 2024) have led to their increased use in both cyber defense and malicious offensive activities (Xbow, 2025; Anthropic, 2025c). These capabilities lower barriers to attacks that traditionally required substantial human effort or expertise, enabling scalable activities such as personalized spear-phishing, automated vulnerability discovery, and exploit development (Lukoˇsi¯ut˙e and Swanda, 2025; Rodriguez et al., 2025). As access to these capabilities expands, attacks are expected to grow in scale and severity, including impacts on critical systems that may cause economic harm or physical harm. These risks are particularly pronounced for LLM-based AI agents, which can plan, test, and execute multi-stage cybersecurity tasks (Yao et al., 2023; Shao et al., 2025; Abramovich et al., 2025; Strix Contributors, 2024; Anthropic, 2025c).</w:t>
        <w:br/>
        <w:br/>
        <w:t>To mitigate these risks, frontier AI developers deploy safeguards: technical interventions intended to prevent models from producing harmful information or actions (Dong et al., 2024). Common approaches involve training models or auxiliary systems to refuse or classify harmful requests according to explicit or implicit policies (Guan et al., 2024; Anthropic, 2025a; Wen et al., 2025). While these methods improve safety, refusal mechanisms can be both over-restrictive—blocking</w:t>
        <w:br/>
        <w:br/>
        <w:t>∗Equal contribution. †Work done while at Irregular. ‡Correspondence to: noa@irregular.com</w:t>
      </w:r>
    </w:p>
    <w:p>
      <w:pPr>
        <w:pStyle w:val="Heading2"/>
      </w:pPr>
      <w:r>
        <w:t>Conclusion</w:t>
      </w:r>
    </w:p>
    <w:p>
      <w:r>
        <w:t>We address the challenge of governing dual-use cybersecurity capabilities in frontier AI systems, where the same assistance can support both benign uses and misuse. We argue that simple topicbased refusal policies are insufficient for this domain and propose a structured framework for evaluating prompts along multiple dimensions relevant to offense–defense trade-offs. Rather than prescribing a single policy, the framework is intended to support diverse refusal strategies aligned with different risk tolerances and deployment contexts. We hope this work initiates broader discussion within the AI Safety and AI Security communities, as principled approaches to refusal policy design for cybersecurity have received limited prior attention. As AI capabilities advance, developing transparent and adaptable methods for dual-use governance will become increasingly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