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Relative Geometry of Neural Forecasters: Linking Accuracy and Alignment in Learned Latent Geometry</w:t>
      </w:r>
    </w:p>
    <w:p>
      <w:r>
        <w:t>Authors: Deniz Kucukahmetler, Maximilian Jean Hemmann, Julian Mosig von Aehrenfeld, Maximilian Amthor, Christian Deubel, Nico Scherf, Diaaeldin Taha</w:t>
      </w:r>
    </w:p>
    <w:p>
      <w:r>
        <w:t>Source: http://arxiv.org/abs/2602.15676v1</w:t>
      </w:r>
    </w:p>
    <w:p>
      <w:pPr>
        <w:pStyle w:val="Heading2"/>
      </w:pPr>
      <w:r>
        <w:t>Introduction</w:t>
      </w:r>
    </w:p>
    <w:p>
      <w:r>
        <w:t>Introduction Neural forecasters— recurrent neural networks (RNNs), transformers, and reservoirs are now routinely de- ployed to model complex, time-evolving phenomena across science and engineering. While forecasting per- formance is well studied, the geometry of learned propagated latent states—and how it varies across model ∗Equal contribution. †Equal supervision. ‡A shorter companion version of this work appears in the GTML (Geometry, Topology, and Machine Learning) 2025 workshop. 1 Published in Transactions on Machine Learning Research (02/2026) families—remains underexplored. As their use widens, it becomes essential to understand how these fore- casters internally represent dynamical systems and whether those internal mechanisms align with human goals such as stability, interpretability, and transfer. A persistent obstacle is that latent spaces learned by different runs or model families are not directly comparable: coordinates can rotate, scale, shear, or even undergo more subtle geometric shifts with negligible effect on task loss but large effects on representational geometry. As a result, naive cross-model comparisons can be unstable and inconclusive (Figure 1 absolute latents). Existing alignment tools only partially address this issue. Representational Similarity Analysis (RSA) (Kriegeskorte et al., 2008) captures pairwise relational structure but remains sensitive to the geometry of the distance matrix and sampling effects; Procrustes alignment assumes an approximately isometric map between spaces and often requires careful pairing; Centered kernel alignment (CKA) Kornblith et al. (2019) improves robustness to some transformations, but can still depend on dataset sampling, layer scaling, and kernel choices. Collectively, these limitations complicate systematic studies of how different model families encode dynamics and how those encodings relate to forecasting performance. We reuse a geometry-agnostic alternative based on relative embeddings Moschella et al. (2023): anchor- based, extrinsic representations that index each point by its vector of similarities to a fixed set of anchors. By construction, these representations quotient out global rotations and scalings, are straightforward to compute, and yield a common coordinate system in which latent spaces from different seeds, layers, and model families can be compared directly. We apply this approach for an empirical analysis of encoder–propagator–decoder neural forecasters for dynamical systems. This perspective matters for two reasons. First, it enables us to quantify representational families of neu- ral forecasters—that is, which models converge to similar relational structures even when their raw latent geometries differ. Second, it links representation to utility: we find systematic patterns in how multilayer perceptrons, recurrent networks, transformers, and echo-state networks organize dynamical information, and show that our alignment signal carries practical information about forecasting accuracy. Notably, high pre- dictive accuracy can coexist with low cross-forecaster alignment—especially in transformers—highlighting a gap between performance and representational agreement that standard metrics overlook. By aligning latent spaces through anchor-based relative embeddings, we expose reproducible family-level geometry across fore- casters and offer a reproducible framework for studying how neural networks internalize dynamical structure. We evaluate three neural model families—multilayer perceptrons (MLPs), recurrent neural networks (RNNs), and transformers (TF)—together with their Koopman- (K-) and Neural Ordinary Differential Equation (NODE, N-)–augmented variants, and an Echo State Network (ESN) as a no–backpropagation-through- time (no-BPTT) reference model. Code is available at https://github.com/denizkucukahmetler/ relative-geometry-neural-forecasting. Contributions. • We reuse the relative-embedding alignment framework of Moschella et al. (2023) to neural forecast- ing of dynamical systems, yielding geometry-agnostic, anchor-based latent representations that are directly comparable across forecasters. Within this framework, we train forecasters end-to-end on relative representations and demonstrate cross-family latent stitching between MLP and transformer encoders and decoders. • We conduct an extensive empirical study spanning seven canonical systems (continuous and discrete; periodic, quasi-periodic and chaotic) and three model families and a no-BPTT baseline. • We uncover consistent family-level alignment patterns and characterize their relationship to forecast- ing error. We show that high predictive accuracy can coexist with low alignment—most prominently in transformers and ESNs—highlighting the limits of task loss alone and motivating representation- aware evaluation. Together, these results suggest that anchor-based relative embeddings provide a simple, scalable basis for reproducible representation science in neural forecasting, enabling more faithful comparisons across seeds, 2 Published in Transactions on Machine Learning Research (02/2026) layers, and model families and offering new insights into how different model families internalize dynamical structure. Scope clarification. Throughout this work, alignment with the “true system” refers exclusively to align- ment with the relative representation of observed trajectories under a shared anchor set, not to recovery of the system’s governing equations, physical state variables, or dynamical invariants. Learning objective and interpretation. All models in this study are trained solely to minimize forecast- ing loss. Representational alignment is used as an analysis tool, not as an assumed or</w:t>
      </w:r>
    </w:p>
    <w:p>
      <w:pPr>
        <w:pStyle w:val="Heading2"/>
      </w:pPr>
      <w:r>
        <w:t>Conclusion</w:t>
      </w:r>
    </w:p>
    <w:p>
      <w:r>
        <w:t>benefit from alignment-guided ensembling and forecaster monitoring. More broadly, integrating representational alignment into training and evaluation may help unify geometric, statistical, and dynamical perspectives on learning in neural systems. Our findings show that neural forecasters develop reproducible, family-specific representational geometries that can diverge despite similar forecasting accuracy. This dissociation underscores the need for evaluation metrics that go beyond task performance and capture the geometry of learned latent geometry. By aligning latent spaces through anchor-based relative embeddings, we provide a simple and reproducible approach to study how different model families internalize structure in time-evolving systems. Relative geometry offers a compact, interpretable, and reproducible lens on learned representations—one that may help bridge analyses of artificial and biological neural systems. 7 Broader Impact Statement This work is methodological and focuses on analyzing learned representations in neural forecasters rather than developing deployable prediction systems. In addition to canonical dynamical benchmarks, we include a preliminary analysis on open, de-identified intracranial EEG (iEEG) recordings, using the dataset solely as a testbed for representation analysis in a high-dimensional real-world setting. The study does not aim to perform clinical inference, diagnosis, or intervention, and all human-related data are observational and ethically released. A key limitation is that representational alignment should not be interpreted as evidence of model correct- ness, causal validity, or recovery of true neural dynamics. Overall, the work presents low societal risk and contributes tools for understanding and comparing internal representations in neural and scientific time-series models beyond task performance alone. 8 Funding Computational resources were provided by the Max Planck Computing and Data Facility (MPCDF). D.K. was supported by the DAAD project SECAI (project no. 57616814), funded by the German Federal Ministry of Research, Technology and Space (BMFTR). N.S. was supported by BMFTR through ACONITE (grant no. 16IS22065) and the Center for Scalable Data Analytics and Artificial Intelligence (ScaDS.AI) Leipzig, as well as by the European Union and the Free State of Saxony through BIOWIN.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