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Latency-aware Human-in-the-Loop Reinforcement Learning for Semantic Communications</w:t>
      </w:r>
    </w:p>
    <w:p>
      <w:r>
        <w:t>Authors: Peizheng Li, Xinyi Lin, Adnan Aijaz</w:t>
      </w:r>
    </w:p>
    <w:p>
      <w:r>
        <w:t>Source: http://arxiv.org/abs/2602.15640v1</w:t>
      </w:r>
    </w:p>
    <w:p>
      <w:pPr>
        <w:pStyle w:val="Heading2"/>
      </w:pPr>
      <w:r>
        <w:t>Introduction</w:t>
      </w:r>
    </w:p>
    <w:p>
      <w:r>
        <w:t>INTRODUCTION Semantic communication (SemCom) shifts the design fo- cus from bit-level fidelity to task- or meaning-level utility, transmitting only task-relevant information and enabling joint design of physical, link, and inference layers for improved spectral and energy efficiency as well as reduced latency [1]– [3]. Specifically, deep learning–based SemCom systems, often realized via joint source–channel coding (JSCC) [4], [5], have demonstrated strong robustness to channel impairments and performance gains. However, most existing designs treat semantic models as static once trained and therefore struggle to maintain alignment when wireless conditions, user prefer- ences, or task objectives evolve over time. From a service per- spective, adaptive mechanisms are essential to keep semantic fidelity aligned with user intent and application context. The rapid progress of generative AI and reinforcement learning from human feedback (RLHF) [6] underscores the value of learning directly from human preferences. Human- in-the-Loop Reinforcement Learning (HITL-RL) incorporates subjective feedback into the reward design and policy updates [7]. It has been successfully applied in robotics, preference learning, and controllable text generation, and has recently been advocated for SemCom to align models with user- perceived utility [8], [9]. Bringing HITL-RL into networked SemCom loops, however, lenges. introduces domain-specific chal- and In wireless latency-limited strict and links, timing constraints. systems, human feedback travels over semantic bandwidth- model updates must meet In point-to-multipoint deployments with heterogeneous users, feedback delays and reconfiguration latencies can render infeasible for a subset of otherwise beneficial updates users. Ignoring these temporal effects leads to per-user deadline violations and degraded quality of experience (QoE). Time-aware decision mechanisms are therefore required to couple semantic utility with the realities of scheduling and deployment. Meanwhile, the granularity of model updates (e.g., partial refresh vs. full retraining) should be carefully chosen to balance semantic gains against latency overhead. Constrained Markov decision processes (CMDPs) [10] pro- vide a principled way to enforce latency or safety budgets via Lagrangian or primal–dual methods [11]. Proximal Policy Optimization (PPO) [12], known for stability and sample efficiency, can be endowed with cost critics and dual vari- ables to form constrained PPO (PPO-C), and recent work has brought such RL ideas to RIC optimization [13], [14]. However, prior studies either focus on average QoS or resource slicing, without incorporating human preference signals or per- frame feasibility mechanisms as introduced here. In this work, we introduce a time-constrained HITL-RL framework for semantic adaptation in point-to-multipoint set- tings. We formulate semantic adaptation as a CMDP with per- user deadline budgets and latency-aware reward shaping, and we solve it with a primal–dual PPO algorithm augmented with an action shield that enforces instantaneous feasibility during both training and deployment. To our knowledge, this is among the first integrations of HITL-RL with SemCom under explicit real-time constraints, bridging preference-driven learning with implementable timing control. The main contributions are: • Latency-aware CMDP. We couple human-aligned se- mantic utility with near-RT RIC budgets and per-user deadlines, yielding a tractable CMDP abstraction for semantic broadcasting under latency guarantees. • TC-PPO with shielding. A primal–dual PPO variant with cost critics, adaptive multipliers, and an action shield enforces both average and instantaneous feasibility. • Implementation and evidence. We map the framework to an NR-like slot structure and show on JSCC-enabled The reconstruction is assessed through a task loss ℓi(ˆxi,t, xt) and its complementary quality score qi,t = 1 − ℓi(ˆxi,t, xt), which is reported to the near-RT RIC. B. Human Feedback Acquisition UE-side human evaluators send scalar or vector feedback Fi,t through uplink control or data bearers configured by the gNB. The specific PHY channels used for this purpose depend on deployment choices and are therefore abstracted in this study. Our focus is on how the near-RT RIC acquires, aggregates, and exploits the feedback received at the gNB. Within the Open RAN framework, the SMO and near-RT RIC modules fuse these signals and map them into normalized preference scores, ˜Ui,t = (1 − ηi) Ui(qi,t, pi,t) + ηi Hpref (Fi,t), (4) where Ui encodes objective task KPIs pi,t (e.g., detection accuracy) and Hpref captures subjective satisfaction, while ηi ∈ [0, 1] balances machine and human inputs. The near- RT RIC maintains an exponentially weighted moving aver- age, ¯Ui,t+1 = (1 − αi) ¯Ui,t + αi ˜Ui,t, with smoothing factor αi ∈ (0, 1], which becomes part of the RL state and anchors long-term semantic alignment. C. Latency Budget Decomposition Executing an adaptation action at ∈ U, ranging from lightweight decoder-statistic refreshes, through mid-tier fea- ture refinement, to full retraining, cached rollback, or a no- operation (NoOp), triggers an operation sequence in</w:t>
      </w:r>
    </w:p>
    <w:p>
      <w:pPr>
        <w:pStyle w:val="Heading2"/>
      </w:pPr>
      <w:r>
        <w:t>Conclusion</w:t>
      </w:r>
    </w:p>
    <w:p>
      <w:r>
        <w:t>visibly tighter bands, indicating that enforcing latency constraints also stabilises near-RT compute demand. To quantify deployment stability of each agent, Fig. 4 plots the metrics aggregated 30 inference episodes after training and log the per-episode metrics and visualizes their variability. TC- PPO matches the reward of PPO at both user densities while keeping air-interface and RIC overhead within comparable or tighter dispersion bands; all episodes satisfy the deadline constraints (hit rate = 1). DQN and Random deliver lower re- ward/utility while the former expends resource budgets similar to TC-PPO because of the minimum-service regulariser.These results confirm that TC-PPO attains the semantic benefit of PPO with predictable resource usage during deployment. Ablation study. We further dissect the framework by disabling four key components: (i) removing the safety shield and rely- ing solely on the average CMDP constraints, (ii) removing the cost critics so that timing penalties are injected directly into the reward, (iii) freezing the dual multipliers to a constant penalty, and (iv) reversing the shield fallback order (Light→Feat→Full). Fig. 5 summarises the evaluation-phase averages (five seeds, N = 8). Eliminating the shield notably reduces communica- tion/RIC budgets but yields the lowest reward because the dual controller alone cannot prevent aggressive updates. Penalty- only learning converges but exhibits higher resource variance than the dual formulation, whereas fixed multipliers over- constrain the policy. Reversing the shield order prioritises lightweight updates and trades reward for reduced overhead, 0200400600800Iteration406080100Cumulative reward per rolloutDQNPPORandomTCPPO0200400600800Iteration150175200225250275Cumulative reward per rolloutDQNPPORandomTCPPO0200400600800Iteration0.51.01.52.02.5Avg comm overhead (ms/frame)DQNPPORandomTCPPO0200400600800Iteration0.40.60.81.01.2RIC processing (ms/frame)DQNPPORandomTCPPO0200400600800Iteration0.51.01.52.02.53.0Avg comm overhead (ms/frame)DQNPPORandomTCPPO0200400600800Iteration0.40.60.81.01.21.4RIC processing (ms/frame)DQNPPORandomTCPPO (a) (b) Fig. 4: Inference-phase variability across 30 evaluation episodes (mean, SE, and 95th percentile). (a) Communication and RIC resource dispersion; (b) reward and utility. TC-PPO matches PPO’s reward while stabilizing resource usage. and primitive design. These findings suggest that principled CMDP control is a promising path toward deployable, latency- aware semantic communication. ACKNOWLEDGMENT This work is supported by the 6G-GOALS project under the 6G SNS-JU Horizon program, n.101139232.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