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Certified Per-Instance Unlearning Using Individual Sensitivity Bounds</w:t>
      </w:r>
    </w:p>
    <w:p>
      <w:r>
        <w:t>Authors: Hanna Benarroch, Jamal Atif, Olivier Cappé</w:t>
      </w:r>
    </w:p>
    <w:p>
      <w:r>
        <w:t>Source: http://arxiv.org/abs/2602.15602v1</w:t>
      </w:r>
    </w:p>
    <w:p>
      <w:pPr>
        <w:pStyle w:val="Heading2"/>
      </w:pPr>
      <w:r>
        <w:t>Introduction</w:t>
      </w:r>
    </w:p>
    <w:p>
      <w:r>
        <w:t>Modern machine learning systems increasingly operate under regulatory and contractual constraints that require the post-hoc removal of individual training examples, for instance in the context of the “right to be forgotten” (Marino et al., 2025). The gold standard is to retrain the model from scratch on the dataset with the target example removed, but such retraining is often computationally infeasible in practice. Machine unlearning seeks to approximate the effect of retraining at a substantially lower cost, either by enforcing exact equivalence with retraining (exact unlearning) (Cao and Yang, 2015) or by matching the retrained</w:t>
        <w:br/>
        <w:br/>
        <w:t>∗Corresponding author: hanna.benarroch@ens.psl.eu</w:t>
        <w:br/>
        <w:br/>
        <w:t>model only in distribution (approximate unlearning) (Ginart et al., 2019; Sekhari et al., 2021). We focus on approximate unlearning.</w:t>
        <w:br/>
        <w:br/>
        <w:t>We further restrict attention to certified unlearning, where deletion procedures are accompanied by explicit, provable guarantees. Such guarantees are naturally connected to differential privacy (DP), which quantifies how the output distribution of a randomized mechanism changes when a single training point is removed. While DP provides a natural language for reasoning about certified deletion, its guarantees do not directly transfer to the unlearning setting.</w:t>
        <w:br/>
        <w:br/>
        <w:t>A first mismatch concerns the notion of adjacency. Differential privacy allows either removing or substituting a data point, whereas unlearning compares training to retraining the model as if a given point had never been part of the dataset. Substitution-based adjacency therefore lacks a natural interpretation for unlearning, although it is sometimes used for technical convenience (e.g., Chien et al., 2024).</w:t>
        <w:br/>
        <w:br/>
        <w:t>The most important difference, however, lies in the nature of the guarantee itself. Differential privacy certifies a mechanism a priori, uniformly over all datasets and all data points. Unlearning, by contrast, is inherently post-hoc: it targets a specific trained model, a specific dataset, and a specific data point whose deletion is requested.</w:t>
        <w:br/>
        <w:br/>
        <w:t>First, this post-hoc nature affects how unlearning guarantees should be defined. While many existing approaches compare unlearning to a full retraining oracle (Ginart et al., 2019; Neel et al., 2021; Guo et al., 2020; Koloskova et al., 2025; Mu and Klabjan,</w:t>
      </w:r>
    </w:p>
    <w:p>
      <w:pPr>
        <w:pStyle w:val="Heading2"/>
      </w:pPr>
      <w:r>
        <w:t>Conclusion</w:t>
      </w:r>
    </w:p>
    <w:p>
      <w:r>
        <w:t>In this work, we propose a point-dependent view of certified machine unlearning, which allows the noise calibration to depend on the specific data point being removed. We find this perspective particularly relevant, as it leads to a credible unlearning procedure in the ridge regression model, in contrast to uniform worst-case calibration that results in a severe loss of accuracy after unlearning.</w:t>
        <w:br/>
        <w:br/>
        <w:t>Our theoretical guarantees rely on training dynamics exhibiting a form of contraction, which is essential for the trajectory-level GDP accounting. This assumption is satisfied for strongly convex and smooth objectives, such as ridge regression, but generally does not hold for end-to-end deep networks, even when using gradient clipping. This being said, the linear case already corresponds to a concrete and practically relevant use case, since linear models naturally arise when only the final prediction head of a neural network is trained, while the feature extractor is kept fixed.</w:t>
        <w:br/>
        <w:br/>
        <w:t>Despite this theoretical limitation, our experiments on non-linear models reveal large variations in effective privacy levels across data points under identical unlearning noise. In particular, the variability in ˆεi values is of the same order of magnitude as the variability observed in per-instance unlearning noise for ridge regression. This suggests that heterogeneous unlearning difficulty is not confined to the convex linear setting and motivates the development of principled per-instance guarantees for more general training dynamics.</w:t>
        <w:br/>
        <w:br/>
        <w:t>Broader Impact</w:t>
        <w:br/>
        <w:br/>
        <w:t>This work contributes to the study of machine unlearning, with the goal of enabling reliable post-hoc data deletion without full retraining. Such capabilities are relevant for privacy regulation compliance, data governance, and user control over personal data in deployed machine learning systems. Overall, we expect this work to support the development of more</w:t>
        <w:br/>
        <w:br/>
        <w:t>accountable and interpretable unlearning mechanisms, rather than enabling new forms of misuse.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