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ExpertWeaver: Unlocking the Inherent MoE in Dense LLMs with GLU Activation Patterns</w:t>
      </w:r>
    </w:p>
    <w:p>
      <w:r>
        <w:t>Authors: Ziyu Zhao, Tong Zhu, Zhi Zhang, Tiantian Fan, Jinluan Yang, Kun Kuang, Zhongyu Wei, Fei Wu, Yu Cheng</w:t>
      </w:r>
    </w:p>
    <w:p>
      <w:r>
        <w:t>Source: http://arxiv.org/abs/2602.15521v1</w:t>
      </w:r>
    </w:p>
    <w:p>
      <w:pPr>
        <w:pStyle w:val="Heading2"/>
      </w:pPr>
      <w:r>
        <w:t>Introduction</w:t>
      </w:r>
    </w:p>
    <w:p>
      <w:r>
        <w:t>Introduction 6 2 0 2 b e F 7 1 ] L C . s c [ 1 v 1 2 5 5 1 . 2 0 6 2 : v i X r a (MoE) effectively scales Mixture-of-Experts model capacity while preserving computational efficiency through sparse expert activation. How- ever, training high-quality MoEs from scratch is prohibitively expensive. A promising alternative is to convert pretrained dense models into sparse MoEs. Existing dense-to-MoE methods fall into two categories: dynamic structural pruning that converts dense models into MoE architec- tures with moderate sparsity to balance perfor- mance and inference efficiency, and downcy- cling approaches that use pretrained dense mod- els to initialize highly sparse MoE architectures. However, existing methods break the intrinsic ac- tivation patterns within dense models, leading to suboptimal expert construction. In this work, we argue that the Gated Linear Unit (GLU) mech- anism provides a natural blueprint for dense- to-MoE conversion. We show that the fine- grained neural-wise activation patterns of GLU reveal a coarse-grained structure, uncovering an inherent MoE architecture composed of consis- tently activated universal neurons and dynam- ically activated specialized neurons. Leverag- ing this discovery, we introduce ExpertWeaver, a training-free framework that partitions neurons according to their activation patterns and con- structs shared experts and specialized routed ex- perts with layer-adaptive configurations. Our ex- periments demonstrate that ExpertWeaver signif- icantly outperforms existing methods, both as a training-free dynamic structural pruning tech- nique and as a downcycling strategy for superior MoE initialization. 1Zhejiang University Institute 3Shanghai AI Laboratory 4Bytedance Seed 5Fudan Univer- sity 6Chinese University of Hong Kong. Correspondence to: Ziyu Zhao &lt;benzhao.styx@gmail.com&gt;. 2Shanghai Innovation Preliminary work. 1 The Mixture-of-Experts (MoE) architecture effectively ex- pands model capacity while maintaining efficiency by ac- tivating only sparse subsets of experts. However, train- ing MoE models from scratch is rather expensive, driving growing interest in converting pretrained dense models into sparse MoE architectures. These efforts can be broadly cat- egorized into two distinct lines of research based on target sparsity and objectives. The first one is Dynamic Structural Pruning, which converts dense models into MoE architec- tures with moderate sparsity (e.g., 25%) to balance perfor- mance and efficiency (Gao et al., 2025; Pei et al., 2025; Nishu et al., 2025; Zheng et al., 2024). The second category is Downcycling (versus upcycling that expands models (He et al., 2024; Komatsuzaki et al., 2022)), which initializes highly sparse MoEs (75%+ sparsity) by splitting pretrained dense MLPs into smaller experts, avoiding the prohibitive costs of training sparse MoEs from scratch (Zhang et al., 2022b; Zhu et al., 2024; Qu et al., 2024). However, exist- ing methods break the inherent activation patterns, neces- sitating additional router training, and ignore layer-specific differences, leading to suboptimal expert construction. The detailed related work is shown in Appendix D. In this work, we argue that the key to overcoming these lim- itations lies in the GLU mechanism (Shazeer, 2020), which provides a natural blueprint for dense-to-MoE conversion by revealing the model’s intrinsic functional structure. The GLU mechanism employs additional gating weights to dy- namically control neuron activations based on the input context, providing meaningful indicators of each neuron’s role and importance for effective MoE expert construction. Our analysis of the GLU mechanism in §2.2 yields key in- sights that serve as the cornerstone of our method. Firstly, GLU gating signals naturally induce token-level activation sparsity (Takeaway 1). Moreover, these patterns reveal both universal neurons ideal for a shared expert and task- specific clusters suitable for routed experts (Takeaways 2 &amp; 3). Additionally, by quantifying neuron specialization with the Coefficient of Variation (CV), we find that the dis- tribution of universal versus specialized neurons varies sys- tematically across layers, indicating that different layers ExpertWeaver: Unlocking the Inherent MoE in Dense LLMs with GLU Activation Patterns Figure 1. Neuron activation patterns across diverse tasks. We visualize the middle layer’s activation patterns from Qwen2.5-7B on a subset of Flan-v2. a) Activation distribution of neurons across different tasks. b) Activation distribution of neurons within individual task clusters, where tasks belonging to the same cluster are enclosed in boxes. require different expert configurations rather than a one- size-fits-all approach (Takeaway 4). Together, these ob- servations provide a complete blueprint for constructing a coarse-grained, expert-level MoE architecture from fine- grained, neural-level GLU activations. • We systematically analyze GLU activation patterns in dense LLMs and find that their fine-grained activation patterns exhibit structural properties that provide a natu- ral blueprint for constructing MoEs with coarse-grained activation. Based on these findings, we propose ExpertWeaver, a</w:t>
      </w:r>
    </w:p>
    <w:p>
      <w:pPr>
        <w:pStyle w:val="Heading2"/>
      </w:pPr>
      <w:r>
        <w:t>Conclusion</w:t>
      </w:r>
    </w:p>
    <w:p>
      <w:r>
        <w:t>knowledge of the dense model during conversion. A Direct Comparison of Downcycling, Upcycling, and From-Scratch Training. To provide a fairer compari- 8 son and demonstrate the effectiveness of ExpertWeaver, we used OLMo-1.3B (pre-trained on 1T tokens) as the base model for our downcycling process. For direct contrast, we also performed sparse upcycling (Muennighoff et al., 2024), training a 575M OLMo model for 1T tokens to yield a 1.3B OLMoE model (with 676M activated parameters). Both our downcycling method and the upcycling approach are compared against a baseline trained from scratch. De- tailed model configurations are provided in Appendix K. As illustrated in Figure 4, which plots the training loss, evaluation loss, and downstream task performance, the re- sults lead to several key observations. Initially, both the downcycling and upcycling strategies exhibit faster con- vergence compared to the from-scratch baseline. How- ever, over a longer training period, the performance of the upcycled model regresses toward that of the from-scratch baseline. In contrast, our downcycling approach with Ex- pertWeaver consistently achieves the best performance and convergence, maintaining its superiority throughout the en- tire training process. By inheriting a richer feature space from a larger model and avoiding parameter duplication, downcycling offers more diverse experts and a higher opti- mization ceiling than weight-duplicating upcycling, which risks local optima. 5. Conclusion In this paper, we investigate the problem of converting dense models into high-performance MoEs. We show that GLU activation patterns provide a rich source for identify- ing latent neuron specialization, which naturally enables ef- fective expert construction. Based on this observation, we introduce ExpertWeaver, a training-free method that parti- tions neurons into shared and routed experts in a layer-wise manner based on their activation patterns. Experiments demonstrate that ExpertWeaver significantly outperforms existing methods in both zero-shot pruning for inference efficiency and MoE initialization for model downcycling. 10002000300040005000Step2.002.252.502.753.003.253.503.754.00lm lossRandom InitLlama MoE InitOurs ExpertWeaver: Unlocking the Inherent MoE in Dense LLMs with GLU Activation Patterns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