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Geometry of Alignment Collapse: When Fine-Tuning Breaks Safety</w:t>
      </w:r>
    </w:p>
    <w:p>
      <w:r>
        <w:t>Authors: Max Springer, Chung Peng Lee, Blossom Metevier, Jane Castleman, Bohdan Turbal, Hayoung Jung, Zeyu Shen, Aleksandra Korolova</w:t>
      </w:r>
    </w:p>
    <w:p>
      <w:r>
        <w:t>Source: http://arxiv.org/abs/2602.15799v1</w:t>
      </w:r>
    </w:p>
    <w:p>
      <w:pPr>
        <w:pStyle w:val="Heading2"/>
      </w:pPr>
      <w:r>
        <w:t>Introduction</w:t>
      </w:r>
    </w:p>
    <w:p>
      <w:r>
        <w:t>Introduction Fine-tuning a language model on a dataset of math problems breaks its safety guardrails [12]. Training on creative writing examples erodes medical advice safeguards [1, 64]. Adapting for code generation compromises refusal mechanisms [6]. These are not hypothetical risks—they are documented, reproducible phenomena that occur even when fine-tuning datasets contain no harmful content and developers have no adversarial intent [6, 24, 25, 44]. The central puzzle of alignment preservation is thus: Why does adapting a model for one capability seemingly unpredictably degrade unrelated safety properties? The question is urgent because fine-tuning has become the dominant paradigm for deploying language models. In domains where technical expertise, compute resources, and specialized data are limited, fine-tuning open weight models represents the primary path to leverage AI capabilities for practitioners. The ecosystem of open-weight models has expanded rapidly [7, 9, 10, 31, 40], enabling innovation but also creating vulnerability. Current defenses are largely reactive, targeting specific attack patterns [18] or imposing first-order gradient constraints [16, 39, 65] 1 Figure 1: Local alignment instability under fine-tuning dynamics. An illustrative loss landscape showing a fine-tuning trajectory (black arrow) evolving near a ridge separating basins of low alignment utility. Although the initial gradient direction is nearly tangent to the ridge, induced acceleration toward a high-curvature alignment-sensitive direction (red/blue arrow), leads to departure. that easily break even without adversarial intent [26, 63]. Without understanding the underlying mechanisms of alignment degradation, we cannot build robust safeguards. The Paradox of High-Dimensional Orthogonality. Empirical evidence reveals a striking pattern: alignment appears to reside in a small subspace of the parameter space. [60] demonstrates that pruning just 3% of specific weights triggers catastrophic safety collapse, while removing similar proportions of weights from other parts of the model leaves its capabilities intact. We call these directions alignment-sensitive: parameter updates along them degrade safety, while updates in orthogonal directions should preserve it. This suggests alignment is governed by a low-dimensional set of sensitive directions. In a model with billions of parameters, standard geometric intuition predicts that fine-tuning updates for unrelated tasks should be nearly orthogonal to these directions, thus, safe [5, 35]. Yet degradation occurs frequently across diverse tasks and model families, exhibiting consistent patterns [6, 25, 44]. Existing theoretical frameworks do not fully resolve this paradox. Approaches based on data overlap [25, 26, 63] cannot fully explain why superficially similar tasks have vastly different safety impacts. First-order geometric constraints assume static sensitivity subspaces and fail to account for how fine-tuning trajectories evolve over time [5, 45]. Null-space methods [39, 65] presuppose we can identify and avoid alignment-sensitive directions but offer no explanation for why avoidance fails in practice. Our Contributions. We resolve this paradox by developing a theory of alignment degradation grounded in the curvature of trajectories in parameter space. Our key insight is that while initial fine-tuning updates may indeed be orthogonal to alignment-sensitive directions, this orthogonality is unstable under the dynamics of gradient descent. The curvature of the fine-tuning objective—captured by second-order terms in the loss landscape—systematically bends trajectories into alignment-sensitive subspaces, even when first-order updates point away from them. We formalize this mechanism through the Alignment Instability Condition (AIC), which identifies three interacting structural properties arising from the model’s geometry and the fine-tuning task. 1. Low-Rank Sensitivity: alignment for a given skill (or capability) concentrates in a small subspace with sharp curvature, characterized by the leading eigenvectors of the Fisher information matrix. 2. Initial Orthogonality: fine-tuning gradients for unrelated tasks have negligible first-order projection onto this subspace, creating the illusion of safety. 3. Curvature Coupling: second-order terms in the gradient flow induce nontrivial acceleration into the alignment- sensitive subspace, forcing trajectories to drift despite initial orthogonality. Under the AIC, we prove that alignment degradation is not merely possible, but structurally inevitable within the trust region of the aligned model. Our main theoretical results are: Theorem 1.1 (Informal Version of Theorem 6.1). Movement in the alignment-sensitive subspace 𝑀𝑖 ⊆ R𝑛 incurs quadratic utility loss, Ω(𝜆∥𝑃𝑖 (Δ𝜃 )∥2) where 𝜆 is the minimum curvature in 𝑀𝑖 and 𝑃𝑖 projects onto this subspace. 2 Theorem 1.2 (Informal Version of Theorem 6.2). Along gradient flow trajectories, 𝜃 (𝑡) where 𝜃 (0) = 𝜃 ∗, satisfying the AIC, projection on 𝑀𝑖 grows quadratically: ∥𝑃𝑖 (𝜃 (𝑡) − 𝜃 ∗)∥ = Ω(𝛾𝑡 2), where 𝛾 quantifies curvature coupling. The two main theorems combine to yield a quartic scaling law for alignment degradation within our utility-based framework (defined in Section 3). Corollary 1.3 (Informal Version of Corollary 6.3). Combining geometric loss with quadratic drift yields alignment</w:t>
      </w:r>
    </w:p>
    <w:p>
      <w:pPr>
        <w:pStyle w:val="Heading2"/>
      </w:pPr>
      <w:r>
        <w:t>Conclusion</w:t>
      </w:r>
    </w:p>
    <w:p>
      <w:r>
        <w:t>requires only the fine-tuning dataset and pre-computed FIM—no access to target evaluation sets or trained SAEs—making it applicable for prospective risk assessment before deployment. Table 1: Harmfulness Score (HS) across fine-tuning datasets Finetuning Dataset Qwen3-1.7B-Instruct LLaMA-3.2-3B-Instruct LoRA Full LoRA Full No Fine-tuning 1.24 1.11 Benign SamSum Alpaca Random 100 GSM8K Random 100 Seemingly Benign Alpaca Top 100 Risky Financial Advice Bad Medical Advice Harmful Pure Bad 2.07 2.68 3.63 3.15 3.94 3.92 4.55 2.15 2.92 3.42 3.68 3.78 3.86 3.98 1.10 1.31 1.10 1.18 4.71 2.46 4.89 1.77 1.76 1.38 3.70 3.82 3.65 4.51 8 Discussion &amp; Implications We have established that alignment degradation is an intrinsic geometric property of gradient-based fine-tuning, not an artifact of adversarial attacks or poor data curation. The AIC reveals why first-order defenses fail: while projecting updates into null spaces provides temporary protection, second-order curvature effects systematically bend trajectories back into sensitive subspaces. Our quartic scaling law explains the rapid onset of safety failures observed empirically and demonstrates that current defenses are fundamentally insufficient because they ignore the dynamic, curved geometry of the parameter space. Moreover, our framework enables practical diagnostic tools for safer fine-tuning. We propose that practitioners can estimate the coupling parameter 𝛾 before training to assess risk, monitor the projection size during training for early warning signals, and audit these values after training to quantify alignment degradation. More fundamentally, effective preservation of alignment requires curvature-aware methods that track evolving sensitive subspaces, constrain second-order acceleration into these regions, and balance competing curvature constraints across multiple alignment skills. Our results challenge the assumption that alignment preservation is primarily an engineering problem solvable 12 LLaMA-3.2-3B-InstrucLoRFulLoRFulQwen3-1.7B-Instruc through better data filtering. Instead, it is a fundamental question of geometric control in high-dimensional curved spaces, with profound implications for open-weight model deployment. The structural fragility we expose cannot be eliminated through pre-deployment alignment alone, requiring the community to reconsider whether current deployment paradigms are compatible with safety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