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Agents We Trust, but Who Do Agents Trust? Latent Source Preferences Steer LLM Generations</w:t>
      </w:r>
    </w:p>
    <w:p>
      <w:r>
        <w:t>Authors: Mohammad Aflah Khan, Mahsa Amani, Soumi Das, Bishwamittra Ghosh, Qinyuan Wu, Krishna P. Gummadi, Manish Gupta, Abhilasha Ravichander</w:t>
      </w:r>
    </w:p>
    <w:p>
      <w:r>
        <w:t>Source: http://arxiv.org/abs/2602.15456v1</w:t>
      </w:r>
    </w:p>
    <w:p>
      <w:pPr>
        <w:pStyle w:val="Heading2"/>
      </w:pPr>
      <w:r>
        <w:t>Introduction</w:t>
      </w:r>
    </w:p>
    <w:p>
      <w:r>
        <w:t>Large language model (LLM) based agents are increasingly being deployed as user-facing frontends on many online platforms (Wang et al., 2024; Yang et al., 2025; Mansour et al., 2025), such as news and social media sites (FT, 2024; Meta, 2025), e-commerce platforms (Amazon, 2024; Booking.com, 2024), or generic or specialized search engines (Google, 2024a;b). On these platforms, LLM agents interpose on interactions between users and the back-end information retrieval (i.e., search and recommendation) systems. As the LLMs process— i.e., filter, prioritize, and summarize— information retrieved from diverse sources on behalf of users, they effectively shape what information users ultimately receive and trust, raising concerns similar to those associated with other information-processing systems in recent years, such as issues of bias and fairness (Mitra &amp; Chaudhuri, 2000; Adomavicius &amp; Tuzhilin, 2005; Dong et al., 2008; Fan et al., 2022; Wang et al., 2023a). Thus, it is imperative that we understand the factors and the mechanisms that influence what information LLMs present to users.</w:t>
        <w:br/>
        <w:br/>
        <w:t>In this paper, we focus on a novel consideration that arises when designing trustworthy LLM agents: how does the latent parametric knowledge of LLMs about the real-world shape which information they privilege? Intuitively, we conjecture that beyond encoding factual knowledge about real-world entities, LLMs also capture collective perceptions of their brands. The brand of an entity, particularly that of an organization, or a product, or a service, refers to its public persona that encompasses visual and linguistic elements that identify the entity and the overall reputation, values, and experiences it evokes (Keller &amp; Lehmann, 2006).</w:t>
      </w:r>
    </w:p>
    <w:p>
      <w:pPr>
        <w:pStyle w:val="Heading2"/>
      </w:pPr>
      <w:r>
        <w:t>Conclusion</w:t>
      </w:r>
    </w:p>
    <w:p>
      <w:r>
        <w:t>Today, agents based on large language models are being used for a variety of applications, including recommending scientific literature, summarizing news stories, and enacting actions in the physical world on behalf of users, such as making purchasing decisions. In this work, we highlight that the underlying models driving these decisions may encode latent knowledge about the public perception of real-world entities that in turn impacts how the models process information about or from those entities. This impact manifests as the models’ latent preferences for those entities. Across several controlled and real world experimental settings, we find the existence of these preferences and show that: (1) source preferences can strongly influence LLM decision-making, sometimes completely overriding the effect of the content itself, (2) the preferences are contextual and nuanced, varying by model type, source representation and usage scenario, and (3) simple prompting-based strategies are often insufficient to override them, suggesting the need for more robust control methods. We do not take a prescriptive stance on whether these latent preferences are inherently desirable. In some settings, they could be beneficial, for instance, helping users prioritize high-quality sources while in others, they may inhibit unbiased discovery or skew perceptions of brands and information.</w:t>
        <w:br/>
        <w:br/>
        <w:t>These findings are of immediate practical importance. They suggest that large language models may already be making decisions for users which impose encoded preferences. This also impacts entities aiming for LLMs to reflect their brand in the way intended for human audiences. Therefore, examining how LLMs represent and operationalize brand-related knowledge is essential for designing trustworthy LLM agents. A principled understanding of these mechanisms can inform auditing practices, mitigation strategies, and system-level interventions aimed at ensuring that LLM-mediated information access is fair, transparent, and aligned with user interests rather than inadvertently amplifying historical visibility, market power, or reputational inertia. Consequently, it highlights the need for explicit controllability so that developers and users can understand and adjust the preferences shaping LLM behavior. Furthermore, these preferences could be manipulated and pose an unexplored security risk as models are increasingly deployed in the real world. For instance, bad actors could manipulate superficial aspects of their online content in order to be strongly preferred by LLMs when they make recommendations. While we identify and characterize this phenomenon, we do not determine its underlying causes. To our knowledge, this work is the first to document these hidden source preferences. Future work should both trace their fundamental origins and develop methods for better interventions and controllability, ultimately supporting transparent, user-aligned, and adaptable systems.</w:t>
        <w:br/>
        <w:br/>
        <w:t>ETHICS STATEMENT</w:t>
        <w:br/>
        <w:br/>
        <w:t>This study utilized publicly available datasets and as such poses no ethical concerns by itself. We, however, hope that the findings of our study draws the attention of the broader research community to potential trust and bias concerns with LLM agents increasingly being deployed on online platforms and the challenges with designing future LLM agents that address those concerns.</w:t>
        <w:br/>
        <w:br/>
        <w:t>REPRODUCIBILITY STATEMENT</w:t>
        <w:br/>
        <w:br/>
        <w:t>To ensure reproducibility of our results, all data, code, and execution environments are made publicly available. A detailed description of our LLM inference setup is provided in Appendix C, model details are presented under Appendix D, all prompts used are listed in Appendix G, and the response formats for structured outputs are listed in Appendix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