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Molecular Design beyond Training Data with Novel Extended Objective Functionals of Generative AI Models Driven by Quantum Annealing Computer</w:t>
      </w:r>
    </w:p>
    <w:p>
      <w:r>
        <w:t>Authors: Hayato Kunugi, Mohsen Rahmani, Yosuke Iyama, Yutaro Hirono, Akira Suma, Matthew Woolway, Vladimir Vargas-Calderón, William Kim, Kevin Chern, Mohammad Amin, Masaru Tateno</w:t>
      </w:r>
    </w:p>
    <w:p>
      <w:r>
        <w:t>Source: http://arxiv.org/abs/2602.15451v1</w:t>
      </w:r>
    </w:p>
    <w:p>
      <w:pPr>
        <w:pStyle w:val="Heading2"/>
      </w:pPr>
      <w:r>
        <w:t>Introduction</w:t>
      </w:r>
    </w:p>
    <w:p>
      <w:r>
        <w:t>Introduction In the field of drug discovery, efficiently designing molecular structures with optimal chemical properties and synthetic accessibility is a complex and important research area. Typical approaches such as iterating through the design and experiment cycle can only search a small region in a vast chemical space, where the number of synthesizable molecules of size acceptable for drugs is estimated to be over 1060 1. Machine learning and deep learning-based drug design can efficiently explore a wider region in such a huge chemical space. Actually, by applying recent achievements in deep learning and deep generative models, various deep generative models have been reported for molecules with desired chemical properties2,3. Despite these efforts, two challenges with compounds generated from existing generative models remain: 1) the low frequency of “drug-like” molecules that satisfy the activity to the target proteins and have acceptable chemical properties and synthetic accessibility; and 2) a trade-off between the character of the compounds and the diversity in the chemical structure4. One cause of these problems is the lack of data, resulting in low generalization due to overfitting. Currently, the number of compounds that can be synthesized is ~1010 5, whereas the expected size of the chemical space is 1060 (as previously mentioned)—thus, the number of synthesizable compounds represents only a very small proportion of the entire chemical search space, and is insufficient for use as training data. Quantum machine learning (QML) (also referred to as quantum artificial intelligence (QAI)) is a growing area of research that combines quantum computing and machine learning. QML investigates how quantum resources such as superposition, entanglement, and tunneling can accelerate or enhance classical learning models. Most early work has focused on the gate- based paradigm, where data and model parameters are encoded into quantum circuits composed of unitary transformations and projective measurements. Algorithms such as quantum support vector machines, kernel estimators, and quantum neural networks are implemented through parameterized quantum circuits, optimized using hybrid quantum- classical feedback loops6. However, in many common scenarios, training parameterized quantum circuits has been shown to be unlikely to be able to scale due to trainability issues known as barren plateaus7; it may also be possible for classical computing to efficiently simulate such quantum circuits8. An alternative and more physically motivated framework arises in quantum annealing 9,10, which provides an analog realization of optimization and sampling tasks central to machine learning. In quantum annealing, learning problems are mapped onto an Ising Hamiltonian and the system searches for the low-energy configurations. Sampling from these configurations can be guided by training the parameters of the Ising Hamiltonian to learn a “binary” data distribution or a “binary” latent representation of an autoencoder. Quantum annealers, such as D-Wave’s Advantage2™ quantum computer, implement these dynamics in hardware, enabling large-scale exploration of complex energy landscapes for machine learning applications 11–13. Recent experiments have demonstrated that quantum annealing achieves a scaling advantage in approaching low-energy configurations 14,15, while the resulting sampling distributions cannot be efficiently reproduced by any known classical simulation 15. Therefore, it is important to explore ways to harness this intrinsic sampling power for quantum-enhanced generative modeling in areas such as drug discovery and materials design. In this report, our approach started from Variational Autoencoder (VAE)-based generative models for generation and inference of chemical compounds. VAE sets the approximated posterior distribution of the latent variables and optimizes the evidence lower bound (ELBO) instead of the true log-likelihood, which is generally intractable. By the amortized inference and the reparameterization framework16,17, VAE can efficiently train its objective function, which is also referred to as the loss function with the reconstruction loss and regularization terms included, and is widely used for the generative model. TransVAE3 also involves the VAE that generates character sequences of molecules via a combination of Transformer-based Encoder/Decoder and continuous-valued latent space. More recently, VAE with discrete latent variables, Discrete VAE (DVAE)18, in which the generative process is driven by a Boltzmann Machine (BM), was adopted for the generation of chemical compounds19. DVAE incorporates discrete latent variables with a discrete prior, making it a more suitable alternative for modeling data with categorical structures such as molecular descriptors tokenized by employing a particular transformation scheme. In addition, DVAE is suitable for combining a VAE architecture with quantum computing in which measurement outcomes are binary (spin) states. Quantum VAE20 replaced the prior distribution from a classical BM with a quantum Boltzmann machine (QBM)21 in which the D-Wave quantum annealer leveraged the sampling from the Boltzmann distribution. In DVAE, converting a continuous representation of the input</w:t>
      </w:r>
    </w:p>
    <w:p>
      <w:pPr>
        <w:pStyle w:val="Heading2"/>
      </w:pPr>
      <w:r>
        <w:t>Conclusion</w:t>
      </w:r>
    </w:p>
    <w:p>
      <w:r>
        <w:t>to 𝜕𝐿𝑞𝑢𝑎𝑛𝑡 𝜕𝑧𝑛 = 𝜆𝑓𝑟𝑜 𝑁 (𝑧𝑛 − ℎ𝑛). (16) (17) When the transformation from ℎ𝑛 to 𝑧𝑛 is non-smooth, such as the Sign function or Heaviside step function, the gradient 𝜕𝑧𝑛 𝜕ℎ𝑛 cannot be computed. We approximated this derivative by the identity function. With this approximation, the backward pass is different from the forward pass; whereas the sign of negation of the backward pass is consistent with the direction that minimizes the loss33,46. From Equations 15 and 17, we obtained 𝜕𝐿𝑛ℎ𝑓 𝜕𝜙 𝑁 = ∑ ( 𝑛 𝜆𝑓𝑟𝑜 𝑁 (𝑧𝑛 − ℎ𝑛) + 𝜕𝐿𝑝𝑟𝑖𝑜𝑟 𝜕𝑧𝑛 + 𝜕𝐿𝑟𝑒𝑐 𝜕𝑧𝑛 ) 𝜕ℎ𝑛 𝜕𝜙 . (18) Relationships between transformation of chemical structures and improvements of QED score We selected the representative compounds from the training data using the following criteria: 1) Molecular Weight (MW) &gt; 200 and &lt; 450, 2) 0 &lt; logP &lt; 4, 3) PSA &lt; 150, and 4) without alert structures (computed by RDKit). As queries of substructure search, a pool of fragments from the representative compounds was created using RECAP47 and BRICS48 fragmentation and filtered by MW (&gt; 150). From the generated compounds, we extracted those that shared the same substructures as those of each of representative compounds. Herein, for a similarity measure, the Matching Coefficient (MC) of atoms was computed as follows 𝑀𝐶 = 𝐻𝐴𝐶𝑚𝑎𝑡𝑐ℎ𝑒𝑑 𝐻𝐴𝐶𝑔𝑒𝑛𝑒𝑟𝑎𝑡𝑒𝑑 + 𝐻𝐴𝐶𝑡𝑟𝑎𝑖𝑛 − 𝐻𝐴𝐶𝑚𝑎𝑡𝑐ℎ𝑒𝑑 , (19) where 𝐻𝐴𝐶𝑔𝑒𝑛𝑒𝑟𝑎𝑡𝑒𝑑, 𝐻𝐴𝐶𝑡𝑟𝑎𝑖𝑛, and 𝐻𝐴𝐶𝑚𝑎𝑡𝑐ℎ𝑒𝑑 denote the Heavy Atom Count (HAC) of the generated compound, the training data, and the matched substructure, respectively. For another similarity measure, we used the Tanimoto Similarity of the molecular fingerprint. Molecular fingerprints are generated as 2048-bit vectors using Morgan algorithm49 with radius of 2, which is roughly equivalent to ECFP4 fingerprint50. Data Availability In the current study, we used the subset of ChEMBL dataset provided by the previous report19 (https://doi.org/10.5281/zenodo.7827952). The code and the generated molecules during the current study are available from the corresponding author on reasonable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