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Neural Scaling Laws for Boosted Jet Tagging</w:t>
      </w:r>
    </w:p>
    <w:p>
      <w:r>
        <w:t>Authors: Matthias Vigl, Nicole Hartman, Michael Kagan, Lukas Heinrich</w:t>
      </w:r>
    </w:p>
    <w:p>
      <w:r>
        <w:t>Source: http://arxiv.org/abs/2602.15781v1</w:t>
      </w:r>
    </w:p>
    <w:p>
      <w:pPr>
        <w:pStyle w:val="Heading2"/>
      </w:pPr>
      <w:r>
        <w:t>Introduction</w:t>
      </w:r>
    </w:p>
    <w:p>
      <w:r>
        <w:t>Machine learning has become a central tool in High-Energy Physics (HEP) data analysis, with deep neural networks now routinely deployed for tasks such as jet tagging, event classification, reconstruction and anomaly detection. In proton–proton collisions at the Large Hadron Collider (LHC) Eva (2008), quarks and gluons produced in hard scattering processes cannot be observed directly; instead, they fragment and hadronize into collimated sprays of particles known as jets. When a heavy particle such as a top quark, Higgs boson, or W/Z boson is produced with transverse momentum much larger than its mass, its decay products merge into a single large-radius ”boosted” jet whose internal radiation pattern, or substructure, encodes the identity of the parent particle. Classifying these boosted jets, that is distinguishing for example a top-quark jet from a generic quarkor gluon-initiated jet, is a key task at the LHC and a succession of increasingly expressive architectures has driven steady improvements in this discrimination. Yet despite this progress, the compute budgets used to train state-of-the-art jet tagging models (ATLAS (2025; 2026a); CMS (2025); Qu &amp; Gouskos (2020); Kasieczka et al. (2019); Gong et al. (2022); Bogatskiy et al. (2024); Qu et al. (2024); Brehmer et al. (2025); Mikuni &amp; Nachman (2025a;b); Smith et al. (2023)) remain orders of magnitude below those of industry foundation models. In parallel, the success of Large Language Models has established a powerful empirical principle: scaling compute, through joint increases in model capacity and training data, is the primary driver of performance gains in modern deep learning. The resulting neural scaling laws, formalized by Kaplan et al. (2020) and refined into compute-optimal prescriptions by Hoffmann et al. (2022), provide a quantitative framework for predicting how loss decreases as a power law in compute and for allocating resources efficiently between model size and data. These insights have reshaped how models are developed across natural language processing (OpenAI (2024)) and computer vision (Zhai et al. (2022)), but their applicability to scientific domains with distinct data generation processes and task structures remains an open question. Furthermore, the emergence of foundation models in HEP (Amram et al. (2025); Leigh et al. (2024); Golling et al. (2024); Vigl et al. (2024); Zhao et al. (2024); Birk et al. (2024; 2025a;b); Giroux &amp; Fanelli (2025); Bhimji et al. (2025); Hsu et al. (2026); Park et al. (2025)) has driven a trend</w:t>
      </w:r>
    </w:p>
    <w:p>
      <w:pPr>
        <w:pStyle w:val="Heading2"/>
      </w:pPr>
      <w:r>
        <w:t>Conclusion</w:t>
      </w:r>
    </w:p>
    <w:p>
      <w:r>
        <w:t>We have presented a systematic study of neural scaling laws for boosted jet classification using the public JetClass dataset. By jointly varying model capacity N and training dataset size D, we showed that the cross-entropy loss is well described by the parametric form (1) observed in language and vision models. We identified an irreducible loss L∞ that represents the best achievable performance in the limit of infinite model size and data. This asymptotic limit depends on the choice of input representation and particle multiplicity: crucially, the data scaling exponent β remains approximately constant across the input configurations studied here, suggesting that richer, lower-level features may raise the performance ceiling without substantially altering the rate at which data reduces the loss. A more systematic study across a broader range of input modalities would be needed to confirm the generality of this observation. We further studied the effect of data repetition, which is common practice in HEP where current dataset sizes are limited by the cost of simulation. Training for multiple epochs above the overfitting threshold effectively reduces the prefactor B in the scaling law while roughly preserving β. However, this comes at a roughly tenfold increase in compute relative to the single-pass optimal regime, and the gains from repetition eventually saturate. Finally, we translated the scaling laws into physics-relevant metrics by mapping cross-entropy loss to QCD background rejection at fixed signal efficiency. Notably, the asymptotic performance limits obtained here with fast simulation saturate at lower scales than observed by ATLAS (2026b) for small radius jets tagging on full detector simulation. This suggests that simulation fidelity may itself be a limiting factor in jet tagging performance, and that scaling laws could serve as a diagnostic tool for quantifying the impact of simulation quality on achievable discrimination power. Our results establish that scaling compute drives performance toward a well-defined asymptotic limit for jet classification, and that this limit can be improved by the use of more expressive, lower-level input features. These findings motivate further investigation into scaling laws across other physics tasks and architectures. Understanding architecture-dependent scaling behaviors with dataset size and compute is essential for making informed decisions about model selection and deployment in LHC experiments.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