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Making Large Language Models Speak Tulu: Structured Prompting for an Extremely Low-Resource Language</w:t>
      </w:r>
    </w:p>
    <w:p>
      <w:r>
        <w:t>Authors: Prathamesh Devadiga, Paras Chopra</w:t>
      </w:r>
    </w:p>
    <w:p>
      <w:r>
        <w:t>Source: http://arxiv.org/abs/2602.15378v1</w:t>
      </w:r>
    </w:p>
    <w:p>
      <w:pPr>
        <w:pStyle w:val="Heading2"/>
      </w:pPr>
      <w:r>
        <w:t>Introduction</w:t>
      </w:r>
    </w:p>
    <w:p>
      <w:r>
        <w:t>Large language models excel at many NLP tasks (Brown et al., 2020; Touvron et al., 2023; Gemini Team et al., 2023), yet this success concentrates in high-resource languages. The top 10 languages comprise roughly 90% of LLM training data, while the remaining 7,000+ world languages collectively account for less than 10% (Joshi et al., 2020).</w:t>
        <w:br/>
        <w:br/>
        <w:t>Tulu exemplifies this challenge. Despite having over 2 million speakers in coastal Karnataka, India, the language has minimal online presence.</w:t>
        <w:br/>
        <w:br/>
        <w:t>Tulu lacks official language status in India and uses three different scripts (Kannada, Tigalari, and inconsistent romanization). Kannada, a language spoken in nearby regions, has significantly more data and speakers, hence is dominated in LLMs. When written in Kannada script, Tulu becomes nearly indistinguishable from Kannada to models trained predominantly on the latter. This leads to what we term vocabulary contamination: models generate responses using Kannada words instead of Tulu equivalents, despite explicit instructions to use Tulu.</w:t>
        <w:br/>
        <w:br/>
        <w:t>Our goal is not to design a single ad hoc prompt for Tulu, but to study a generalizable prompt-based procedure for extreme low-resource languages, where explicit linguistic knowledge and constraint specification replace unavailable training data.</w:t>
        <w:br/>
        <w:br/>
        <w:t>Existing approaches to low-resource languages typically involve continued pre-training (Conneau et al., 2020), parameter-efficient fine-tuning (Pfeiffer et al., 2020), or few-shot learning (Brown et al.,</w:t>
      </w:r>
    </w:p>
    <w:p>
      <w:pPr>
        <w:pStyle w:val="Heading2"/>
      </w:pPr>
      <w:r>
        <w:t>Conclusion</w:t>
      </w:r>
    </w:p>
    <w:p>
      <w:r>
        <w:t>We demonstrated that LLMs can achieve conversational ability in extremely low-resource languages through structured prompt engineering alone. Evaluation across three models showed negative constraints consistently reduce contamination by 1218pp while grammar documentation effects vary by architecture (8-22pp). Human evaluation confirmed 78-85% grammatical accuracy with 5-7% contamination. As a reference point, we compare against a small fine-tuned model trained on a limited supervised Tulu dataset (76% grammar, 8% contamination). This comparison is not intended as a strict baseline, but indicates that prompt-based and fine-tuning approaches can achieve comparable performance under different deployment constraints.</w:t>
        <w:br/>
        <w:br/>
        <w:t>Through falsification experiments, we showed models actively utilize provided grammar rules (47pp drop with incorrect grammar), suggesting that LLMs encode reusable grammatical operations from high-resource languages that can be instantiated through explicit documentation.</w:t>
        <w:br/>
        <w:br/>
        <w:t>Our findings provide a practical pathway for rapidly extending LLM capabilities to underresourced languages without expensive retraining. However, this is not a replacement for communityled resource development. All outputs require native speaker validation, script choices should respect community preferences, and deployment should be restricted to low-stakes contexts with transparent limitations.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