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Directional Reasoning Trajectory Change (DRTC): Identifying Critical Trace Segments in Reasoning Models</w:t>
      </w:r>
    </w:p>
    <w:p>
      <w:r>
        <w:t>Authors: Waldemar Chang</w:t>
      </w:r>
    </w:p>
    <w:p>
      <w:r>
        <w:t>Source: http://arxiv.org/abs/2602.15332v1</w:t>
      </w:r>
    </w:p>
    <w:p>
      <w:pPr>
        <w:pStyle w:val="Heading2"/>
      </w:pPr>
      <w:r>
        <w:t>Introduction</w:t>
      </w:r>
    </w:p>
    <w:p>
      <w:r>
        <w:t>Introduction Reasoning models increasingly solve problems by generating long, winding traces with backtracking, verification, and strategy shifts, rather than simple forward inference [Kim et al., 2026]. This creates a central interpretability gap: for many deployments, we do not just want to know what a model answered, but how it got there—when it changed its mind, what information triggered the change, and which earlier context causally shaped the computation that followed. Why standard interpretability breaks for reasoning traces. Consider a common pattern in math and planning: the model writes dozens of sentences pursuing an incorrect approach, then produces a “wait”-style hesitation, checks its work, abandons the approach, adopts a new strategy, and only much later commits to the final answer [Lee and Hockenmaier, 2025, Huang et al., 2025]. In such traces, it Preprint. Figure 1: DRTC inspection interface. The 3D PCA view is qualitative; curvature is computed on logits. The UI is for auditing only and is not used to define pivots or scores (see Appendix D). is not clear which internal computation should be analyzed, since modern reasoning chains interleave exploratory, corrective, and outcome-determining steps, and a single sampled trace need not cleanly reflect the underlying causal structure [Macar et al., 2025]. Studying the forward pass that emits the final answer is often unhelpful: long-horizon generation is mediated by intermediate reasoning steps, later tokens depend on earlier commitments, and multi-token answers introduce additional sequential dependencies [Pan et al., 2026, Ling et al., 2023]. More fundamentally, the reasoning process is path-dependent: once the model commits to a line of thought, subsequent generations are constrained by that commitment, making it ill-posed to isolate a single decisive computation. Causal interventions are likewise difficult to interpret: editing the trace while holding later text fixed is off-policy, whereas resampling after an edit often produces a qualitatively different trajectory that is hard to compare [Macar et al., 2025]. These issues reflect a deeper fact: long-horizon reasoning is a sampled, sequential computation with serial depth that exceeds a single forward pass, and standard attribution tools are poorly matched to this regime [Emmons et al., 2025, Pan et al., 2026]. What we need instead. These failure modes suggest that analyzing a single forward pass or performing unrestricted trace edits is insufficient. Instability is also not incidental: when the next- token distribution is flat (high entropy / low margin), multiple continuations are plausible, and prior work shows it is beneficial to focus exploration or intervention on these high-uncertainty steps, whereas low-uncertainty steps can be followed greedily [Wang et al., 2025, Li et al., 2026, Yang et al., 2026]. An adequate method must therefore (i) localize such critical decision moments within a realized trace, and (ii) perform temporally valid causal tests of whether specific earlier context segments influenced the model at those moments, while preserving the realized rollout as the reference trajectory rather than editing the trace or resampling alternative continuations. This should remain meaningful even when “the outcome” is ambiguous (open-ended tasks) or not yet produced (truncated rollouts), since many real settings involve unfinished or non-terminal reasoning. Our approach: Directional Reasoning Trajectory Change (DRTC). We introduce Directional Reasoning Trajectory Change (DRTC), a process-causal framework for interpreting long-horizon reasoning from a single on-policy rollout. DRTC makes four methodological contributions: • Pivot-localized decision-point discovery: We identify decision pivots within a realized chain-of-thought using uncertainty and distribution-shift signals (entropy, top-2 margin, and Jensen–Shannon divergence), targeting moments where the computation is unstable and strategy may change. • Temporally valid, on-policy causal interventions: At each pivot, we apply receiver-side attention masking that preserves the realized rollout without resampling the continuation 2 while blocking information flow from selected earlier chunks only at that pivot, yielding deterministic chunk–pivot causal effects and enabling screening gates that downweight noisy probes. • Directional trajectory attribution as the causal target: We measure whether each in- tervention redirects the direction of the model’s log-probability trajectory relative to the realized rollout direction, aggregating pivot importance, causal relevance, and directional effect into a signed per-chunk attribution score rather than relying on final-answer flips or likelihood-only criteria. • Curvature-signature diagnostics from intervention-response geometry: We compute turning-angle curvature changes in logit space as a complementary diagnostic signal and introduce curvature signatures that summarize how masking a chunk changes turning angles across pivots; cosine similarity between signatures defines curvature similarity between chunks. These signatures induce diagnostic curvature roles that group chunks by shared intervention-response geometry; in qualitative inspection, roles often align with semantically coherent trace segments, enabling compact pivot-aligned role paths. Diagnostics and artifacts for verification.</w:t>
      </w:r>
    </w:p>
    <w:p>
      <w:pPr>
        <w:pStyle w:val="Heading2"/>
      </w:pPr>
      <w:r>
        <w:t>Conclusion</w:t>
      </w:r>
    </w:p>
    <w:p>
      <w:r>
        <w:t>Finally, broader evaluation across domains and decoding strategies, together with joint analysis of trajectory steering and outcome sensitivity, is needed to clarify when local redirections accumulate into correctness changes. Conclusion. We introduced Directional Reasoning Trajectory Change (DRTC), a process-causal interpretability framework for long-horizon reasoning under on-policy autoregressive generation. DRTC localizes pivot decision points and applies receiver-side interventions that block information flow from selected earlier chunks only at those pivots, yielding signed per-chunk steering scores defined by directional changes in log-probability space. Across four reasoning models, attribution is consistently sparse and structured, learned pivots induce stronger intervention magnitudes than matched random spans, and curvature provides complementary geometric diagnostics without altering DRTC scores. Overall, DRTC provides a trajectory-level account of how specific context elements steer reasoning, while remaining agnostic to outcome-level causality and circuit identification. 9 Ethics Statement This work does not introduce new model architectures or collect new datasets. We propose an analysis framework for interpreting existing autoregressive reasoning models via pivot-local, receiver-side input attribution. Consistent with the goals of explainable AI, the method is intended to increase transparency and support auditing of model behavior. As such, it does not introduce material ethical risks beyond those inherent to the deployment and use of the underlying pretrained models and their generated outputs. We evaluate only on publicly available problem statements and do not use personally identifiable information. Reproducibility Statement We describe the full methodology in the paper, including pivot discovery signals, intervention definition, scoring, and aggregation, along with model and decoding settings. Our experiments use fixed seeds and export complete per-example artifacts (pivot locations, chunk boundaries/identifiers, intervention effects, and attribution scores) to enable independent auditing. Upon acceptance, we will publicly release the full implementation and evaluation code, including scripts to reproduce all figures and tables, as well as the self-contained interactive reviewer UI used for qualitative inspection. For this submission, the relevant code and artifacts will be provided as supplementary material.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