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Prescriptive Scaling Reveals the Evolution of Language Model Capabilities</w:t>
      </w:r>
    </w:p>
    <w:p>
      <w:r>
        <w:t>Authors: Hanlin Zhang, Jikai Jin, Vasilis Syrgkanis, Sham Kakade</w:t>
      </w:r>
    </w:p>
    <w:p>
      <w:r>
        <w:t>Source: http://arxiv.org/abs/2602.15327v1</w:t>
      </w:r>
    </w:p>
    <w:p>
      <w:pPr>
        <w:pStyle w:val="Heading2"/>
      </w:pPr>
      <w:r>
        <w:t>Introduction</w:t>
      </w:r>
    </w:p>
    <w:p>
      <w:r>
        <w:t>Introduction Over the past several years, language model (LM) scaling has emerged as one of the most robust empirical laws in modern machine learning (Hestness et al., 2017). Across model families and train- ing regimes, increasing pre-training compute has been shown to produce smooth and predictable improvements in loss, perplexity, and, to a lesser extent, downstream task performance (Brown et al., 2020; Chowdhery et al., 2023; Gadre et al., 2024; Hoffmann et al., 2022). This observation has driven a paradigm in which scale itself becomes a primary design variable, enabling practitioners to trade off data, model size, and compute in a principled way (Hoffmann et al., 2022; Kaplan et al., 2020). As language models transition from research artifacts to deployed systems, the limitations of existing scaling laws have become increasingly pronounced. Despite the success of scaling laws, they do not answer one question that practitioners can usually face: given a fixed pre-training compute budget C, what downstream performance can one realistically expect to achieve with high probability after post-training? While average trends with respect to compute are sometimes stable, downstream behaviors of interest (such as reasoning performance, instruction following, or domain-specific ∗Equal Contribution Benchmark IFEval BBH MATH Lvl 5 GPQA MUSR MMLU-PRO Acc. @ 1024 FLOPs 0.828 0.700 0.539 0.424 0.535 0.563 Table 1. Estimated attainable accuracies predicted by the no-split 0.98-quantile sigmoid boundaries at 1024 FLOPs. question answering) exhibit substantial heterogeneity even among models trained with similar FLOPs (Jin et al., 2025). Post-training procedures (Ziegler et al., 2019), data curation choices (Setlur et al., 2024), and temporal effects (Dominguez-Olmedo et al., 2024) further complicate the relationship between pre-training compute and deployed performance, weakening the direct applicability of standard scaling laws for real-world decision making. Recent work has highlighted this gap from multiple perspectives: downstream benchmark scal- ing can be noisy, benchmark-dependent, and weakly coupled to pre-training loss, in part due to heterogeneous training factors (e.g., data mixture, architectures, and evaluation artifacts) and the disconnection between loss and downstream accuracy (Chen et al., 2024; Gadre et al., 2024; Lourie et al., 2025; Qi et al., 2025; Schaeffer et al., 2024; Zhang et al., 2025a). At the same time, the rapid growth of public evaluation repositories—especially leaderboards that aggregate thousands of post-trained checkpoints—makes it increasingly feasible to study these relationships empirically from observational data. In this paper, we study prescriptive scaling: given a base-model pre-training compute budget, what attainable post-training performance should we expect on a target benchmark? Rather than modeling only mean trends, we summarize the attainable region with capability boundaries: for each task we estimate a high conditional quantile of observed post-trained accuracy as a function of log pre- training compute (Koenker and Bassett, 1978). This framing is robust to outliers and recipe-specific variation, and it yields an end-to-end, decision-oriented compute-to-performance map from large collections of heterogeneous checkpoints. Crucially, we treat time as a first-class axis: by fitting boundaries on earlier model generations and validating on later ones, we can gain knowledge of whether a compute-based boundary remains predictive as training recipes and post-training techniques evolve. We rely on three complementary data sources: (i) the Open LLM Leaderboard v1 (Beeching et al., 2023) and v2 (Fourrier et al., 2024), each containing thousands of models evaluated on six benchmarks under consistent metrics, (ii) public leaderboards for state-of-the-art frontier models (e.g., Epoch AI and LifeArchitect.AI), and (iii) newly added 2.4k open-weight models (PROTEUS-2K) focusing on releases after the Open LLM Leaderboard v2 cutoff (2025-03-13) until the end of 2025, that we evaluate ourselves (including new model families of Qwen3 (Yang et al., 2025), Gemma-3 (Team et al., 2025), GPT-OSS (Agarwal et al., 2025)), following the same Open LLM Leaderboard pipeline. Together, these sources provide both breadth (many heterogeneous post-training pipelines) and a basis for assessing temporal validity (Dominguez-Olmedo et al., 2024). The main contributions are summarized below: • Sigmoid capability boundaries: Compared with pre-trained model performance, we show that the attainable post-trained performance is much more predictable and is well-characterized by a simple monotone, saturating sigmoid function of log-compute. • Temporal validity and task-dependent ceilings: Using chronological train/validation splits, we find that capability boundaries for a majority of tasks are comparatively stable over time, yielding a nearly deterministic relationship between compute and attainable accuracies, while math reasoning exhibits a consistently improving boundary. As an illustration, Table 1 provides estimated attainable accuracies (0.98-quantile sigmoid boundaries) at a budget of 1024 FLOPs. 2 • Case studies: saturation and contamination: We apply prescriptive scaling to revisit two eval- uation issues. Our saturation analysis suggests</w:t>
      </w:r>
    </w:p>
    <w:p>
      <w:pPr>
        <w:pStyle w:val="Heading2"/>
      </w:pPr>
      <w:r>
        <w:t>Conclusion</w:t>
      </w:r>
    </w:p>
    <w:p>
      <w:r>
        <w:t>prescriptive performance boundaries from heterogeneous models and analyzing their temporal stability and data efficiency. Post-training techniques such as instruction tuning and preference optimization can substantially shift downstream performance without changing pretraining compute (Ouyang et al., 2022; Ziegler et al., 2019). Recent studies emphasize that post-training often elicits latent capabilities, leading to large variance among models trained with similar FLOPs (Donoway et al., 2025; Jin et al., 2025). In parallel, targeted pretrain- ing methods demonstrate that aligning pretraining data with downstream objectives can yield significant gains (Brandfonbrener et al., 2024; Mizrahi et al., 2025). Our work complements these algorithmic advances by abstracting over heterogeneous post-training pipelines and treating models with similar pretraining FLOPs as a single domain, enabling large-scale observational analysis that is better aligned with engineering decision-making. 13 102410251026PretrainingCompute(FLOPs)0.20.40.60.8GPQADiamondSigmoid(loss=0.0054)I-spline(loss=0.0053)−2024logit(MATH¡500£0:01)−6−4−202logit(AIME2025£0:01)Before Feb. 6th 2025After Feb. 6th 2025logit³^y100´=¡3:32+1:14logit(x100) 7 Conclusion We introduced prescriptive scaling, a decision-oriented framework for mapping pre-training com- pute budgets to reliable, high-probability downstream performance expectations under contempo- rary post-training practice. By estimating high-quantile capability boundaries from large, heteroge- neous model populations, we show that attainable post-training performance is well-approximated by simple, monotone sigmoid functions of log-compute and is temporally stable for most tasks. Notable exceptions, such as math reasoning, exhibit a shifting boundary, highlighting where algorith- mic progress continues to move the attainable envelope. Beyond forecasting, our approach enables practical diagnostics for saturation, contamination, and evaluation efficiency, allowing recovery of near-full boundaries with a small fraction of evaluation budget. Together, these results position capability boundaries as a practical tool for budgeting, monitoring, and interpreting progress in language models as scaling regimes evolve. Acknowledgment VS is partially supported by the Schmidt Sciences’ Trustworthy AI Program award on AI Safety in the Inference-time Compute Paradigm; SK acknowledges the support from the National Science Foundation Grant under award IIS 2229881; HZ and SK acknowledge the Chan Zuckerberg Initiative Foundation for establishing the Kempner Institute for the Study of Natural and Artificial Intelligence.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