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Information Geometry of Softmax: Probing and Steering</w:t>
      </w:r>
    </w:p>
    <w:p>
      <w:r>
        <w:t>Authors: Kiho Park, Todd Nief, Yo Joong Choe, Victor Veitch</w:t>
      </w:r>
    </w:p>
    <w:p>
      <w:r>
        <w:t>Source: http://arxiv.org/abs/2602.15293v1</w:t>
      </w:r>
    </w:p>
    <w:p>
      <w:pPr>
        <w:pStyle w:val="Heading2"/>
      </w:pPr>
      <w:r>
        <w:t>Introduction</w:t>
      </w:r>
    </w:p>
    <w:p>
      <w:r>
        <w:t>Introduction Understanding and manipulating the internal representations of AI models is central for building trustworthy and controllable AI systems. Many approaches build on the linear representation hypothesis—the idea that high-level concepts (e.g., sentiment, truthfulness, or gender) correspond to specific directions in the vector space containing the model’s representations [MYZ13; Elh+22; PCV24]. Researchers have used this idea to identify and manipulate concepts across various architectures [NLW23; Li+23; Tur+23; Zou+23; GT24]. However, the results are somewhat mixed. Although there is clearly structure in the representation spaces, these methods are often brittle, and have usually not been competitive with more direct fine-tuning approaches [Has+23; Mak+24; Sha+25; WV25]. This suggests that we do not yet have a full enough understanding of the ‘linear representation’ structure to build robust, generalizable methods. One gap in our understanding is that linear representation methods are frequently built on the (implicit) assumption that the representation space has a flat (or even Euclidean) geometry, but there is little reason to expect this assumption to hold. Instead, we would like methods based on the ‘intrinsic’ structure of the representation space. To that end, we need a notion of geometry that aligns with the way the model actually uses its representations to produce behavior—e.g., a geometry where two representations are ‘close’ if they produce similar outputs. The purpose of this paper is to operationalize this idea in the particular case of softmax based models, and to explain the practical implications of the resulting geometry for interpretability methods. Our focus here is on representation vectors λ ∈ Λ ≃ (cid:82)d that define probability distributions via the softmax transform. That is, for any set of candidate items (cid:89) , the model assigns 2, . . . , γ|(cid:89) |} ⊂ Γ ≃ (cid:82)d as vector representations of each item, and defines the softmax {γ 1, γ 1 Figure 1: Dual steering (bottom) effectively modifies the target concept (e.g., verb ⇒ third-person or cat ⇒ dog) while preserving off-target distributions (e.g., P(“maintain”) + P(“maintains”) or P(“cat + bicycle”) + P(“dog + bicycle”)), whereas Euclidean steering (top) fails to maintain off-target distributions despite reaching the target probability. Left: Token probability changes in Gemma-3-4B when steering the context “Author gives an insight into what it costs US taxpayers to build and” using a linear probe for verb ⇒ third-person. Euclidean steering leaks significant mass to off-target tokens (e.g., “to”) during intermediate steps, whereas dual steering directly shifts probability from base tokens (e.g., “maintain”, “operate”) to target tokens (e.g., “maintains”, “operates”). Center &amp; Right: Steering MetaCLIP-2 on the context “a photo of one cat” for the concept cat ⇒ dog. Dual steering transfers probability from base images (e.g., “cat”, “cat + bicycle”) directly to targets (e.g., “dog”, “dog + bicycle”). In contrast, Euclidean steering unintentionally promotes the off-target “cat + dog” image (green frame in the right column), which becomes the Top-1 result during intermediate steps. In the probability plots, Top-k tokens (LLM) or images (CLIP) are shown explicitly, with the remainder grouped as “others.” probability distribution: (cid:80)(γ = γ | λ) = exp(cid:0)λ⊤γ − A(λ)(cid:1) , y y (1.1) y y exp(λ⊤γ where A(λ) := log (cid:80) ) is the log-normalizer. This pattern shows up in many AI architectures, including in the attention mechanism of transformers [Vas+17], the next- token selection of large language models (LLMs) [Bro+20], and contrastive models like CLIP [Rad+21]. Our starting point is the observation that the notion of closeness of two representation vectors λ, λ′ should reflect the closeness of the induced probability distributions. Information geometry provides a powerful framework for formalizing and studying the innate geometry of parameters of probability distributions [AN00; Ban+05; Ama16]. The main aim of this paper is to understand how the linear representation hypothesis—and the encoding of high-level semantics in representation space—interacts with the natural information geometry of the representation space. To that end: 1. We identify the natural geometry as a Bregman (dually flat) geometry. This induces a rich duality structure that will play a critical role in understanding the semantic structure of the representation space. 2. We then study the question of how to interpolate between two representation vectors. In short: there are natural distinct primal and dual interpolations that yield distinct semantics. In particular, this dual interpolation structure shows that a flat geometry cannot suffice to capture the semantic structure of the representation space. 2 3. We then show how information geometry interacts with probing and steering rep- resentation vectors. This leads us to “dual steering”, a new method for robustly manipulating representations. We</w:t>
      </w:r>
    </w:p>
    <w:p>
      <w:pPr>
        <w:pStyle w:val="Heading2"/>
      </w:pPr>
      <w:r>
        <w:t>Conclusion</w:t>
      </w:r>
    </w:p>
    <w:p>
      <w:r>
        <w:t>representation hypothesis for probing and steering. Volpi and Malago [VM21] also study the information geometry of word embeddings learned with a contrastive objective, focusing on similarity between word embeddings, whereas our work focuses on steering and probing softmax models. Steering A line of model steering work in LLMs has focused on using the difference in representations in a model’s hidden layers to predictably alter model behavior [Li+23; Liu+23; Tur+23; Zou+23; Rim+24]. Follow-up work has examined the robustness of steering interventions, noting that model steering directions are often ineffective, can cause off-target concept drift, and are sensitive to the choice of steering magnitude [Tan+24; Pre+24; Wu+25]. Park et al. [PCV24; Par+25] addressed this by examining logit differences. They argue that it is possible to intervene on a specific concept by adding a direction induced by a “causal inner product.” For instance, adding the estimated direction for the binary concept male ⇒ female might change the logit difference between ‘king’ and ‘queen’ while leaving the logit difference between ‘king’ and ‘King’ unaltered. However, logit differences are not probabilities. Even if specific logit differences remain constant, the resulting probabilities can vary significantly due to the contributions of other logits through the softmax operation. Furthermore, the scale of logit differences is not directly proportional to the magnitude of probability changes. Therefore, to evaluate the effect of steering more rigorously, we focus on changes in the model’s probability distribution. Future Directions Empirically, we have focused on the parameter space of the softmax layer, which directly governs the output distribution. This is experimentally convenient for measuring the geometry, constructing probes, and evaluating the steering. However, in practice, steering is often applied to intermediate layers within the model. Understanding how the geometry of the softmax layer, and of attention layers, influences the geometry of these intermediate layers is an important direction for future research. Acknowledgments This work is supported by ONR grant N00014-23-1-2591 and Open Philanthropy.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