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golden-ratio partition of information and the balance between prediction and surprise: a neuro-cognitive route to antifragility</w:t>
      </w:r>
    </w:p>
    <w:p>
      <w:r>
        <w:t>Authors: Pablo Padilla, Oliver López-Corona, Elvia Ramírez-Carrillo, Ariadne Hernández Sánchez</w:t>
      </w:r>
    </w:p>
    <w:p>
      <w:r>
        <w:t>Source: http://arxiv.org/abs/2602.15266v1</w:t>
      </w:r>
    </w:p>
    <w:p>
      <w:pPr>
        <w:pStyle w:val="Heading2"/>
      </w:pPr>
      <w:r>
        <w:t>Introduction</w:t>
      </w:r>
    </w:p>
    <w:p>
      <w:r>
        <w:t>Introduction The recurrence of φ-like partitions across domains as diverse as psychological processing and artistic creation has often been described as an intuitive or aesthetic phenomenon. However, such recurrence can be addressed more rigorously when framed as a problem of information organization under conditions of uncertainty. Within predictive coding, cognition is not understood as a passive representation of the external world, but as an active inferential process through which the brain generates anticipatory models and continuously contrasts them with incoming sensory information, adjusting these models to minimize long-term prediction error without fully suppressing surprise (Friston, 2010; Clark, 2016). From a neurocognitive perspective, this balance is not implemented by a single locus, but by distributed hierarchical circuits that integrate information across multiple temporal and spatial scales. Neurophysiological evidence suggests that, to sustain efficient multiscale integration, cortical activity tends to operate near critical regimes, where global stability and local variability coexist functionally. Such regimes allow information to propagate without collapsing into rigidity or degrading into noise, a condition that is central to hierarchical inference and adaptive cognition (Beggs &amp; Plenz, 2003; Shew &amp; Plenz, 2013). Within this framework, the golden ratio is introduced here not as a geometric preference or biological constant, but as a candidate formalization of a functional compromise: a stable proportion between predictive structure and residual novelty that remains coherent under recursive processing. In this sense, φ can be interpreted as a candidate equilibrium point within a restricted class of self-similar informational partitions, where sufficient regularity sustains coherent inference while sufficient uncertainty preserves sensitivity to emergent features. This interpretation aligns with approaches emphasizing informational efficiency and energetic constraints in neural processing, where optimal coding minimizes redundancy without sacrificing discriminative capacity (Laughlin, 2001; Friston, 2010). Building on these premises, this Supplementary Note Ω develops an integrative trajectory: (1) it examines the prediction-surprise balance in predictive coding; (2) links this balance to criticality and scale invariance in hierarchical networks; (3) conceptualizes aesthetic perception as a case of predictive coherence under balanced complexity; (4) frames artistic creation as an extended inferential process alternating control and exploration; and (5) proposes φ as a plausible formal attractor of neural information flow under explicit constraints, offering a unified interpretive account of the convergence of perception, cognition, and artistic emergence (Clark, 2016; Parr et al., 2022). Predictive coding and the φ-balance Within predictive coding frameworks, neuronal populations do not directly encode the external world, but instead prioritize the representation of discrepancies between expected and observed signals. These prediction errors constitute the central variable driving the updating of internal models, enabling perceptual and cognitive inference under uncertainty (Friston, 2010; Clark, 2016). For this process to be efficient, it is not sufficient that prediction errors merely occur; the gain with which these errors influence model updating must be regulated. When error gain is excessive, neural activity becomes unstable and dominated by sensory fluctuations; when it is insufficient, the system becomes rigid, privileging prior expectations at the expense of sensitivity to incoming information. Inferential efficiency therefore depends on maintaining a stable distribution of informational variance between prediction and novelty (Hohwy, 2013). From a formal standpoint, optimal coding can be characterized by three necessary conditions: (a) predictive signals explain a relatively stable proportion of total variance; (b) incoming information not captured by the model occupies the complementary proportion; and (c) the relation between these proportions is preserved under recursive hierarchical processing. Without such invariance, inferential coherence degrades as models scale, either by amplifying noise or by prematurely suppressing relevant information at higher hierarchical levels (Friston, 2010; Parr et al., 2022). The self-similar relation p:(1−p)=1:pp:(1-p)=1:pp:(1−p)=1:p represents the simplest non-trivial solution satisfying these conditions under a minimal self-similarity constraint. Its solution corresponds to the golden ratio. Importantly, this relation should be understood as a formal fixed point of this constraint, not as a unique solution nor as an empirically imposed proportion. In this sense, φ functions as a minimal formal solution that preserves inferential coherence under hierarchical recursion, rather than as a biologically mandated constant (Friston, 2010; Laughlin, 2001). Criticality and hierarchical scaling Efficient predictive coding cannot be sustained under arbitrary neural dynamics. For a stable distribution of variance between prediction and novelty to be preserved across hierarchical processing, neuronal networks must operate near critical regimes. Empirical studies of neural avalanches and scale-free connectivity show that cortical activity consistently occupies an intermediate regime between order and randomness, where stability and variability coexist functionally (Beggs &amp; Plenz, 2003; Plenz &amp; Thiagarajan, 2007; Shew &amp; Plenz, 2013). In critical regimes, neuronal correlations follow power-law</w:t>
      </w:r>
    </w:p>
    <w:p>
      <w:pPr>
        <w:pStyle w:val="Heading2"/>
      </w:pPr>
      <w:r>
        <w:t>Conclusion</w:t>
      </w:r>
    </w:p>
    <w:p>
      <w:r>
        <w:t>pϕ = 1 φ ≈ 0.618 identifies a structurally distinguished informational split between explained and unexplained variance. Unlike the maximum of the balance function f (p) , this partition does not correspond to an extremum of informational imbalance, but to a recursive propor- tionality: the ratio of known to unknown equals the ratio of known to the whole. This self-similar structure preserves coherence under hierarchical recursion and provides a formal model of balanced predictive coding, in which internal models retain sufficient structure to guide inference while maintaining openness to residual novelty. The φ-partition therefore represents a candidate organizational principle for multiscale systems operating near criticality, where stability and variability coexist in scale-invariant proportions. For a deeper discussion see supplementary materials. 14 spanning intermediate values of p, possibly structured by self-similar partitions like pφ, represents a region of maximal cognitive adaptivity—where model confirmation and model updating are optimally balanced. Empirical studies of resting-state brain activity support this idea, showing that power-law dynamics, maximal dynamic range, and high Fisher information co-occur near putative critical zones. This theoretical structure finds operational form in the CIMA loop: Compute–Inference–Model–Action. This cycle enables a system to continuously assess the current explanatory state, estimate its distance from balanced partitions, recalibrate its internal model, and intervene either on itself or its environment to remain poised at the edge of criticality. In this configuration, the system transforms perturbations into learning, variance into structure, and surprise into antifragile gain. We suggest that the golden-ratio partition is more than a mathematical curiosity. It is a candidate for a universal cognitive invariant—a principle of adaptive organization that links criticality, self-similarity, and antifragility. Systems that adhere to such a rule do not merely survive uncertainty; they cultivate it as a substrate for functional improvement. In doing so, they realize a biologically grounded form of intelligence that operates, not by eliminating error, but by orchestrating a dynamic tension between the known and the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