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Size Transferability of Graph Transformers with Convolutional Positional Encodings</w:t>
      </w:r>
    </w:p>
    <w:p>
      <w:r>
        <w:t>Authors: Javier Porras-Valenzuela, Zhiyang Wang, Alejandro Ribeiro</w:t>
      </w:r>
    </w:p>
    <w:p>
      <w:r>
        <w:t>Source: http://arxiv.org/abs/2602.15239v1</w:t>
      </w:r>
    </w:p>
    <w:p>
      <w:pPr>
        <w:pStyle w:val="Heading2"/>
      </w:pPr>
      <w:r>
        <w:t>Introduction</w:t>
      </w:r>
    </w:p>
    <w:p>
      <w:r>
        <w:t>Introduction 6 2 0 2 b e F 6 1 ] G L . s c [ 1 v 9 3 2 5 1 . 2 0 6 2 : v i X r a have Transformers to recently graph-structured data by injecting graph information through positional or structural encodings while retaining self-attention—yielding Graph Transformers. global adapted been 1Department of Electrical and Systems Engineering, Univer- sity of Pennsylvania, Philadelphia, PA, USA 2Halıcıo˘glu Data Science Institute, University of California San Diego, La Jolla, CA, USA. Correspondence to: Javier Porras-Valenzuela &lt;jpor- ras@seas.upenn.edu&gt;. Preprint. February 18, 2026. 1 Graph transformers have delivered state-of-the-art or highly competitive results in several domains, including but not limited to large-scale molecular property prediction (Ying et al., 2021), biomedical knowledge graphs (Hu et al., 2020), and long-range data benchmark (Dwivedi et al., 2022). − Graph transformers perform attention on sets of nodes not strictly limited by their local neighborhoods, and incorporate structural information via positional encod- ings. Early examples compute dense, pairwise atten- tion over all nodes of the graph, such as (Dwivedi &amp; k eigenvectors of Bresson, 2020) which uses the top the graph Laplacian as positional encodings, and SAN, which learns spectral encodings drawn from the Lapla- cian spectrum (Kreuzer et al., 2021). Other graph trans- formers use relative (pairwise) positional encodings, such as GraphiT (diffusion-kernels) (Mialon et al., 2021), the Graphormer family (shortest-path and centrality biases in dense self-attention) (Ying et al., 2021), random walk ap- proaches (Ma et al., 2023; Geisler et al., 2023), or GKAT (heat kernel-based) (Choromanski et al., 2022). Mask- based relative encodings replace quadratic attention with structured sparsity to trade off globality and scalability, for example Exphormer (local neighborhood + expander graphs) (Shirzad et al., 2023), and UnifiedGT (k-hop neighborhood) (Lin et al., 2024). We refer to (Black et al., 2024) for an in-depth analysis on the properties of absolute and relative positional encodings on graph transformers. A central insight across this literature is that structure must be encoded explicitly for attention to be effective on graphs. The outstanding performance of full pairwise attention is restricted by its inherent computational complexity, imped- ing scalability to graphs beyond hundreds of thousands of nodes. Moreover, data collection costs for training with large graphs can be prohibitively expensive. Therefore, it is paramount to develop a graph transformer that can be transferable across different graph sizes under theoretical guarantees. Theory from spectral graph signal processing establishes that graph convolutional filters—under continuity condi- tions—are stable to perturbations and transferable across graphs sampled from the same limit model (Wang et al., Size Transferability of Graph Transformers with Convolutional Positional Encodings Figure 1. Diagram of Graph Transformer (GT) with RPEARL Positional Encodings. The graph G is sampled from manifold M. The graph structure is processed by RPEARL using a graph neural network. The positional encodings are added to the node features and passed to the graph transformer, which outputs node features Y. 2024b;c; Ruiz et al., 2023; 2020; Keriven et al., 2020). Fur- thermore, by analyzing graphs through limits, one obtains that graph filters and GNNs converge as graph size grows; hence, models trained on small graphs can be deployed on larger graphs from the same limit model without retraining. Building on this theory (Kanatsoulis et al., 2024) has pro- posed RPEARL, which uses GNNs with random features as positional encodings. They show that an architecture consisting of RPEARL and a GNN backbone is provably more expressive than a message-passing GNN. RPEARL encodings are permutation equivariant and retain the same stability and transferability of GNNs. We show that when these stable and transferable encodings are fed to a trans- former whose attention is controlled to be Lipschitz—e.g., by normalization schemes for self-attention or by alter- native Lipschitz attention maps—the composed model in- herits stability and size-transferability. Practically, this yields an efficient recipe: train on small graphs using graph convolutional positional encodings, then transfer to larger graphs while keeping attention regularized, achiev- ing sub-linear performance difference and substantial com- putational savings. The main contributions are as follows: • We argue that GNNs are a principled choice of posi- tional encodings to ensure the stability, equivariance, generalization, and transferability of the transformer inputs. • We provide theoretical guarantees that graph trans- formers inherit the transferability properties of their GNN positional encodings, enabling competitive per- formance across different scales of graphs sampled from an underlying manifold without retraining. • We propose a transferable, practical sparse graph transformer with attention masking and RPEARL PEs, which is also covered by our transferability</w:t>
      </w:r>
    </w:p>
    <w:p>
      <w:pPr>
        <w:pStyle w:val="Heading2"/>
      </w:pPr>
      <w:r>
        <w:t>Conclusion</w:t>
      </w:r>
    </w:p>
    <w:p>
      <w:r>
        <w:t>setup of (Chen et al., 2025). Each dataset is comprised of high- resolution grid graph G. We downsample G into coarser grid graphs Gr using strides r . For each Gr, we train SGT with an MSE loss on the L1 approxi- mation of node embeddings against its ground truth SPDs. After training, we evaluate SGT on the full resolution G on a new set of sample points. For hyperparameters and more implementation details, see Appendix 8.3. 4, 5, . . . , 40 ∈ { } We present the results on the terrain dataset of the Troms re- gion of Norway (Kartverket (Norwegian Mapping Author- ity), 2025) in Figure 4b and provide a GNN baseline for reference. We present the SPD estimation error measured by test MAE against the highest resolution G. We observe that both architectures show strong transferability, achiev- ing low errors on all fractions. In particular, we observe that SGT trained with 10, 000 nodes show a comparable per- formance than training with an order of magnitude larger graphs. We also observe that, in most fractions, Sparse GT is comparable or slightly improves the GNN performance. 1000120014001600180020002200Height (m)104105GraphSize(n)0.150.160.170.180.19TestMAEGNNSparseGT Size Transferability of Graph Transformers with Convolutional Positional Encodings 5. Conclusions We have presented a framework for showing that graph transformers doted with transferable positional encodings inherit their transferability. We have also presented exper- iments empirically verifying that various graph transform- ers exhibit competitive performance on large graphs when trained on smaller graphs. These results are valuable for applications dealing with large graphs, where data collec- tion and training costs are a major challenge. This notion of transferability inheritance can be applied to other graph limit objects, for example random graphs sampled from graphons. Furthermore, other structural, relative and ab- solute graph positional encodings could be proven to be transferable if they satisfy the conditions of Assumption 3. 9 Size Transferability of Graph Transformers with Convolutional Positional Encodings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