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BPP: Long-Context Robot Imitation Learning by Focusing on Key History Frames</w:t>
      </w:r>
    </w:p>
    <w:p>
      <w:r>
        <w:t>Authors: Max Sobol Mark, Jacky Liang, Maria Attarian, Chuyuan Fu, Debidatta Dwibedi, Dhruv Shah, Aviral Kumar</w:t>
      </w:r>
    </w:p>
    <w:p>
      <w:r>
        <w:t>Source: http://arxiv.org/abs/2602.15010v1</w:t>
      </w:r>
    </w:p>
    <w:p>
      <w:pPr>
        <w:pStyle w:val="Heading2"/>
      </w:pPr>
      <w:r>
        <w:t>Introduction</w:t>
      </w:r>
    </w:p>
    <w:p>
      <w:r>
        <w:t>Introduction Imitation learning has become a central paradigm for training robotic policies. However, the most successful approaches today typically lack memory, conditioning only on the current observation [13– 15, 24, 34] or a short temporal window [7, 11]. While effective on many benchmarks, such policies struggle in settings where the robot must remember what it has already done, seen, or what remains to be completed. Consider tasks such as searching for an object in a cluttered scene, adding a precise number of ingredients, or executing multi-stage procedures where early mistakes are not easily observed later. Here, the current observation is insufficient to determine the correct action; success instead requires reasoning over past events. Motivated by this, we study training policies to effectively leverage history. Corresponding author(s): Max Sobol Mark (maxsobolmark@cmu.edu). Work done during an internship at GDM. Project website with videos: https://bigpicturepolicies.github.io/ †Equal advising. 70%ImprovementAverage across real-world tasksNaive πBPP πPolicy sees OOD inputsKeyframes are close to training distributionPolicy rollout (slightly OOD)Keyframes Support of the dataset Current obs Subsampled frames Naive continuation BPP continuationππ BPP: Long-Context Robot Imitation Learning by Focusing on Key History Frames A natural approach for learning memory-based policies is to condition policies directly on sequences of past observations. Yet, despite its appeal, prior work has consistently found that naïvely adding history often hurts performance [8, 26, 28, 29, 33], a phenomenon we also observe very prominently in the real world. Rather than improving robustness, history-conditioned policies frequently fail even on simple tasks. These failures arise because policies latch onto incidental features (i.e., spurious correlations) of training histories that explain expert actions but do not generalize. Once the policy deviates from the expert distribution, it encounters unseen histories and errors compound. In theory, this problem stems from a fundamental challenge of coverage: the space of possible obser- vation histories grows exponentially with horizon, which makes it impossible to cover during training data collection. Coverage is especially limited under current robotic data collection paradigms, which rely primarily on human tele-operators gathering “near-expert” demonstrations. As a result, although history-conditioned policies can predict the underlying oracle task state accurately on the training set, they fail catastrophically on histories encountered during deployment. Existing approaches attempt to mitigate the spurious correlations through regularization [21], auxiliary objectives [26], or architectural constraints [33]. While these techniques can help in some cases, our experiments show their benefits are inconsistent and often task-dependent as they do not fundamentally address coverage. In essence, they modify the loss function without addressing the underlying lack of coverage over histories. These findings suggest that effective history conditioning requires directly addressing the challenge of coverage. But how can we improve coverage without collecting more data? Our core idea is to train policies with a different input space than raw observation histories. In particular, we replace full action histories with a small number of past moments that are most relevant for predicting actions. In many non-Markovian tasks, successful behavior depends on identifying a few behaviorally salient events, or keyframes, such as whether an object has been grasped, a subgoal has been completed, or a failure has occurred. Representing history through these semantic keyframes increases overlap between training and test-time policy inputs by reducing the size of the effective input history space, while preserving all the task-relevant information needed for accurate action prediction. This enables robust generalization despite limited coverage over all histories in the data. In this paper, we instantiate this idea via a concrete approach we call Big Picture Policies (BPP), which trains robotic policies conditioned on semantic keyframes. BPP leverages an off-the-shelf vision-language model (VLM) to identify task-relevant keyframes via simple question answering, projecting long and diverse trajectory histories into a compact set of informative inputs for policy learning. We evaluate BPP on four challenging real-world bimanual manipulation tasks and three simulated tasks, all of which require memory to succeed. Across all settings, BPP substantially outperforms strong history-conditioned and memoryless baselines, achieving up to 70% higher success rates in real-world evaluations. Our contributions are twofold: (i) we show that the central challenge in history-conditioned policy learning is coverage over histories, and that regularization-based approaches provide inconsistent, task-dependent improvements without resolving the core underlying issue; and (ii) we introduce BPP, a simple yet effective method that leverages VLMs to identify task-relevant keyframes, achieving state-of-the-art performance with improved data efficiency and reduced training time. 2. Related Work History in robot learning policies. Most high-performing robot policies predict actions conditioned only on the current observation [13–15, 24, 25, 34]. This raises a natural question:</w:t>
      </w:r>
    </w:p>
    <w:p>
      <w:pPr>
        <w:pStyle w:val="Heading2"/>
      </w:pPr>
      <w:r>
        <w:t>Conclusion</w:t>
      </w:r>
    </w:p>
    <w:p>
      <w:r>
        <w:t>Mug Replacement). BPP also relies on accurate keyframe detection. Although our ablations show robustness to some errors, systematic false positives, such as misclassifying an empty grasp, can trigger premature state transitions. Future work could address these issues by distilling keyframe detection into low-latency models. More broadly, BPP points toward event- based robot learning, where abstracting continuous control into semantic milestones offers a promising path for scaling to multi-stage, long-horizon tasks using diverse, non-expert data. Future Directions. While BPP currently relies on task-specific VLM prompting, the salient event definitions used for keyframe detection are simple enough that large language models could feasibly generate them at scale for new tasks. This opens a path toward automatically labeling keyframes across large, diverse datasets – a key ingredient for training history-conditioned generalist robot policies. Beyond tasks that explicitly require memory, the core insight of BPP, that conditioning on semantically meaningful keyframes rather than raw observation histories yields more robust and efficient learning, extends naturally to other settings. In particular, tasks that demand fast adaptation or forms of in-context learning stand to benefit from similar abstractions. Consider, for example, a policy that must learn from past failed attempts: a single point observation (i.e., an image and state from one timestep) may not capture enough information to understand why a grasp failed. In such cases, the notion of a keyframe can be generalized to key segments, or short sequences of consecutive frames that capture the relevant event, such as a failed grasp, providing richer context for downstream learning. Extending BPP to these settings is an important direction for future work. Acknowledgements We thank the robot operators from GDM Robotics for their efforts in collecting demonstrations and conducting policy evaluations. We are also grateful to the members of the CMU AIRe lab and GDM Robotics for their valuable discussions and feedback on this work. This work was done when MSM was a student researcher at Google DeepMind.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