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From Alone to Unique</w:t>
      </w:r>
    </w:p>
    <w:p>
      <w:r>
        <w:t>From Alone to Unique</w:t>
      </w:r>
    </w:p>
    <w:p>
      <w:r>
        <w:t>Whether I was blowing out candles, writing a letter to santa, or waiting for the clock to turn 11:11, my one wish growing up was not for something, but for someone. I wanted a sibling. I would always look to my friends and think how lucky they were to have brothers and sisters to play with, while I was stuck at home alone with my parents.</w:t>
      </w:r>
    </w:p>
    <w:p>
      <w:r>
        <w:t>However, these sentiments soon changed and my life was transformed, when my parents came home with my new sister, Mia. And while Mia was a furry, Lhasa Apso dog, rather than the human baby sister or brother I dreamed of, she helped me accept and even cherish my life as an only child. I came to realize, however, that it would take much longer for me, and much more than a dog, to accept the other ways I felt alone within my group of friends and my community as a whole.</w:t>
      </w:r>
    </w:p>
    <w:p>
      <w:r>
        <w:t>Living in a predominantly white town and attending a school with a population of about 75% white students has had a huge impact on the way I view my Filipino self. While my friends ate turkey and cheese sandwiches at lunch, I would secretly pick at the traditional adobo chicken my mom had sent me that day. I stood by as my classmates made jokes stereotyping and generalizing Asians into one category, even though I knew there were vast differences in our cultures. During social studies classes, I noticed that I learned more about the ancestry of my friends, rather than my own. Consequently, I began to accept the notion that my heritage was of less importance and something to be ashamed of. I masked the pungent aromas of the Filipino delicacies my immigrant parents made with pasta and hamburgers when my friends came over, I laughed off incidents when parents or teachers would mistake me for the only other Filipino girl in my grade, and I recognized that learning solely about European and East Asian history in world history classes was the norm. I started to believe that assimilation was the only pathway to acceptance, along with the only way I could feel less alone within my community.</w:t>
      </w:r>
    </w:p>
    <w:p>
      <w:r>
        <w:t>It was not until I entered high school that I realized how wrong I was. Although I did not encounter an increase in diversity in terms of ethnicity, I saw an increase in the spectrum of perspectives around me. Through electives, clubs, and activities, the student body I was met with since my freshman year was open-minded, as well as politically and culturally active and engaged, and I immediately joined in. At speech and debate tournaments, I talked with students from across the globe, while at discussions between the High School Democrats Club and Young Conservatives Club at my school, I enjoyed listening and being exposed to different viewpoints. Suddenly, I was no longer willing to feel defeated and instead began to feel confident in displaying my Filipino pride. I introduced my friends to an array of Filipino dishes from lumpia to toron, I asked my social studies teachers questions about the history and current state of the Philippines, and I no longer saw myself and my background as what differentiated me from others and caused my feelings of aloneness, but as something that I should embrace.</w:t>
      </w:r>
    </w:p>
    <w:p>
      <w:r>
        <w:t>I changed my narrative from “alone” to “unique,” and I strive to spread the message that being different can and should be the norm to my peers. I would not be who I am without my Filipino background, and although the community I live in is what previously made me feel alone, it is also what gave me the potential to learn, grow, and broadened my appreciation for what made me unique.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