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3864"/>
          <w:sz w:val="30"/>
          <w:szCs w:val="30"/>
        </w:rPr>
        <w:t xml:space="preserve">Multi-Objective Optimization of Sustainable Aviation Fuel Blends</w:t>
      </w:r>
    </w:p>
    <w:p>
      <w:pPr>
        <w:spacing w:after="140"/>
        <w:jc w:val="center"/>
      </w:pPr>
      <w:r>
        <w:rPr>
          <w:rFonts w:ascii="Arial" w:cs="Arial" w:eastAsia="Arial" w:hAnsi="Arial"/>
          <w:i/>
          <w:iCs/>
          <w:color w:val="444444"/>
          <w:sz w:val="19"/>
          <w:szCs w:val="19"/>
        </w:rPr>
        <w:t xml:space="preserve">Using a Physics- and Kinetics-Informed Turbofan Simulation — Technical Summary</w:t>
      </w:r>
    </w:p>
    <w:p>
      <w:pPr>
        <w:pStyle w:val="Heading1"/>
        <w:pBdr>
          <w:bottom w:val="single" w:color="1F3864" w:sz="4" w:space="2"/>
        </w:pBdr>
        <w:spacing w:after="60" w:before="140"/>
      </w:pPr>
      <w:r>
        <w:rPr>
          <w:rFonts w:ascii="Arial" w:cs="Arial" w:eastAsia="Arial" w:hAnsi="Arial"/>
          <w:b/>
          <w:bCs/>
          <w:color w:val="1F3864"/>
          <w:sz w:val="22"/>
          <w:szCs w:val="22"/>
        </w:rPr>
        <w:t xml:space="preserve">Overview</w:t>
      </w:r>
    </w:p>
    <w:p>
      <w:pPr>
        <w:spacing w:after="60" w:before="0" w:line="235"/>
      </w:pPr>
      <w:r>
        <w:rPr>
          <w:rFonts w:ascii="Arial" w:cs="Arial" w:eastAsia="Arial" w:hAnsi="Arial"/>
          <w:b w:val="false"/>
          <w:bCs w:val="false"/>
          <w:i w:val="false"/>
          <w:iCs w:val="false"/>
          <w:sz w:val="19"/>
          <w:szCs w:val="19"/>
        </w:rPr>
        <w:t xml:space="preserve">This project is a turbofan “digital twin” that predicts jet engine performance and emissions for Jet-A1 and sustainable aviation fuel (SAF) blends, then runs multi-objective Bayesian optimization over fuel composition to identify Pareto-optimal blends. The motivation is a gap in existing tools: one-dimensional thermodynamic cycle models lack fuel-specific chemical detail, while full computational fluid dynamics (CFD) is too expensive to sweep across hundreds of candidate blends. The framework combines Cantera-based chemical kinetics, physics-informed neural networks (PINNs), and Optuna-based optimization into a single pipeline, screening SAF candidates across thrust, thrust-specific fuel consumption (TSFC), NOx emissions, and lifecycle CO₂ without requiring CFD for every blend.</w:t>
      </w:r>
    </w:p>
    <w:p>
      <w:pPr>
        <w:pStyle w:val="Heading1"/>
        <w:pBdr>
          <w:bottom w:val="single" w:color="1F3864" w:sz="4" w:space="2"/>
        </w:pBdr>
        <w:spacing w:after="60" w:before="140"/>
      </w:pPr>
      <w:r>
        <w:rPr>
          <w:rFonts w:ascii="Arial" w:cs="Arial" w:eastAsia="Arial" w:hAnsi="Arial"/>
          <w:b/>
          <w:bCs/>
          <w:color w:val="1F3864"/>
          <w:sz w:val="22"/>
          <w:szCs w:val="22"/>
        </w:rPr>
        <w:t xml:space="preserve">System Architecture: Hybrid Grey-Box Engine Model</w:t>
      </w:r>
    </w:p>
    <w:p>
      <w:pPr>
        <w:spacing w:after="60" w:before="0" w:line="235"/>
      </w:pPr>
      <w:r>
        <w:rPr>
          <w:rFonts w:ascii="Arial" w:cs="Arial" w:eastAsia="Arial" w:hAnsi="Arial"/>
          <w:b w:val="false"/>
          <w:bCs w:val="false"/>
          <w:i w:val="false"/>
          <w:iCs w:val="false"/>
          <w:sz w:val="19"/>
          <w:szCs w:val="19"/>
        </w:rPr>
        <w:t xml:space="preserve">The Brayton cycle is decomposed into four components, each modeled with the technique best suited to its governing physics:</w:t>
      </w:r>
    </w:p>
    <w:p>
      <w:pPr>
        <w:pStyle w:val="ListParagraph"/>
        <w:numPr>
          <w:ilvl w:val="0"/>
          <w:numId w:val="2"/>
        </w:numPr>
        <w:spacing w:after="30" w:line="230"/>
      </w:pPr>
      <w:r>
        <w:rPr>
          <w:rFonts w:ascii="Arial" w:cs="Arial" w:eastAsia="Arial" w:hAnsi="Arial"/>
          <w:sz w:val="19"/>
          <w:szCs w:val="19"/>
        </w:rPr>
        <w:t xml:space="preserve">Compressor (Cantera) — isentropic compression corrected by a learnable efficiency factor ηc; relates pressure ratio πc to outlet temperature, pressure, and enthalpy.</w:t>
      </w:r>
    </w:p>
    <w:p>
      <w:pPr>
        <w:pStyle w:val="ListParagraph"/>
        <w:numPr>
          <w:ilvl w:val="0"/>
          <w:numId w:val="2"/>
        </w:numPr>
        <w:spacing w:after="30" w:line="230"/>
      </w:pPr>
      <w:r>
        <w:rPr>
          <w:rFonts w:ascii="Arial" w:cs="Arial" w:eastAsia="Arial" w:hAnsi="Arial"/>
          <w:sz w:val="19"/>
          <w:szCs w:val="19"/>
        </w:rPr>
        <w:t xml:space="preserve">Combustor (Cantera) — an IdealGasConstPressureReactor solving species evolution (dYk/dt = ωk) and energy balance to yield adiabatic flame temperature, product species, and outlet enthalpy; combustion efficiency N_CMB is a second learnable parameter.</w:t>
      </w:r>
    </w:p>
    <w:p>
      <w:pPr>
        <w:pStyle w:val="ListParagraph"/>
        <w:numPr>
          <w:ilvl w:val="0"/>
          <w:numId w:val="2"/>
        </w:numPr>
        <w:spacing w:after="30" w:line="230"/>
      </w:pPr>
      <w:r>
        <w:rPr>
          <w:rFonts w:ascii="Arial" w:cs="Arial" w:eastAsia="Arial" w:hAnsi="Arial"/>
          <w:sz w:val="19"/>
          <w:szCs w:val="19"/>
        </w:rPr>
        <w:t xml:space="preserve">Turbine (PINN) — enforces mass conservation, momentum conservation with a blade-drag loss term, an enthalpy/shaft-work balance tied to compressor power demand, and the ideal gas law along the axial coordinate.</w:t>
      </w:r>
    </w:p>
    <w:p>
      <w:pPr>
        <w:pStyle w:val="ListParagraph"/>
        <w:numPr>
          <w:ilvl w:val="0"/>
          <w:numId w:val="2"/>
        </w:numPr>
        <w:spacing w:after="30" w:line="230"/>
      </w:pPr>
      <w:r>
        <w:rPr>
          <w:rFonts w:ascii="Arial" w:cs="Arial" w:eastAsia="Arial" w:hAnsi="Arial"/>
          <w:sz w:val="19"/>
          <w:szCs w:val="19"/>
        </w:rPr>
        <w:t xml:space="preserve">Nozzle (PINN) — enforces quasi-1D isentropic expansion, adiabatic stagnation-enthalpy conservation, and a choke check, converting turbine-exit enthalpy into exit velocity and thrust (F = ṁu_e + (p_e − p_a)A_e).</w:t>
      </w:r>
    </w:p>
    <w:p>
      <w:pPr>
        <w:spacing w:after="60" w:before="0" w:line="235"/>
      </w:pPr>
      <w:r>
        <w:rPr>
          <w:rFonts w:ascii="Arial" w:cs="Arial" w:eastAsia="Arial" w:hAnsi="Arial"/>
          <w:b w:val="false"/>
          <w:bCs w:val="false"/>
          <w:i w:val="false"/>
          <w:iCs w:val="false"/>
          <w:sz w:val="19"/>
          <w:szCs w:val="19"/>
        </w:rPr>
        <w:t xml:space="preserve">Cantera handles the two components governed by chemical kinetics; PINNs handle the two governed primarily by flow PDEs, where labeled data is sparse but governing equations are well known. Each PINN is a 5-layer MLP (widths 64/64/64/32/32, tanh activations, ~20,000 parameters) with Softplus outputs on ρ, p, T (positivity) and ReLU on u (no backflow), trained in PyTorch with Adam. The loss combines PDE residuals, boundary conditions, physical regularizers (monotonic pressure decrease, subsonic Mach limits), and a work-balance constraint: L = L_PDE + L_BC + L_phys + L_work.</w:t>
      </w:r>
    </w:p>
    <w:p>
      <w:pPr>
        <w:pStyle w:val="Heading1"/>
        <w:pBdr>
          <w:bottom w:val="single" w:color="1F3864" w:sz="4" w:space="2"/>
        </w:pBdr>
        <w:spacing w:after="60" w:before="140"/>
      </w:pPr>
      <w:r>
        <w:rPr>
          <w:rFonts w:ascii="Arial" w:cs="Arial" w:eastAsia="Arial" w:hAnsi="Arial"/>
          <w:b/>
          <w:bCs/>
          <w:color w:val="1F3864"/>
          <w:sz w:val="22"/>
          <w:szCs w:val="22"/>
        </w:rPr>
        <w:t xml:space="preserve">Fuel Chemistry and Blend Representation</w:t>
      </w:r>
    </w:p>
    <w:p>
      <w:pPr>
        <w:spacing w:after="60" w:before="0" w:line="235"/>
      </w:pPr>
      <w:r>
        <w:rPr>
          <w:rFonts w:ascii="Arial" w:cs="Arial" w:eastAsia="Arial" w:hAnsi="Arial"/>
          <w:b w:val="false"/>
          <w:bCs w:val="false"/>
          <w:i w:val="false"/>
          <w:iCs w:val="false"/>
          <w:sz w:val="19"/>
          <w:szCs w:val="19"/>
        </w:rPr>
        <w:t xml:space="preserve">All combustion uses a single detailed mechanism (CRECK C₁–C₁₆) so that thermodynamic properties, reaction rates, and transport coefficients stay consistent across every fuel comparison; a separate HyChem Jet-A1 mechanism is used only for independent validation, not inside the optimization loop. SAF pathways are represented by surrogate hydrocarbon mixtures matching each ASTM pathway's dominant molecular class: HEFA-SPK as 60% n-dodecane / 40% iso-octane, FT-SPK as 45% n-dodecane / 35% n-decane / 20% iso-octane, and ATJ-SPK as 75% iso-octane / 25% n-dodecane. Blends are parameterized as a composition vector {p_J, p_H, p_F, p_A} constrained so Jet-A1 ≥ 50% (ASTM-style limit). Each blend also carries a lifecycle carbon-intensity factor relative to Jet-A1 (Jet-A1 = 1.0, HEFA = 0.2, FT = 0.1, ATJ = 0.3), separating direct combustion CO₂ from well-to-wake lifecycle carbon.</w:t>
      </w:r>
    </w:p>
    <w:p>
      <w:pPr>
        <w:pStyle w:val="Heading1"/>
        <w:pBdr>
          <w:bottom w:val="single" w:color="1F3864" w:sz="4" w:space="2"/>
        </w:pBdr>
        <w:spacing w:after="60" w:before="140"/>
      </w:pPr>
      <w:r>
        <w:rPr>
          <w:rFonts w:ascii="Arial" w:cs="Arial" w:eastAsia="Arial" w:hAnsi="Arial"/>
          <w:b/>
          <w:bCs/>
          <w:color w:val="1F3864"/>
          <w:sz w:val="22"/>
          <w:szCs w:val="22"/>
        </w:rPr>
        <w:t xml:space="preserve">Validation Against ICAO LTO Data</w:t>
      </w:r>
    </w:p>
    <w:p>
      <w:pPr>
        <w:spacing w:after="60" w:before="0" w:line="235"/>
      </w:pPr>
      <w:r>
        <w:rPr>
          <w:rFonts w:ascii="Arial" w:cs="Arial" w:eastAsia="Arial" w:hAnsi="Arial"/>
          <w:b w:val="false"/>
          <w:bCs w:val="false"/>
          <w:i w:val="false"/>
          <w:iCs w:val="false"/>
          <w:sz w:val="19"/>
          <w:szCs w:val="19"/>
        </w:rPr>
        <w:t xml:space="preserve">The integrated model was validated against ICAO Landing-Takeoff (LTO) fuel-flow data for the Rolls-Royce Trent XWB-84EP across idle, approach, climb, and takeoff, achieving an overall mean absolute percentage error of 11.3% (paired t-test: t = 1.04, p = 0.3734 — not statistically distinguishable from ICAO reference values, though the sample is only four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2"/>
              <w:left w:val="single" w:color="CCCCCC" w:sz="2"/>
              <w:bottom w:val="single" w:color="CCCCCC" w:sz="2"/>
              <w:right w:val="single" w:color="CCCCCC" w:sz="2"/>
            </w:tcBorders>
            <w:shd w:fill="1F3864" w:val="clear"/>
            <w:tcMar>
              <w:top w:type="dxa" w:w="40"/>
              <w:left w:type="dxa" w:w="90"/>
              <w:bottom w:type="dxa" w:w="40"/>
              <w:right w:type="dxa" w:w="90"/>
            </w:tcMar>
          </w:tcPr>
          <w:p>
            <w:pPr>
              <w:jc w:val="left"/>
            </w:pPr>
            <w:r>
              <w:rPr>
                <w:rFonts w:ascii="Arial" w:cs="Arial" w:eastAsia="Arial" w:hAnsi="Arial"/>
                <w:b/>
                <w:bCs/>
                <w:color w:val="FFFFFF"/>
                <w:sz w:val="18"/>
                <w:szCs w:val="18"/>
              </w:rPr>
              <w:t xml:space="preserve">LTO Mode</w:t>
            </w:r>
          </w:p>
        </w:tc>
        <w:tc>
          <w:tcPr>
            <w:tcW w:type="dxa" w:w="2000"/>
            <w:tcBorders>
              <w:top w:val="single" w:color="CCCCCC" w:sz="2"/>
              <w:left w:val="single" w:color="CCCCCC" w:sz="2"/>
              <w:bottom w:val="single" w:color="CCCCCC" w:sz="2"/>
              <w:right w:val="single" w:color="CCCCCC" w:sz="2"/>
            </w:tcBorders>
            <w:shd w:fill="1F3864" w:val="clear"/>
            <w:tcMar>
              <w:top w:type="dxa" w:w="40"/>
              <w:left w:type="dxa" w:w="90"/>
              <w:bottom w:type="dxa" w:w="40"/>
              <w:right w:type="dxa" w:w="90"/>
            </w:tcMar>
          </w:tcPr>
          <w:p>
            <w:pPr>
              <w:jc w:val="left"/>
            </w:pPr>
            <w:r>
              <w:rPr>
                <w:rFonts w:ascii="Arial" w:cs="Arial" w:eastAsia="Arial" w:hAnsi="Arial"/>
                <w:b/>
                <w:bCs/>
                <w:color w:val="FFFFFF"/>
                <w:sz w:val="18"/>
                <w:szCs w:val="18"/>
              </w:rPr>
              <w:t xml:space="preserve">ICAO Fuel Flow</w:t>
            </w:r>
          </w:p>
        </w:tc>
        <w:tc>
          <w:tcPr>
            <w:tcW w:type="dxa" w:w="2200"/>
            <w:tcBorders>
              <w:top w:val="single" w:color="CCCCCC" w:sz="2"/>
              <w:left w:val="single" w:color="CCCCCC" w:sz="2"/>
              <w:bottom w:val="single" w:color="CCCCCC" w:sz="2"/>
              <w:right w:val="single" w:color="CCCCCC" w:sz="2"/>
            </w:tcBorders>
            <w:shd w:fill="1F3864" w:val="clear"/>
            <w:tcMar>
              <w:top w:type="dxa" w:w="40"/>
              <w:left w:type="dxa" w:w="90"/>
              <w:bottom w:type="dxa" w:w="40"/>
              <w:right w:type="dxa" w:w="90"/>
            </w:tcMar>
          </w:tcPr>
          <w:p>
            <w:pPr>
              <w:jc w:val="left"/>
            </w:pPr>
            <w:r>
              <w:rPr>
                <w:rFonts w:ascii="Arial" w:cs="Arial" w:eastAsia="Arial" w:hAnsi="Arial"/>
                <w:b/>
                <w:bCs/>
                <w:color w:val="FFFFFF"/>
                <w:sz w:val="18"/>
                <w:szCs w:val="18"/>
              </w:rPr>
              <w:t xml:space="preserve">Simulated</w:t>
            </w:r>
          </w:p>
        </w:tc>
        <w:tc>
          <w:tcPr>
            <w:tcW w:type="dxa" w:w="2960"/>
            <w:tcBorders>
              <w:top w:val="single" w:color="CCCCCC" w:sz="2"/>
              <w:left w:val="single" w:color="CCCCCC" w:sz="2"/>
              <w:bottom w:val="single" w:color="CCCCCC" w:sz="2"/>
              <w:right w:val="single" w:color="CCCCCC" w:sz="2"/>
            </w:tcBorders>
            <w:shd w:fill="1F3864" w:val="clear"/>
            <w:tcMar>
              <w:top w:type="dxa" w:w="40"/>
              <w:left w:type="dxa" w:w="90"/>
              <w:bottom w:type="dxa" w:w="40"/>
              <w:right w:type="dxa" w:w="90"/>
            </w:tcMar>
          </w:tcPr>
          <w:p>
            <w:pPr>
              <w:jc w:val="left"/>
            </w:pPr>
            <w:r>
              <w:rPr>
                <w:rFonts w:ascii="Arial" w:cs="Arial" w:eastAsia="Arial" w:hAnsi="Arial"/>
                <w:b/>
                <w:bCs/>
                <w:color w:val="FFFFFF"/>
                <w:sz w:val="18"/>
                <w:szCs w:val="18"/>
              </w:rPr>
              <w:t xml:space="preserve">Relative Error</w:t>
            </w:r>
          </w:p>
        </w:tc>
      </w:tr>
      <w:tr>
        <w:tc>
          <w:tcPr>
            <w:tcW w:type="dxa" w:w="22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Idle</w:t>
            </w:r>
          </w:p>
        </w:tc>
        <w:tc>
          <w:tcPr>
            <w:tcW w:type="dxa" w:w="20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~0.27 kg/s</w:t>
            </w:r>
          </w:p>
        </w:tc>
        <w:tc>
          <w:tcPr>
            <w:tcW w:type="dxa" w:w="22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~0.23 kg/s</w:t>
            </w:r>
          </w:p>
        </w:tc>
        <w:tc>
          <w:tcPr>
            <w:tcW w:type="dxa" w:w="296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-14.4%</w:t>
            </w:r>
          </w:p>
        </w:tc>
      </w:tr>
      <w:tr>
        <w:tc>
          <w:tcPr>
            <w:tcW w:type="dxa" w:w="22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Approach</w:t>
            </w:r>
          </w:p>
        </w:tc>
        <w:tc>
          <w:tcPr>
            <w:tcW w:type="dxa" w:w="20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~0.66 kg/s</w:t>
            </w:r>
          </w:p>
        </w:tc>
        <w:tc>
          <w:tcPr>
            <w:tcW w:type="dxa" w:w="22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~0.67 kg/s</w:t>
            </w:r>
          </w:p>
        </w:tc>
        <w:tc>
          <w:tcPr>
            <w:tcW w:type="dxa" w:w="296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+2.1%</w:t>
            </w:r>
          </w:p>
        </w:tc>
      </w:tr>
      <w:tr>
        <w:tc>
          <w:tcPr>
            <w:tcW w:type="dxa" w:w="22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Climb</w:t>
            </w:r>
          </w:p>
        </w:tc>
        <w:tc>
          <w:tcPr>
            <w:tcW w:type="dxa" w:w="20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~2.05 kg/s</w:t>
            </w:r>
          </w:p>
        </w:tc>
        <w:tc>
          <w:tcPr>
            <w:tcW w:type="dxa" w:w="22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~2.10 kg/s</w:t>
            </w:r>
          </w:p>
        </w:tc>
        <w:tc>
          <w:tcPr>
            <w:tcW w:type="dxa" w:w="296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+2.2%</w:t>
            </w:r>
          </w:p>
        </w:tc>
      </w:tr>
      <w:tr>
        <w:tc>
          <w:tcPr>
            <w:tcW w:type="dxa" w:w="22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Takeoff</w:t>
            </w:r>
          </w:p>
        </w:tc>
        <w:tc>
          <w:tcPr>
            <w:tcW w:type="dxa" w:w="20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~2.45 kg/s</w:t>
            </w:r>
          </w:p>
        </w:tc>
        <w:tc>
          <w:tcPr>
            <w:tcW w:type="dxa" w:w="22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~2.66 kg/s</w:t>
            </w:r>
          </w:p>
        </w:tc>
        <w:tc>
          <w:tcPr>
            <w:tcW w:type="dxa" w:w="296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+26.6%</w:t>
            </w:r>
          </w:p>
        </w:tc>
      </w:tr>
    </w:tbl>
    <w:p>
      <w:pPr>
        <w:spacing w:after="100" w:before="0" w:line="235"/>
      </w:pPr>
      <w:r>
        <w:rPr>
          <w:rFonts w:ascii="Arial" w:cs="Arial" w:eastAsia="Arial" w:hAnsi="Arial"/>
          <w:b w:val="false"/>
          <w:bCs w:val="false"/>
          <w:i w:val="false"/>
          <w:iCs w:val="false"/>
          <w:sz w:val="19"/>
          <w:szCs w:val="19"/>
        </w:rPr>
        <w:t xml:space="preserve">Agreement is closest at approach and climb, where thermodynamic cycle assumptions are most stable; idle is underpredicted (missing low-power inefficiency effects) and takeoff is overpredicted (small errors amplify under maximum heat release and pressure ratio). The model is positioned as a comparative SAF-screening tool, not a certification-grade predictor.</w:t>
      </w:r>
    </w:p>
    <w:p>
      <w:pPr>
        <w:pStyle w:val="Heading1"/>
        <w:pBdr>
          <w:bottom w:val="single" w:color="1F3864" w:sz="4" w:space="2"/>
        </w:pBdr>
        <w:spacing w:after="60" w:before="140"/>
      </w:pPr>
      <w:r>
        <w:rPr>
          <w:rFonts w:ascii="Arial" w:cs="Arial" w:eastAsia="Arial" w:hAnsi="Arial"/>
          <w:b/>
          <w:bCs/>
          <w:color w:val="1F3864"/>
          <w:sz w:val="22"/>
          <w:szCs w:val="22"/>
        </w:rPr>
        <w:t xml:space="preserve">Optimization Formulation and Representative Result</w:t>
      </w:r>
    </w:p>
    <w:p>
      <w:pPr>
        <w:spacing w:after="60" w:before="0" w:line="235"/>
      </w:pPr>
      <w:r>
        <w:rPr>
          <w:rFonts w:ascii="Arial" w:cs="Arial" w:eastAsia="Arial" w:hAnsi="Arial"/>
          <w:b w:val="false"/>
          <w:bCs w:val="false"/>
          <w:i w:val="false"/>
          <w:iCs w:val="false"/>
          <w:sz w:val="19"/>
          <w:szCs w:val="19"/>
        </w:rPr>
        <w:t xml:space="preserve">Optuna's tree-structured Parzen estimator (TPE) searches five continuous variables — total SAF fraction, unnormalized HEFA/FT/ATJ weights (normalized to sum to the SAF fraction), and combustor equivalence ratio Φ — against four objectives: minimize TSFC, maximize specific thrust, minimize net CO₂, and minimize NOx. This produces a Pareto front rather than a single optimum, reflecting that no blend simultaneously wins on every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c>
          <w:tcPr>
            <w:tcW w:type="dxa" w:w="3760"/>
            <w:tcBorders>
              <w:top w:val="single" w:color="CCCCCC" w:sz="2"/>
              <w:left w:val="single" w:color="CCCCCC" w:sz="2"/>
              <w:bottom w:val="single" w:color="CCCCCC" w:sz="2"/>
              <w:right w:val="single" w:color="CCCCCC" w:sz="2"/>
            </w:tcBorders>
            <w:shd w:fill="1F3864" w:val="clear"/>
            <w:tcMar>
              <w:top w:type="dxa" w:w="40"/>
              <w:left w:type="dxa" w:w="90"/>
              <w:bottom w:type="dxa" w:w="40"/>
              <w:right w:type="dxa" w:w="90"/>
            </w:tcMar>
          </w:tcPr>
          <w:p>
            <w:pPr>
              <w:jc w:val="left"/>
            </w:pPr>
            <w:r>
              <w:rPr>
                <w:rFonts w:ascii="Arial" w:cs="Arial" w:eastAsia="Arial" w:hAnsi="Arial"/>
                <w:b/>
                <w:bCs/>
                <w:color w:val="FFFFFF"/>
                <w:sz w:val="18"/>
                <w:szCs w:val="18"/>
              </w:rPr>
              <w:t xml:space="preserve">Metric</w:t>
            </w:r>
          </w:p>
        </w:tc>
        <w:tc>
          <w:tcPr>
            <w:tcW w:type="dxa" w:w="5600"/>
            <w:tcBorders>
              <w:top w:val="single" w:color="CCCCCC" w:sz="2"/>
              <w:left w:val="single" w:color="CCCCCC" w:sz="2"/>
              <w:bottom w:val="single" w:color="CCCCCC" w:sz="2"/>
              <w:right w:val="single" w:color="CCCCCC" w:sz="2"/>
            </w:tcBorders>
            <w:shd w:fill="1F3864" w:val="clear"/>
            <w:tcMar>
              <w:top w:type="dxa" w:w="40"/>
              <w:left w:type="dxa" w:w="90"/>
              <w:bottom w:type="dxa" w:w="40"/>
              <w:right w:type="dxa" w:w="90"/>
            </w:tcMar>
          </w:tcPr>
          <w:p>
            <w:pPr>
              <w:jc w:val="left"/>
            </w:pPr>
            <w:r>
              <w:rPr>
                <w:rFonts w:ascii="Arial" w:cs="Arial" w:eastAsia="Arial" w:hAnsi="Arial"/>
                <w:b/>
                <w:bCs/>
                <w:color w:val="FFFFFF"/>
                <w:sz w:val="18"/>
                <w:szCs w:val="18"/>
              </w:rPr>
              <w:t xml:space="preserve">Representative Balanced Blend</w:t>
            </w:r>
          </w:p>
        </w:tc>
      </w:tr>
      <w:tr>
        <w:tc>
          <w:tcPr>
            <w:tcW w:type="dxa" w:w="376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Fuel composition</w:t>
            </w:r>
          </w:p>
        </w:tc>
        <w:tc>
          <w:tcPr>
            <w:tcW w:type="dxa" w:w="56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Jet-A1 base + 11.3% HEFA-SPK, 9.5% FT-SPK, 8.8% ATJ-SPK (~29.6% total SAF)</w:t>
            </w:r>
          </w:p>
        </w:tc>
      </w:tr>
      <w:tr>
        <w:tc>
          <w:tcPr>
            <w:tcW w:type="dxa" w:w="376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TSFC</w:t>
            </w:r>
          </w:p>
        </w:tc>
        <w:tc>
          <w:tcPr>
            <w:tcW w:type="dxa" w:w="56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29.46 mg/(N*s)</w:t>
            </w:r>
          </w:p>
        </w:tc>
      </w:tr>
      <w:tr>
        <w:tc>
          <w:tcPr>
            <w:tcW w:type="dxa" w:w="376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Specific thrust</w:t>
            </w:r>
          </w:p>
        </w:tc>
        <w:tc>
          <w:tcPr>
            <w:tcW w:type="dxa" w:w="56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800.6 N*s/kg</w:t>
            </w:r>
          </w:p>
        </w:tc>
      </w:tr>
      <w:tr>
        <w:tc>
          <w:tcPr>
            <w:tcW w:type="dxa" w:w="376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NOx</w:t>
            </w:r>
          </w:p>
        </w:tc>
        <w:tc>
          <w:tcPr>
            <w:tcW w:type="dxa" w:w="56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87.65 g/kg</w:t>
            </w:r>
          </w:p>
        </w:tc>
      </w:tr>
      <w:tr>
        <w:tc>
          <w:tcPr>
            <w:tcW w:type="dxa" w:w="376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Lifecycle carbon factor (LCA)</w:t>
            </w:r>
          </w:p>
        </w:tc>
        <w:tc>
          <w:tcPr>
            <w:tcW w:type="dxa" w:w="5600"/>
            <w:tcBorders>
              <w:top w:val="single" w:color="CCCCCC" w:sz="2"/>
              <w:left w:val="single" w:color="CCCCCC" w:sz="2"/>
              <w:bottom w:val="single" w:color="CCCCCC" w:sz="2"/>
              <w:right w:val="single" w:color="CCCCCC" w:sz="2"/>
            </w:tcBorders>
            <w:tcMar>
              <w:top w:type="dxa" w:w="40"/>
              <w:left w:type="dxa" w:w="90"/>
              <w:bottom w:type="dxa" w:w="40"/>
              <w:right w:type="dxa" w:w="90"/>
            </w:tcMar>
          </w:tcPr>
          <w:p>
            <w:pPr>
              <w:jc w:val="left"/>
            </w:pPr>
            <w:r>
              <w:rPr>
                <w:rFonts w:ascii="Arial" w:cs="Arial" w:eastAsia="Arial" w:hAnsi="Arial"/>
                <w:b w:val="false"/>
                <w:bCs w:val="false"/>
                <w:color w:val="000000"/>
                <w:sz w:val="18"/>
                <w:szCs w:val="18"/>
              </w:rPr>
              <w:t xml:space="preserve">0.762 (relative to Jet-A1 = 1.0)</w:t>
            </w:r>
          </w:p>
        </w:tc>
      </w:tr>
    </w:tbl>
    <w:p>
      <w:pPr>
        <w:pStyle w:val="Heading1"/>
        <w:pBdr>
          <w:bottom w:val="single" w:color="1F3864" w:sz="4" w:space="2"/>
        </w:pBdr>
        <w:spacing w:after="60" w:before="140"/>
      </w:pPr>
      <w:r>
        <w:rPr>
          <w:rFonts w:ascii="Arial" w:cs="Arial" w:eastAsia="Arial" w:hAnsi="Arial"/>
          <w:b/>
          <w:bCs/>
          <w:color w:val="1F3864"/>
          <w:sz w:val="22"/>
          <w:szCs w:val="22"/>
        </w:rPr>
        <w:t xml:space="preserve">Key Findings</w:t>
      </w:r>
    </w:p>
    <w:p>
      <w:pPr>
        <w:pStyle w:val="ListParagraph"/>
        <w:numPr>
          <w:ilvl w:val="0"/>
          <w:numId w:val="2"/>
        </w:numPr>
        <w:spacing w:after="30" w:line="230"/>
      </w:pPr>
      <w:r>
        <w:rPr>
          <w:rFonts w:ascii="Arial" w:cs="Arial" w:eastAsia="Arial" w:hAnsi="Arial"/>
          <w:sz w:val="19"/>
          <w:szCs w:val="19"/>
        </w:rPr>
        <w:t xml:space="preserve">Bulk thrust and TSFC are governed more by thermodynamic cycle state than by which SAF is blended in — Jet-A1 and SAF blends produce nearly identical thrust/TSFC at a fixed design point, so the real optimization question is not “can SAF maintain thrust” but how to trade off lifecycle carbon, NOx, and fuel consumption.</w:t>
      </w:r>
    </w:p>
    <w:p>
      <w:pPr>
        <w:pStyle w:val="ListParagraph"/>
        <w:numPr>
          <w:ilvl w:val="0"/>
          <w:numId w:val="2"/>
        </w:numPr>
        <w:spacing w:after="30" w:line="230"/>
      </w:pPr>
      <w:r>
        <w:rPr>
          <w:rFonts w:ascii="Arial" w:cs="Arial" w:eastAsia="Arial" w:hAnsi="Arial"/>
          <w:sz w:val="19"/>
          <w:szCs w:val="19"/>
        </w:rPr>
        <w:t xml:space="preserve">HEFA-SPK, FT-SPK, and ATJ-SPK are not interchangeable: differing H/C ratios, heating values, and LCA factors mean SAF is a multi-component design space, not a single “SAF fraction” knob — the Pareto front spans lifecycle carbon factors from ~0.58 to 1.00.</w:t>
      </w:r>
    </w:p>
    <w:p>
      <w:pPr>
        <w:pStyle w:val="ListParagraph"/>
        <w:numPr>
          <w:ilvl w:val="0"/>
          <w:numId w:val="2"/>
        </w:numPr>
        <w:spacing w:after="30" w:line="230"/>
      </w:pPr>
      <w:r>
        <w:rPr>
          <w:rFonts w:ascii="Arial" w:cs="Arial" w:eastAsia="Arial" w:hAnsi="Arial"/>
          <w:sz w:val="19"/>
          <w:szCs w:val="19"/>
        </w:rPr>
        <w:t xml:space="preserve">Combustor equivalence ratio Φ is a major independent control variable: leaner conditions lower peak flame temperature and suppress NOx, at the cost of combustion-stability margins the reduced-order model does not resolve.</w:t>
      </w:r>
    </w:p>
    <w:p>
      <w:pPr>
        <w:pStyle w:val="ListParagraph"/>
        <w:numPr>
          <w:ilvl w:val="0"/>
          <w:numId w:val="2"/>
        </w:numPr>
        <w:spacing w:after="30" w:line="230"/>
      </w:pPr>
      <w:r>
        <w:rPr>
          <w:rFonts w:ascii="Arial" w:cs="Arial" w:eastAsia="Arial" w:hAnsi="Arial"/>
          <w:sz w:val="19"/>
          <w:szCs w:val="19"/>
        </w:rPr>
        <w:t xml:space="preserve">Maximizing SAF fraction is not automatically optimal — the lowest-carbon blends are near the SAF ceiling, but shift NOx and TSFC simultaneously, motivating the Pareto-front (not single-score) presentation of results.</w:t>
      </w:r>
    </w:p>
    <w:p>
      <w:pPr>
        <w:pStyle w:val="Heading1"/>
        <w:pBdr>
          <w:bottom w:val="single" w:color="1F3864" w:sz="4" w:space="2"/>
        </w:pBdr>
        <w:spacing w:after="60" w:before="140"/>
      </w:pPr>
      <w:r>
        <w:rPr>
          <w:rFonts w:ascii="Arial" w:cs="Arial" w:eastAsia="Arial" w:hAnsi="Arial"/>
          <w:b/>
          <w:bCs/>
          <w:color w:val="1F3864"/>
          <w:sz w:val="22"/>
          <w:szCs w:val="22"/>
        </w:rPr>
        <w:t xml:space="preserve">Implementation Stack</w:t>
      </w:r>
    </w:p>
    <w:p>
      <w:pPr>
        <w:spacing w:after="60" w:before="0" w:line="235"/>
      </w:pPr>
      <w:r>
        <w:rPr>
          <w:rFonts w:ascii="Arial" w:cs="Arial" w:eastAsia="Arial" w:hAnsi="Arial"/>
          <w:b w:val="false"/>
          <w:bCs w:val="false"/>
          <w:i w:val="false"/>
          <w:iCs w:val="false"/>
          <w:sz w:val="19"/>
          <w:szCs w:val="19"/>
        </w:rPr>
        <w:t xml:space="preserve">Python throughout: Cantera 3.0+ (kinetics/thermodynamics), PyTorch (PINNs), Optuna (Bayesian multi-objective optimization), NumPy/SciPy/pandas, and matplotlib/Plotly/Streamlit for visualization and an interactive results dashboard. The full cycle is orchestrated by an IntegratedTurbofanEngine class chaining compressor → combustor → turbine → nozzle. Source and archived releases: github.com/ArnavPatil-Official/JetEngineSimulation; doi.org/10.5281/zenodo.20336725.</w:t>
      </w:r>
    </w:p>
    <w:p>
      <w:pPr>
        <w:pStyle w:val="Heading1"/>
        <w:pBdr>
          <w:bottom w:val="single" w:color="1F3864" w:sz="4" w:space="2"/>
        </w:pBdr>
        <w:spacing w:after="60" w:before="140"/>
      </w:pPr>
      <w:r>
        <w:rPr>
          <w:rFonts w:ascii="Arial" w:cs="Arial" w:eastAsia="Arial" w:hAnsi="Arial"/>
          <w:b/>
          <w:bCs/>
          <w:color w:val="1F3864"/>
          <w:sz w:val="22"/>
          <w:szCs w:val="22"/>
        </w:rPr>
        <w:t xml:space="preserve">Limitations and Future Work</w:t>
      </w:r>
    </w:p>
    <w:p>
      <w:pPr>
        <w:spacing w:after="60" w:before="0" w:line="235"/>
      </w:pPr>
      <w:r>
        <w:rPr>
          <w:rFonts w:ascii="Arial" w:cs="Arial" w:eastAsia="Arial" w:hAnsi="Arial"/>
          <w:b w:val="false"/>
          <w:bCs w:val="false"/>
          <w:i w:val="false"/>
          <w:iCs w:val="false"/>
          <w:sz w:val="19"/>
          <w:szCs w:val="19"/>
        </w:rPr>
        <w:t xml:space="preserve">Validation covers only four standardized ICAO LTO points — cruise, transients, altitude effects, and off-design compressor/turbine behavior remain unvalidated. The engine is reduced-order (ducts, inlets, cooling flows, blade losses, and secondary flows are represented only as boundary conditions and efficiency factors), SAF chemistry is approximated by simplified surrogate species rather than full real-fuel molecular distributions, and LCA factors are normalized scenario assumptions rather than universal pathway constants. Planned extensions include a 2D locally-enhanced nozzle PINN, cruise-condition and additional-engine validation, higher-fidelity SAF surrogates benchmarked against experimental flame-speed and ignition-delay data, and additional optimization objectives (fuel cost, density, viscosity, freezing point, contrail tendency) to better reflect real deployment constraints.</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Arial" w:cs="Arial" w:eastAsia="Arial" w:hAnsi="Arial"/>
        <w:color w:val="666666"/>
        <w:sz w:val="15"/>
        <w:szCs w:val="15"/>
      </w:rPr>
      <w:t xml:space="preserve">JetEngineSimulation — Technical Summary</w:t>
    </w:r>
    <w:r>
      <w:rPr>
        <w:rFonts w:ascii="Arial" w:cs="Arial" w:eastAsia="Arial" w:hAnsi="Arial"/>
        <w:color w:val="666666"/>
        <w:sz w:val="15"/>
        <w:szCs w:val="15"/>
      </w:rPr>
      <w:t xml:space="preserve">	Arnav Patil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2026-07-01T03:57:28.944Z</dcterms:created>
  <dcterms:modified xsi:type="dcterms:W3CDTF">2026-07-01T03:57:28.945Z</dcterms:modified>
</cp:coreProperties>
</file>

<file path=docProps/custom.xml><?xml version="1.0" encoding="utf-8"?>
<Properties xmlns="http://schemas.openxmlformats.org/officeDocument/2006/custom-properties" xmlns:vt="http://schemas.openxmlformats.org/officeDocument/2006/docPropsVTypes"/>
</file>