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072318"/>
        <w:docPartObj>
          <w:docPartGallery w:val="Cover Pages"/>
          <w:docPartUnique/>
        </w:docPartObj>
      </w:sdtPr>
      <w:sdtEndPr>
        <w:rPr>
          <w:lang w:val="en-US"/>
        </w:rPr>
      </w:sdtEndPr>
      <w:sdtContent>
        <w:p w14:paraId="255E5D2E" w14:textId="4E6B341F" w:rsidR="00B20EF8" w:rsidRDefault="00B20EF8"/>
        <w:p w14:paraId="17BEFCC4" w14:textId="7D17E2E2" w:rsidR="00B20EF8" w:rsidRDefault="00B20EF8">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82880" distR="182880" simplePos="0" relativeHeight="251660288" behindDoc="0" locked="0" layoutInCell="1" allowOverlap="1" wp14:anchorId="409EA7CC" wp14:editId="21980F0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C1F04" w14:textId="3D627162" w:rsidR="00B20EF8" w:rsidRDefault="00B20EF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Report on World data </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7ECA85" w14:textId="1ABC3EEC" w:rsidR="00B20EF8" w:rsidRDefault="00B20EF8">
                                    <w:pPr>
                                      <w:pStyle w:val="NoSpacing"/>
                                      <w:spacing w:before="40" w:after="40"/>
                                      <w:rPr>
                                        <w:caps/>
                                        <w:color w:val="1F4E79" w:themeColor="accent5" w:themeShade="80"/>
                                        <w:sz w:val="28"/>
                                        <w:szCs w:val="28"/>
                                      </w:rPr>
                                    </w:pPr>
                                    <w:r>
                                      <w:rPr>
                                        <w:caps/>
                                        <w:color w:val="1F4E79" w:themeColor="accent5" w:themeShade="80"/>
                                        <w:sz w:val="28"/>
                                        <w:szCs w:val="28"/>
                                      </w:rPr>
                                      <w:t>An indepth research oN VARIOUS WORLD DATA RELATIONS.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22C4A00" w14:textId="12CEF020" w:rsidR="00B20EF8" w:rsidRDefault="00B20EF8">
                                    <w:pPr>
                                      <w:pStyle w:val="NoSpacing"/>
                                      <w:spacing w:before="80" w:after="40"/>
                                      <w:rPr>
                                        <w:caps/>
                                        <w:color w:val="5B9BD5" w:themeColor="accent5"/>
                                        <w:sz w:val="24"/>
                                        <w:szCs w:val="24"/>
                                      </w:rPr>
                                    </w:pPr>
                                    <w:r>
                                      <w:rPr>
                                        <w:caps/>
                                        <w:color w:val="5B9BD5" w:themeColor="accent5"/>
                                        <w:sz w:val="24"/>
                                        <w:szCs w:val="24"/>
                                      </w:rPr>
                                      <w:t>Arnav Tamrakar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09EA7CC"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E3C1F04" w14:textId="3D627162" w:rsidR="00B20EF8" w:rsidRDefault="00B20EF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Report on World data </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7ECA85" w14:textId="1ABC3EEC" w:rsidR="00B20EF8" w:rsidRDefault="00B20EF8">
                              <w:pPr>
                                <w:pStyle w:val="NoSpacing"/>
                                <w:spacing w:before="40" w:after="40"/>
                                <w:rPr>
                                  <w:caps/>
                                  <w:color w:val="1F4E79" w:themeColor="accent5" w:themeShade="80"/>
                                  <w:sz w:val="28"/>
                                  <w:szCs w:val="28"/>
                                </w:rPr>
                              </w:pPr>
                              <w:r>
                                <w:rPr>
                                  <w:caps/>
                                  <w:color w:val="1F4E79" w:themeColor="accent5" w:themeShade="80"/>
                                  <w:sz w:val="28"/>
                                  <w:szCs w:val="28"/>
                                </w:rPr>
                                <w:t>An indepth research oN VARIOUS WORLD DATA RELATIONS.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22C4A00" w14:textId="12CEF020" w:rsidR="00B20EF8" w:rsidRDefault="00B20EF8">
                              <w:pPr>
                                <w:pStyle w:val="NoSpacing"/>
                                <w:spacing w:before="80" w:after="40"/>
                                <w:rPr>
                                  <w:caps/>
                                  <w:color w:val="5B9BD5" w:themeColor="accent5"/>
                                  <w:sz w:val="24"/>
                                  <w:szCs w:val="24"/>
                                </w:rPr>
                              </w:pPr>
                              <w:r>
                                <w:rPr>
                                  <w:caps/>
                                  <w:color w:val="5B9BD5" w:themeColor="accent5"/>
                                  <w:sz w:val="24"/>
                                  <w:szCs w:val="24"/>
                                </w:rPr>
                                <w:t>Arnav Tamrakar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18487A8" wp14:editId="3455204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5EF9D0" w14:textId="45D55D21" w:rsidR="00B20EF8" w:rsidRDefault="00B20EF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8487A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5EF9D0" w14:textId="45D55D21" w:rsidR="00B20EF8" w:rsidRDefault="00B20EF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n-US"/>
            </w:rPr>
            <w:br w:type="page"/>
          </w:r>
        </w:p>
      </w:sdtContent>
    </w:sdt>
    <w:p w14:paraId="349B1C4E" w14:textId="77777777" w:rsidR="00B20EF8" w:rsidRDefault="00B20EF8" w:rsidP="00DD4FD8">
      <w:pPr>
        <w:pStyle w:val="Heading1"/>
        <w:rPr>
          <w:lang w:val="en-US"/>
        </w:rPr>
      </w:pPr>
    </w:p>
    <w:p w14:paraId="05557C0C" w14:textId="23D976AA" w:rsidR="000C0BCD" w:rsidRPr="00B20EF8" w:rsidRDefault="000C0BCD" w:rsidP="00B20EF8">
      <w:pPr>
        <w:pStyle w:val="Heading2"/>
        <w:rPr>
          <w:lang w:val="en-US"/>
        </w:rPr>
      </w:pPr>
      <w:r>
        <w:rPr>
          <w:lang w:val="en-US"/>
        </w:rPr>
        <w:t>Univariate Analysis</w:t>
      </w:r>
    </w:p>
    <w:p w14:paraId="20FAB9CA" w14:textId="77777777" w:rsidR="000C0BCD" w:rsidRDefault="000C0BCD">
      <w:pPr>
        <w:rPr>
          <w:lang w:val="en-US"/>
        </w:rPr>
      </w:pPr>
    </w:p>
    <w:p w14:paraId="428539D1" w14:textId="398932D8" w:rsidR="00252FF6" w:rsidRDefault="00252FF6" w:rsidP="00252FF6">
      <w:pPr>
        <w:rPr>
          <w:rFonts w:ascii="Calibri" w:eastAsia="Times New Roman" w:hAnsi="Calibri" w:cs="Calibri"/>
          <w:color w:val="000000" w:themeColor="text1"/>
          <w:kern w:val="0"/>
          <w:lang w:eastAsia="en-AU"/>
          <w14:ligatures w14:val="none"/>
        </w:rPr>
      </w:pPr>
      <w:r>
        <w:rPr>
          <w:lang w:val="en-US"/>
        </w:rPr>
        <w:t xml:space="preserve">Univariate Analysis of the Countries and Land Area is done since they are one of the most related data in this dataset. If a country exists, its area will obviously exist. As per the data the average of the land area is </w:t>
      </w:r>
      <w:r w:rsidRPr="00252FF6">
        <w:rPr>
          <w:rFonts w:ascii="Calibri" w:eastAsia="Times New Roman" w:hAnsi="Calibri" w:cs="Calibri"/>
          <w:b/>
          <w:bCs/>
          <w:color w:val="000000" w:themeColor="text1"/>
          <w:kern w:val="0"/>
          <w:lang w:eastAsia="en-AU"/>
          <w14:ligatures w14:val="none"/>
        </w:rPr>
        <w:t>682587.4 km2</w:t>
      </w:r>
      <w:r w:rsidR="00825BA9">
        <w:rPr>
          <w:rFonts w:ascii="Calibri" w:eastAsia="Times New Roman" w:hAnsi="Calibri" w:cs="Calibri"/>
          <w:color w:val="000000" w:themeColor="text1"/>
          <w:kern w:val="0"/>
          <w:lang w:eastAsia="en-AU"/>
          <w14:ligatures w14:val="none"/>
        </w:rPr>
        <w:t xml:space="preserve">, whereas the median is </w:t>
      </w:r>
      <w:r w:rsidR="00825BA9" w:rsidRPr="00825BA9">
        <w:rPr>
          <w:rFonts w:ascii="Calibri" w:eastAsia="Times New Roman" w:hAnsi="Calibri" w:cs="Calibri"/>
          <w:b/>
          <w:bCs/>
          <w:color w:val="000000" w:themeColor="text1"/>
          <w:kern w:val="0"/>
          <w:lang w:eastAsia="en-AU"/>
          <w14:ligatures w14:val="none"/>
        </w:rPr>
        <w:t>521,494 km2</w:t>
      </w:r>
      <w:r w:rsidR="00825BA9">
        <w:rPr>
          <w:rFonts w:ascii="Calibri" w:eastAsia="Times New Roman" w:hAnsi="Calibri" w:cs="Calibri"/>
          <w:color w:val="000000" w:themeColor="text1"/>
          <w:kern w:val="0"/>
          <w:lang w:eastAsia="en-AU"/>
          <w14:ligatures w14:val="none"/>
        </w:rPr>
        <w:t>.</w:t>
      </w:r>
    </w:p>
    <w:p w14:paraId="1305AE05" w14:textId="77777777" w:rsidR="0055623F" w:rsidRDefault="0055623F" w:rsidP="00252FF6">
      <w:pPr>
        <w:rPr>
          <w:rFonts w:ascii="Calibri" w:eastAsia="Times New Roman" w:hAnsi="Calibri" w:cs="Calibri"/>
          <w:color w:val="000000" w:themeColor="text1"/>
          <w:kern w:val="0"/>
          <w:lang w:eastAsia="en-AU"/>
          <w14:ligatures w14:val="none"/>
        </w:rPr>
      </w:pPr>
    </w:p>
    <w:p w14:paraId="2C528295" w14:textId="720547AF" w:rsidR="0055623F" w:rsidRPr="0055623F" w:rsidRDefault="0055623F" w:rsidP="00DD4FD8">
      <w:pPr>
        <w:pStyle w:val="Heading2"/>
        <w:rPr>
          <w:rFonts w:eastAsia="Times New Roman"/>
          <w:lang w:eastAsia="en-AU"/>
        </w:rPr>
      </w:pPr>
      <w:r w:rsidRPr="0055623F">
        <w:rPr>
          <w:rFonts w:eastAsia="Times New Roman"/>
          <w:lang w:eastAsia="en-AU"/>
        </w:rPr>
        <w:t>Summary Statistics:</w:t>
      </w:r>
    </w:p>
    <w:p w14:paraId="74686784" w14:textId="77777777" w:rsidR="0055623F" w:rsidRPr="0055623F" w:rsidRDefault="0055623F" w:rsidP="0055623F">
      <w:pPr>
        <w:rPr>
          <w:rFonts w:ascii="Calibri" w:eastAsia="Times New Roman" w:hAnsi="Calibri" w:cs="Calibri"/>
          <w:color w:val="000000" w:themeColor="text1"/>
          <w:kern w:val="0"/>
          <w:lang w:eastAsia="en-AU"/>
          <w14:ligatures w14:val="none"/>
        </w:rPr>
      </w:pPr>
    </w:p>
    <w:p w14:paraId="6458278A" w14:textId="15C7B028" w:rsidR="0055623F" w:rsidRPr="007B4AF7" w:rsidRDefault="0055623F" w:rsidP="0055623F">
      <w:pPr>
        <w:rPr>
          <w:rFonts w:ascii="Calibri" w:eastAsia="Times New Roman" w:hAnsi="Calibri" w:cs="Calibri"/>
          <w:color w:val="000000" w:themeColor="text1"/>
          <w:kern w:val="0"/>
          <w:lang w:eastAsia="en-AU"/>
          <w14:ligatures w14:val="none"/>
        </w:rPr>
      </w:pPr>
      <w:r w:rsidRPr="0055623F">
        <w:rPr>
          <w:rFonts w:ascii="Calibri" w:eastAsia="Times New Roman" w:hAnsi="Calibri" w:cs="Calibri"/>
          <w:color w:val="000000" w:themeColor="text1"/>
          <w:kern w:val="0"/>
          <w:lang w:eastAsia="en-AU"/>
          <w14:ligatures w14:val="none"/>
        </w:rPr>
        <w:t xml:space="preserve">Total Land Area: The total land area of all countries combined is approximately </w:t>
      </w:r>
      <w:r w:rsidRPr="007B4AF7">
        <w:rPr>
          <w:rFonts w:ascii="Calibri" w:eastAsia="Times New Roman" w:hAnsi="Calibri" w:cs="Calibri"/>
          <w:b/>
          <w:bCs/>
          <w:color w:val="000000" w:themeColor="text1"/>
          <w:kern w:val="0"/>
          <w:lang w:eastAsia="en-AU"/>
          <w14:ligatures w14:val="none"/>
        </w:rPr>
        <w:t xml:space="preserve">133,787,127 square </w:t>
      </w:r>
      <w:proofErr w:type="spellStart"/>
      <w:r w:rsidRPr="007B4AF7">
        <w:rPr>
          <w:rFonts w:ascii="Calibri" w:eastAsia="Times New Roman" w:hAnsi="Calibri" w:cs="Calibri"/>
          <w:b/>
          <w:bCs/>
          <w:color w:val="000000" w:themeColor="text1"/>
          <w:kern w:val="0"/>
          <w:lang w:eastAsia="en-AU"/>
          <w14:ligatures w14:val="none"/>
        </w:rPr>
        <w:t>kilometers</w:t>
      </w:r>
      <w:proofErr w:type="spellEnd"/>
      <w:r w:rsidR="007B4AF7">
        <w:rPr>
          <w:rFonts w:ascii="Calibri" w:eastAsia="Times New Roman" w:hAnsi="Calibri" w:cs="Calibri"/>
          <w:color w:val="000000" w:themeColor="text1"/>
          <w:kern w:val="0"/>
          <w:lang w:eastAsia="en-AU"/>
          <w14:ligatures w14:val="none"/>
        </w:rPr>
        <w:t>.</w:t>
      </w:r>
      <w:r w:rsidR="005E23B8">
        <w:rPr>
          <w:rFonts w:ascii="Calibri" w:eastAsia="Times New Roman" w:hAnsi="Calibri" w:cs="Calibri"/>
          <w:color w:val="000000" w:themeColor="text1"/>
          <w:kern w:val="0"/>
          <w:lang w:eastAsia="en-AU"/>
          <w14:ligatures w14:val="none"/>
        </w:rPr>
        <w:t xml:space="preserve"> </w:t>
      </w:r>
    </w:p>
    <w:p w14:paraId="24F1CB40" w14:textId="77777777" w:rsidR="0055623F" w:rsidRPr="0055623F" w:rsidRDefault="0055623F" w:rsidP="0055623F">
      <w:pPr>
        <w:rPr>
          <w:rFonts w:ascii="Calibri" w:eastAsia="Times New Roman" w:hAnsi="Calibri" w:cs="Calibri"/>
          <w:color w:val="000000" w:themeColor="text1"/>
          <w:kern w:val="0"/>
          <w:lang w:eastAsia="en-AU"/>
          <w14:ligatures w14:val="none"/>
        </w:rPr>
      </w:pPr>
      <w:r w:rsidRPr="0055623F">
        <w:rPr>
          <w:rFonts w:ascii="Calibri" w:eastAsia="Times New Roman" w:hAnsi="Calibri" w:cs="Calibri"/>
          <w:color w:val="000000" w:themeColor="text1"/>
          <w:kern w:val="0"/>
          <w:lang w:eastAsia="en-AU"/>
          <w14:ligatures w14:val="none"/>
        </w:rPr>
        <w:t xml:space="preserve">Mean Land Area: The mean land area across all countries is approximately </w:t>
      </w:r>
      <w:r w:rsidRPr="007B4AF7">
        <w:rPr>
          <w:rFonts w:ascii="Calibri" w:eastAsia="Times New Roman" w:hAnsi="Calibri" w:cs="Calibri"/>
          <w:b/>
          <w:bCs/>
          <w:color w:val="000000" w:themeColor="text1"/>
          <w:kern w:val="0"/>
          <w:lang w:eastAsia="en-AU"/>
          <w14:ligatures w14:val="none"/>
        </w:rPr>
        <w:t xml:space="preserve">682,587.38 square </w:t>
      </w:r>
      <w:proofErr w:type="spellStart"/>
      <w:r w:rsidRPr="007B4AF7">
        <w:rPr>
          <w:rFonts w:ascii="Calibri" w:eastAsia="Times New Roman" w:hAnsi="Calibri" w:cs="Calibri"/>
          <w:b/>
          <w:bCs/>
          <w:color w:val="000000" w:themeColor="text1"/>
          <w:kern w:val="0"/>
          <w:lang w:eastAsia="en-AU"/>
          <w14:ligatures w14:val="none"/>
        </w:rPr>
        <w:t>kilometers</w:t>
      </w:r>
      <w:proofErr w:type="spellEnd"/>
      <w:r w:rsidRPr="0055623F">
        <w:rPr>
          <w:rFonts w:ascii="Calibri" w:eastAsia="Times New Roman" w:hAnsi="Calibri" w:cs="Calibri"/>
          <w:color w:val="000000" w:themeColor="text1"/>
          <w:kern w:val="0"/>
          <w:lang w:eastAsia="en-AU"/>
          <w14:ligatures w14:val="none"/>
        </w:rPr>
        <w:t>.</w:t>
      </w:r>
    </w:p>
    <w:p w14:paraId="6B0F223A" w14:textId="77777777" w:rsidR="0055623F" w:rsidRPr="0055623F" w:rsidRDefault="0055623F" w:rsidP="0055623F">
      <w:pPr>
        <w:rPr>
          <w:rFonts w:ascii="Calibri" w:eastAsia="Times New Roman" w:hAnsi="Calibri" w:cs="Calibri"/>
          <w:color w:val="000000" w:themeColor="text1"/>
          <w:kern w:val="0"/>
          <w:lang w:eastAsia="en-AU"/>
          <w14:ligatures w14:val="none"/>
        </w:rPr>
      </w:pPr>
      <w:r w:rsidRPr="0055623F">
        <w:rPr>
          <w:rFonts w:ascii="Calibri" w:eastAsia="Times New Roman" w:hAnsi="Calibri" w:cs="Calibri"/>
          <w:color w:val="000000" w:themeColor="text1"/>
          <w:kern w:val="0"/>
          <w:lang w:eastAsia="en-AU"/>
          <w14:ligatures w14:val="none"/>
        </w:rPr>
        <w:t xml:space="preserve">Median Land Area: The median land area is </w:t>
      </w:r>
      <w:r w:rsidRPr="007B4AF7">
        <w:rPr>
          <w:rFonts w:ascii="Calibri" w:eastAsia="Times New Roman" w:hAnsi="Calibri" w:cs="Calibri"/>
          <w:b/>
          <w:bCs/>
          <w:color w:val="000000" w:themeColor="text1"/>
          <w:kern w:val="0"/>
          <w:lang w:eastAsia="en-AU"/>
          <w14:ligatures w14:val="none"/>
        </w:rPr>
        <w:t xml:space="preserve">521,494 square </w:t>
      </w:r>
      <w:proofErr w:type="spellStart"/>
      <w:r w:rsidRPr="007B4AF7">
        <w:rPr>
          <w:rFonts w:ascii="Calibri" w:eastAsia="Times New Roman" w:hAnsi="Calibri" w:cs="Calibri"/>
          <w:b/>
          <w:bCs/>
          <w:color w:val="000000" w:themeColor="text1"/>
          <w:kern w:val="0"/>
          <w:lang w:eastAsia="en-AU"/>
          <w14:ligatures w14:val="none"/>
        </w:rPr>
        <w:t>kilometers</w:t>
      </w:r>
      <w:proofErr w:type="spellEnd"/>
      <w:r w:rsidRPr="0055623F">
        <w:rPr>
          <w:rFonts w:ascii="Calibri" w:eastAsia="Times New Roman" w:hAnsi="Calibri" w:cs="Calibri"/>
          <w:color w:val="000000" w:themeColor="text1"/>
          <w:kern w:val="0"/>
          <w:lang w:eastAsia="en-AU"/>
          <w14:ligatures w14:val="none"/>
        </w:rPr>
        <w:t>.</w:t>
      </w:r>
    </w:p>
    <w:p w14:paraId="3EA0EBF4" w14:textId="77777777" w:rsidR="0055623F" w:rsidRPr="0055623F" w:rsidRDefault="0055623F" w:rsidP="0055623F">
      <w:pPr>
        <w:rPr>
          <w:rFonts w:ascii="Calibri" w:eastAsia="Times New Roman" w:hAnsi="Calibri" w:cs="Calibri"/>
          <w:color w:val="000000" w:themeColor="text1"/>
          <w:kern w:val="0"/>
          <w:lang w:eastAsia="en-AU"/>
          <w14:ligatures w14:val="none"/>
        </w:rPr>
      </w:pPr>
      <w:r w:rsidRPr="0055623F">
        <w:rPr>
          <w:rFonts w:ascii="Calibri" w:eastAsia="Times New Roman" w:hAnsi="Calibri" w:cs="Calibri"/>
          <w:color w:val="000000" w:themeColor="text1"/>
          <w:kern w:val="0"/>
          <w:lang w:eastAsia="en-AU"/>
          <w14:ligatures w14:val="none"/>
        </w:rPr>
        <w:t xml:space="preserve">Standard Deviation: The standard deviation, indicating the variability in land areas, is approximately </w:t>
      </w:r>
      <w:r w:rsidRPr="007B4AF7">
        <w:rPr>
          <w:rFonts w:ascii="Calibri" w:eastAsia="Times New Roman" w:hAnsi="Calibri" w:cs="Calibri"/>
          <w:b/>
          <w:bCs/>
          <w:color w:val="000000" w:themeColor="text1"/>
          <w:kern w:val="0"/>
          <w:lang w:eastAsia="en-AU"/>
          <w14:ligatures w14:val="none"/>
        </w:rPr>
        <w:t xml:space="preserve">1,916,650.23 square </w:t>
      </w:r>
      <w:proofErr w:type="spellStart"/>
      <w:r w:rsidRPr="007B4AF7">
        <w:rPr>
          <w:rFonts w:ascii="Calibri" w:eastAsia="Times New Roman" w:hAnsi="Calibri" w:cs="Calibri"/>
          <w:b/>
          <w:bCs/>
          <w:color w:val="000000" w:themeColor="text1"/>
          <w:kern w:val="0"/>
          <w:lang w:eastAsia="en-AU"/>
          <w14:ligatures w14:val="none"/>
        </w:rPr>
        <w:t>kilometers</w:t>
      </w:r>
      <w:proofErr w:type="spellEnd"/>
      <w:r w:rsidRPr="0055623F">
        <w:rPr>
          <w:rFonts w:ascii="Calibri" w:eastAsia="Times New Roman" w:hAnsi="Calibri" w:cs="Calibri"/>
          <w:color w:val="000000" w:themeColor="text1"/>
          <w:kern w:val="0"/>
          <w:lang w:eastAsia="en-AU"/>
          <w14:ligatures w14:val="none"/>
        </w:rPr>
        <w:t>.</w:t>
      </w:r>
    </w:p>
    <w:p w14:paraId="3E88C43C" w14:textId="436DC87B" w:rsidR="0055623F" w:rsidRPr="00A75CF2" w:rsidRDefault="0055623F" w:rsidP="001E1387">
      <w:pPr>
        <w:pStyle w:val="Heading2"/>
        <w:rPr>
          <w:rFonts w:eastAsia="Times New Roman"/>
          <w:lang w:eastAsia="en-AU"/>
        </w:rPr>
      </w:pPr>
      <w:r w:rsidRPr="00A75CF2">
        <w:rPr>
          <w:rFonts w:eastAsia="Times New Roman"/>
          <w:lang w:eastAsia="en-AU"/>
        </w:rPr>
        <w:t>Distribution Analysis:</w:t>
      </w:r>
    </w:p>
    <w:p w14:paraId="31B68DE1" w14:textId="4C9D7A0F" w:rsidR="00A75CF2" w:rsidRPr="00A75CF2" w:rsidRDefault="00A75CF2" w:rsidP="00A75CF2">
      <w:pPr>
        <w:ind w:left="360"/>
        <w:rPr>
          <w:rFonts w:ascii="Calibri" w:eastAsia="Times New Roman" w:hAnsi="Calibri" w:cs="Calibri"/>
          <w:color w:val="000000" w:themeColor="text1"/>
          <w:kern w:val="0"/>
          <w:lang w:eastAsia="en-AU"/>
          <w14:ligatures w14:val="none"/>
        </w:rPr>
      </w:pPr>
      <w:r>
        <w:rPr>
          <w:noProof/>
        </w:rPr>
        <w:drawing>
          <wp:inline distT="0" distB="0" distL="0" distR="0" wp14:anchorId="50607A46" wp14:editId="45F4B89A">
            <wp:extent cx="5731510" cy="2384425"/>
            <wp:effectExtent l="0" t="0" r="2540" b="15875"/>
            <wp:docPr id="1658723333" name="Chart 1">
              <a:extLst xmlns:a="http://schemas.openxmlformats.org/drawingml/2006/main">
                <a:ext uri="{FF2B5EF4-FFF2-40B4-BE49-F238E27FC236}">
                  <a16:creationId xmlns:a16="http://schemas.microsoft.com/office/drawing/2014/main" id="{9F60AC04-604F-734F-D095-606F9024EA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FDD0E69" w14:textId="01D9EE57" w:rsidR="0055623F" w:rsidRPr="0055623F" w:rsidRDefault="0055623F" w:rsidP="0055623F">
      <w:pPr>
        <w:rPr>
          <w:rFonts w:ascii="Calibri" w:eastAsia="Times New Roman" w:hAnsi="Calibri" w:cs="Calibri"/>
          <w:color w:val="000000" w:themeColor="text1"/>
          <w:kern w:val="0"/>
          <w:lang w:eastAsia="en-AU"/>
          <w14:ligatures w14:val="none"/>
        </w:rPr>
      </w:pPr>
      <w:r w:rsidRPr="0055623F">
        <w:rPr>
          <w:rFonts w:ascii="Calibri" w:eastAsia="Times New Roman" w:hAnsi="Calibri" w:cs="Calibri"/>
          <w:color w:val="000000" w:themeColor="text1"/>
          <w:kern w:val="0"/>
          <w:lang w:eastAsia="en-AU"/>
          <w14:ligatures w14:val="none"/>
        </w:rPr>
        <w:t>The land area data exhibits a wide distribution, ranging from very small areas (e.g., Vatican City with 0</w:t>
      </w:r>
      <w:r w:rsidR="000B7820">
        <w:rPr>
          <w:rFonts w:ascii="Calibri" w:eastAsia="Times New Roman" w:hAnsi="Calibri" w:cs="Calibri"/>
          <w:color w:val="000000" w:themeColor="text1"/>
          <w:kern w:val="0"/>
          <w:lang w:eastAsia="en-AU"/>
          <w14:ligatures w14:val="none"/>
        </w:rPr>
        <w:t>.4</w:t>
      </w:r>
      <w:r w:rsidRPr="0055623F">
        <w:rPr>
          <w:rFonts w:ascii="Calibri" w:eastAsia="Times New Roman" w:hAnsi="Calibri" w:cs="Calibri"/>
          <w:color w:val="000000" w:themeColor="text1"/>
          <w:kern w:val="0"/>
          <w:lang w:eastAsia="en-AU"/>
          <w14:ligatures w14:val="none"/>
        </w:rPr>
        <w:t xml:space="preserve"> km²) to vast territories (e.g., Russia with 17,098,240 km²). </w:t>
      </w:r>
    </w:p>
    <w:p w14:paraId="5BF6656F" w14:textId="43458F38" w:rsidR="0055623F" w:rsidRPr="0055623F" w:rsidRDefault="00A75CF2" w:rsidP="0055623F">
      <w:pPr>
        <w:rPr>
          <w:rFonts w:ascii="Calibri" w:eastAsia="Times New Roman" w:hAnsi="Calibri" w:cs="Calibri"/>
          <w:color w:val="000000" w:themeColor="text1"/>
          <w:kern w:val="0"/>
          <w:lang w:eastAsia="en-AU"/>
          <w14:ligatures w14:val="none"/>
        </w:rPr>
      </w:pPr>
      <w:r>
        <w:rPr>
          <w:rFonts w:ascii="Calibri" w:eastAsia="Times New Roman" w:hAnsi="Calibri" w:cs="Calibri"/>
          <w:color w:val="000000" w:themeColor="text1"/>
          <w:kern w:val="0"/>
          <w:lang w:eastAsia="en-AU"/>
          <w14:ligatures w14:val="none"/>
        </w:rPr>
        <w:t>We can see a massive dip in the countries with larger area which indicates towards there being more countries with smaller area in comparison to the ones with larger area.</w:t>
      </w:r>
    </w:p>
    <w:p w14:paraId="169E442B" w14:textId="77777777" w:rsidR="0055623F" w:rsidRPr="0055623F" w:rsidRDefault="0055623F" w:rsidP="0055623F">
      <w:pPr>
        <w:rPr>
          <w:rFonts w:ascii="Calibri" w:eastAsia="Times New Roman" w:hAnsi="Calibri" w:cs="Calibri"/>
          <w:color w:val="000000" w:themeColor="text1"/>
          <w:kern w:val="0"/>
          <w:lang w:eastAsia="en-AU"/>
          <w14:ligatures w14:val="none"/>
        </w:rPr>
      </w:pPr>
      <w:r w:rsidRPr="0055623F">
        <w:rPr>
          <w:rFonts w:ascii="Calibri" w:eastAsia="Times New Roman" w:hAnsi="Calibri" w:cs="Calibri"/>
          <w:color w:val="000000" w:themeColor="text1"/>
          <w:kern w:val="0"/>
          <w:lang w:eastAsia="en-AU"/>
          <w14:ligatures w14:val="none"/>
        </w:rPr>
        <w:t>The central cluster of countries with moderate land areas contributes to the relatively high mean land area.</w:t>
      </w:r>
    </w:p>
    <w:p w14:paraId="50A9EE3A" w14:textId="1E7753D5" w:rsidR="0055623F" w:rsidRPr="0055623F" w:rsidRDefault="0055623F" w:rsidP="001E1387">
      <w:pPr>
        <w:pStyle w:val="Heading2"/>
        <w:rPr>
          <w:rFonts w:eastAsia="Times New Roman"/>
          <w:lang w:eastAsia="en-AU"/>
        </w:rPr>
      </w:pPr>
      <w:r w:rsidRPr="0055623F">
        <w:rPr>
          <w:rFonts w:eastAsia="Times New Roman"/>
          <w:lang w:eastAsia="en-AU"/>
        </w:rPr>
        <w:t>Notable Findings:</w:t>
      </w:r>
    </w:p>
    <w:p w14:paraId="22250149" w14:textId="77777777" w:rsidR="0055623F" w:rsidRPr="0055623F" w:rsidRDefault="0055623F" w:rsidP="0055623F">
      <w:pPr>
        <w:rPr>
          <w:rFonts w:ascii="Calibri" w:eastAsia="Times New Roman" w:hAnsi="Calibri" w:cs="Calibri"/>
          <w:color w:val="000000" w:themeColor="text1"/>
          <w:kern w:val="0"/>
          <w:lang w:eastAsia="en-AU"/>
          <w14:ligatures w14:val="none"/>
        </w:rPr>
      </w:pPr>
    </w:p>
    <w:p w14:paraId="00AF1BAD" w14:textId="77777777" w:rsidR="0055623F" w:rsidRPr="0055623F" w:rsidRDefault="0055623F" w:rsidP="0055623F">
      <w:pPr>
        <w:rPr>
          <w:rFonts w:ascii="Calibri" w:eastAsia="Times New Roman" w:hAnsi="Calibri" w:cs="Calibri"/>
          <w:color w:val="000000" w:themeColor="text1"/>
          <w:kern w:val="0"/>
          <w:lang w:eastAsia="en-AU"/>
          <w14:ligatures w14:val="none"/>
        </w:rPr>
      </w:pPr>
      <w:r w:rsidRPr="0055623F">
        <w:rPr>
          <w:rFonts w:ascii="Calibri" w:eastAsia="Times New Roman" w:hAnsi="Calibri" w:cs="Calibri"/>
          <w:color w:val="000000" w:themeColor="text1"/>
          <w:kern w:val="0"/>
          <w:lang w:eastAsia="en-AU"/>
          <w14:ligatures w14:val="none"/>
        </w:rPr>
        <w:lastRenderedPageBreak/>
        <w:t>The countries with the three largest land areas are Russia (17,098,240 km²), Canada (9,984,670 km²), and the United States (9,833,517 km²).</w:t>
      </w:r>
    </w:p>
    <w:p w14:paraId="58C55A44" w14:textId="77777777" w:rsidR="0055623F" w:rsidRPr="0055623F" w:rsidRDefault="0055623F" w:rsidP="0055623F">
      <w:pPr>
        <w:rPr>
          <w:rFonts w:ascii="Calibri" w:eastAsia="Times New Roman" w:hAnsi="Calibri" w:cs="Calibri"/>
          <w:color w:val="000000" w:themeColor="text1"/>
          <w:kern w:val="0"/>
          <w:lang w:eastAsia="en-AU"/>
          <w14:ligatures w14:val="none"/>
        </w:rPr>
      </w:pPr>
      <w:r w:rsidRPr="0055623F">
        <w:rPr>
          <w:rFonts w:ascii="Calibri" w:eastAsia="Times New Roman" w:hAnsi="Calibri" w:cs="Calibri"/>
          <w:color w:val="000000" w:themeColor="text1"/>
          <w:kern w:val="0"/>
          <w:lang w:eastAsia="en-AU"/>
          <w14:ligatures w14:val="none"/>
        </w:rPr>
        <w:t>On the other hand, some countries have extremely small land areas, such as Vatican City (0 km²) and Monaco (2 km²).</w:t>
      </w:r>
    </w:p>
    <w:p w14:paraId="2624D92B" w14:textId="77777777" w:rsidR="0055623F" w:rsidRPr="0055623F" w:rsidRDefault="0055623F" w:rsidP="0055623F">
      <w:pPr>
        <w:rPr>
          <w:rFonts w:ascii="Calibri" w:eastAsia="Times New Roman" w:hAnsi="Calibri" w:cs="Calibri"/>
          <w:color w:val="000000" w:themeColor="text1"/>
          <w:kern w:val="0"/>
          <w:lang w:eastAsia="en-AU"/>
          <w14:ligatures w14:val="none"/>
        </w:rPr>
      </w:pPr>
      <w:r w:rsidRPr="0055623F">
        <w:rPr>
          <w:rFonts w:ascii="Calibri" w:eastAsia="Times New Roman" w:hAnsi="Calibri" w:cs="Calibri"/>
          <w:color w:val="000000" w:themeColor="text1"/>
          <w:kern w:val="0"/>
          <w:lang w:eastAsia="en-AU"/>
          <w14:ligatures w14:val="none"/>
        </w:rPr>
        <w:t>The standard deviation indicates significant variability in land areas, reflecting the vast differences between countries in terms of geographic size.</w:t>
      </w:r>
    </w:p>
    <w:p w14:paraId="6EAC0C3A" w14:textId="77777777" w:rsidR="0055623F" w:rsidRPr="0055623F" w:rsidRDefault="0055623F" w:rsidP="0055623F">
      <w:pPr>
        <w:rPr>
          <w:rFonts w:ascii="Calibri" w:eastAsia="Times New Roman" w:hAnsi="Calibri" w:cs="Calibri"/>
          <w:color w:val="000000" w:themeColor="text1"/>
          <w:kern w:val="0"/>
          <w:lang w:eastAsia="en-AU"/>
          <w14:ligatures w14:val="none"/>
        </w:rPr>
      </w:pPr>
      <w:r w:rsidRPr="0055623F">
        <w:rPr>
          <w:rFonts w:ascii="Calibri" w:eastAsia="Times New Roman" w:hAnsi="Calibri" w:cs="Calibri"/>
          <w:color w:val="000000" w:themeColor="text1"/>
          <w:kern w:val="0"/>
          <w:lang w:eastAsia="en-AU"/>
          <w14:ligatures w14:val="none"/>
        </w:rPr>
        <w:t>African countries like Algeria, Democratic Republic of the Congo, and Sudan have large land areas, contributing to the higher mean land area.</w:t>
      </w:r>
    </w:p>
    <w:p w14:paraId="595E0375" w14:textId="2B2E8E38" w:rsidR="0055623F" w:rsidRPr="0055623F" w:rsidRDefault="0055623F" w:rsidP="001E1387">
      <w:pPr>
        <w:pStyle w:val="Heading2"/>
        <w:rPr>
          <w:rFonts w:eastAsia="Times New Roman"/>
          <w:lang w:eastAsia="en-AU"/>
        </w:rPr>
      </w:pPr>
      <w:r w:rsidRPr="0055623F">
        <w:rPr>
          <w:rFonts w:eastAsia="Times New Roman"/>
          <w:lang w:eastAsia="en-AU"/>
        </w:rPr>
        <w:t>Insights:</w:t>
      </w:r>
    </w:p>
    <w:p w14:paraId="06B7790C" w14:textId="77777777" w:rsidR="0055623F" w:rsidRPr="0055623F" w:rsidRDefault="0055623F" w:rsidP="0055623F">
      <w:pPr>
        <w:rPr>
          <w:rFonts w:ascii="Calibri" w:eastAsia="Times New Roman" w:hAnsi="Calibri" w:cs="Calibri"/>
          <w:color w:val="000000" w:themeColor="text1"/>
          <w:kern w:val="0"/>
          <w:lang w:eastAsia="en-AU"/>
          <w14:ligatures w14:val="none"/>
        </w:rPr>
      </w:pPr>
    </w:p>
    <w:p w14:paraId="47AB7728" w14:textId="77777777" w:rsidR="0055623F" w:rsidRPr="0055623F" w:rsidRDefault="0055623F" w:rsidP="0055623F">
      <w:pPr>
        <w:rPr>
          <w:rFonts w:ascii="Calibri" w:eastAsia="Times New Roman" w:hAnsi="Calibri" w:cs="Calibri"/>
          <w:color w:val="000000" w:themeColor="text1"/>
          <w:kern w:val="0"/>
          <w:lang w:eastAsia="en-AU"/>
          <w14:ligatures w14:val="none"/>
        </w:rPr>
      </w:pPr>
      <w:r w:rsidRPr="0055623F">
        <w:rPr>
          <w:rFonts w:ascii="Calibri" w:eastAsia="Times New Roman" w:hAnsi="Calibri" w:cs="Calibri"/>
          <w:color w:val="000000" w:themeColor="text1"/>
          <w:kern w:val="0"/>
          <w:lang w:eastAsia="en-AU"/>
          <w14:ligatures w14:val="none"/>
        </w:rPr>
        <w:t>Geographic size varies widely across countries, influenced by factors such as topography, population density, and historical boundaries.</w:t>
      </w:r>
    </w:p>
    <w:p w14:paraId="18072368" w14:textId="5490C73A" w:rsidR="0055623F" w:rsidRPr="0055623F" w:rsidRDefault="0055623F" w:rsidP="0055623F">
      <w:pPr>
        <w:rPr>
          <w:rFonts w:ascii="Calibri" w:eastAsia="Times New Roman" w:hAnsi="Calibri" w:cs="Calibri"/>
          <w:color w:val="000000" w:themeColor="text1"/>
          <w:kern w:val="0"/>
          <w:lang w:eastAsia="en-AU"/>
          <w14:ligatures w14:val="none"/>
        </w:rPr>
      </w:pPr>
      <w:r w:rsidRPr="0055623F">
        <w:rPr>
          <w:rFonts w:ascii="Calibri" w:eastAsia="Times New Roman" w:hAnsi="Calibri" w:cs="Calibri"/>
          <w:color w:val="000000" w:themeColor="text1"/>
          <w:kern w:val="0"/>
          <w:lang w:eastAsia="en-AU"/>
          <w14:ligatures w14:val="none"/>
        </w:rPr>
        <w:t xml:space="preserve">Large land areas can provide countries with diverse ecosystems and potential for various economic activities, while smaller land areas might foster </w:t>
      </w:r>
      <w:r w:rsidR="00AB095D" w:rsidRPr="0055623F">
        <w:rPr>
          <w:rFonts w:ascii="Calibri" w:eastAsia="Times New Roman" w:hAnsi="Calibri" w:cs="Calibri"/>
          <w:color w:val="000000" w:themeColor="text1"/>
          <w:kern w:val="0"/>
          <w:lang w:eastAsia="en-AU"/>
          <w14:ligatures w14:val="none"/>
        </w:rPr>
        <w:t>tightly knit</w:t>
      </w:r>
      <w:r w:rsidRPr="0055623F">
        <w:rPr>
          <w:rFonts w:ascii="Calibri" w:eastAsia="Times New Roman" w:hAnsi="Calibri" w:cs="Calibri"/>
          <w:color w:val="000000" w:themeColor="text1"/>
          <w:kern w:val="0"/>
          <w:lang w:eastAsia="en-AU"/>
          <w14:ligatures w14:val="none"/>
        </w:rPr>
        <w:t xml:space="preserve"> communities.</w:t>
      </w:r>
    </w:p>
    <w:p w14:paraId="64E61982" w14:textId="77777777" w:rsidR="0055623F" w:rsidRPr="0055623F" w:rsidRDefault="0055623F" w:rsidP="0055623F">
      <w:pPr>
        <w:rPr>
          <w:rFonts w:ascii="Calibri" w:eastAsia="Times New Roman" w:hAnsi="Calibri" w:cs="Calibri"/>
          <w:color w:val="000000" w:themeColor="text1"/>
          <w:kern w:val="0"/>
          <w:lang w:eastAsia="en-AU"/>
          <w14:ligatures w14:val="none"/>
        </w:rPr>
      </w:pPr>
      <w:r w:rsidRPr="0055623F">
        <w:rPr>
          <w:rFonts w:ascii="Calibri" w:eastAsia="Times New Roman" w:hAnsi="Calibri" w:cs="Calibri"/>
          <w:color w:val="000000" w:themeColor="text1"/>
          <w:kern w:val="0"/>
          <w:lang w:eastAsia="en-AU"/>
          <w14:ligatures w14:val="none"/>
        </w:rPr>
        <w:t>The distribution of land areas influences geopolitical dynamics, resource distribution, and potential for environmental conservation and development.</w:t>
      </w:r>
    </w:p>
    <w:p w14:paraId="7278C4E6" w14:textId="62DECEC0" w:rsidR="00825BA9" w:rsidRDefault="00710597" w:rsidP="00DD4FD8">
      <w:pPr>
        <w:pStyle w:val="Heading1"/>
      </w:pPr>
      <w:r>
        <w:t>Bivar</w:t>
      </w:r>
      <w:r w:rsidR="00FE43D9">
        <w:t>ia</w:t>
      </w:r>
      <w:r>
        <w:t>te</w:t>
      </w:r>
      <w:r w:rsidR="00FE43D9">
        <w:t xml:space="preserve"> Analysis</w:t>
      </w:r>
    </w:p>
    <w:p w14:paraId="7DD01BCC" w14:textId="77777777" w:rsidR="00FE43D9" w:rsidRDefault="00FE43D9" w:rsidP="00252FF6"/>
    <w:p w14:paraId="5B061964" w14:textId="2E756C58" w:rsidR="00FE43D9" w:rsidRDefault="00FE43D9" w:rsidP="00252FF6">
      <w:pPr>
        <w:rPr>
          <w:rFonts w:ascii="Calibri" w:eastAsia="Times New Roman" w:hAnsi="Calibri" w:cs="Calibri"/>
          <w:color w:val="000000" w:themeColor="text1"/>
          <w:kern w:val="0"/>
          <w:lang w:eastAsia="en-AU"/>
          <w14:ligatures w14:val="none"/>
        </w:rPr>
      </w:pPr>
      <w:r w:rsidRPr="00FE43D9">
        <w:rPr>
          <w:rFonts w:ascii="Calibri" w:eastAsia="Times New Roman" w:hAnsi="Calibri" w:cs="Calibri"/>
          <w:color w:val="000000" w:themeColor="text1"/>
          <w:kern w:val="0"/>
          <w:lang w:eastAsia="en-AU"/>
          <w14:ligatures w14:val="none"/>
        </w:rPr>
        <w:t>This study examines a dataset that includes data on infant mortality rates and life expectancy in various nations. The dataset offers information on socioeconomic variables, global health inequities, and the standard of healthcare systems. The goal of the analysis is to find trends, correlations, and patterns in the data.</w:t>
      </w:r>
    </w:p>
    <w:p w14:paraId="7FFC70E8" w14:textId="77777777" w:rsidR="0069206D" w:rsidRDefault="0069206D" w:rsidP="00252FF6">
      <w:pPr>
        <w:rPr>
          <w:rFonts w:ascii="Calibri" w:eastAsia="Times New Roman" w:hAnsi="Calibri" w:cs="Calibri"/>
          <w:color w:val="000000" w:themeColor="text1"/>
          <w:kern w:val="0"/>
          <w:lang w:eastAsia="en-AU"/>
          <w14:ligatures w14:val="none"/>
        </w:rPr>
      </w:pPr>
    </w:p>
    <w:p w14:paraId="2EF130BD" w14:textId="397BCE48" w:rsidR="0069206D" w:rsidRPr="000120D8" w:rsidRDefault="0069206D" w:rsidP="000120D8">
      <w:pPr>
        <w:pStyle w:val="Heading2"/>
        <w:rPr>
          <w:rFonts w:eastAsia="Times New Roman"/>
          <w:lang w:eastAsia="en-AU"/>
        </w:rPr>
      </w:pPr>
      <w:r w:rsidRPr="000120D8">
        <w:rPr>
          <w:rFonts w:eastAsia="Times New Roman"/>
          <w:lang w:eastAsia="en-AU"/>
        </w:rPr>
        <w:t>Summary Statistics</w:t>
      </w:r>
    </w:p>
    <w:p w14:paraId="2CC245CA" w14:textId="1EDAE5A0" w:rsidR="0069206D" w:rsidRPr="007B4AF7" w:rsidRDefault="0069206D" w:rsidP="0069206D">
      <w:pPr>
        <w:pStyle w:val="ListParagraph"/>
        <w:numPr>
          <w:ilvl w:val="0"/>
          <w:numId w:val="3"/>
        </w:numPr>
        <w:rPr>
          <w:rFonts w:ascii="Calibri" w:eastAsia="Times New Roman" w:hAnsi="Calibri" w:cs="Calibri"/>
          <w:b/>
          <w:bCs/>
          <w:color w:val="000000" w:themeColor="text1"/>
          <w:kern w:val="0"/>
          <w:lang w:eastAsia="en-AU"/>
          <w14:ligatures w14:val="none"/>
        </w:rPr>
      </w:pPr>
      <w:r w:rsidRPr="0069206D">
        <w:rPr>
          <w:rFonts w:ascii="Calibri" w:eastAsia="Times New Roman" w:hAnsi="Calibri" w:cs="Calibri"/>
          <w:color w:val="000000" w:themeColor="text1"/>
          <w:kern w:val="0"/>
          <w:lang w:eastAsia="en-AU"/>
          <w14:ligatures w14:val="none"/>
        </w:rPr>
        <w:t xml:space="preserve">Average infant mortality rate: </w:t>
      </w:r>
      <w:r w:rsidRPr="007B4AF7">
        <w:rPr>
          <w:rFonts w:ascii="Calibri" w:eastAsia="Times New Roman" w:hAnsi="Calibri" w:cs="Calibri"/>
          <w:b/>
          <w:bCs/>
          <w:color w:val="000000" w:themeColor="text1"/>
          <w:kern w:val="0"/>
          <w:lang w:eastAsia="en-AU"/>
          <w14:ligatures w14:val="none"/>
        </w:rPr>
        <w:t>26.8</w:t>
      </w:r>
    </w:p>
    <w:p w14:paraId="17CFB29A" w14:textId="5C072EC6" w:rsidR="0069206D" w:rsidRPr="007B4AF7" w:rsidRDefault="0069206D" w:rsidP="0069206D">
      <w:pPr>
        <w:pStyle w:val="ListParagraph"/>
        <w:numPr>
          <w:ilvl w:val="0"/>
          <w:numId w:val="3"/>
        </w:numPr>
        <w:rPr>
          <w:rFonts w:ascii="Calibri" w:eastAsia="Times New Roman" w:hAnsi="Calibri" w:cs="Calibri"/>
          <w:b/>
          <w:bCs/>
          <w:color w:val="000000" w:themeColor="text1"/>
          <w:kern w:val="0"/>
          <w:lang w:eastAsia="en-AU"/>
          <w14:ligatures w14:val="none"/>
        </w:rPr>
      </w:pPr>
      <w:r w:rsidRPr="0069206D">
        <w:rPr>
          <w:rFonts w:ascii="Calibri" w:eastAsia="Times New Roman" w:hAnsi="Calibri" w:cs="Calibri"/>
          <w:color w:val="000000" w:themeColor="text1"/>
          <w:kern w:val="0"/>
          <w:lang w:eastAsia="en-AU"/>
          <w14:ligatures w14:val="none"/>
        </w:rPr>
        <w:t xml:space="preserve">Average life expectancy: </w:t>
      </w:r>
      <w:r w:rsidRPr="007B4AF7">
        <w:rPr>
          <w:rFonts w:ascii="Calibri" w:eastAsia="Times New Roman" w:hAnsi="Calibri" w:cs="Calibri"/>
          <w:b/>
          <w:bCs/>
          <w:color w:val="000000" w:themeColor="text1"/>
          <w:kern w:val="0"/>
          <w:lang w:eastAsia="en-AU"/>
          <w14:ligatures w14:val="none"/>
        </w:rPr>
        <w:t>70.7 years</w:t>
      </w:r>
    </w:p>
    <w:p w14:paraId="65958D63" w14:textId="635436E7" w:rsidR="0069206D" w:rsidRDefault="00922F18" w:rsidP="00922F18">
      <w:pPr>
        <w:pStyle w:val="ListParagraph"/>
        <w:numPr>
          <w:ilvl w:val="0"/>
          <w:numId w:val="3"/>
        </w:numPr>
        <w:rPr>
          <w:rFonts w:ascii="Calibri" w:eastAsia="Times New Roman" w:hAnsi="Calibri" w:cs="Calibri"/>
          <w:color w:val="000000" w:themeColor="text1"/>
          <w:kern w:val="0"/>
          <w:lang w:eastAsia="en-AU"/>
          <w14:ligatures w14:val="none"/>
        </w:rPr>
      </w:pPr>
      <w:r>
        <w:rPr>
          <w:rFonts w:ascii="Calibri" w:eastAsia="Times New Roman" w:hAnsi="Calibri" w:cs="Calibri"/>
          <w:color w:val="000000" w:themeColor="text1"/>
          <w:kern w:val="0"/>
          <w:lang w:eastAsia="en-AU"/>
          <w14:ligatures w14:val="none"/>
        </w:rPr>
        <w:t>Correlation: -0.92468</w:t>
      </w:r>
    </w:p>
    <w:p w14:paraId="7D980ACB" w14:textId="52BFE805" w:rsidR="00922F18" w:rsidRDefault="00922F18" w:rsidP="00922F18">
      <w:pPr>
        <w:pStyle w:val="ListParagraph"/>
        <w:numPr>
          <w:ilvl w:val="0"/>
          <w:numId w:val="3"/>
        </w:numPr>
        <w:rPr>
          <w:rFonts w:ascii="Calibri" w:eastAsia="Times New Roman" w:hAnsi="Calibri" w:cs="Calibri"/>
          <w:color w:val="000000" w:themeColor="text1"/>
          <w:kern w:val="0"/>
          <w:lang w:eastAsia="en-AU"/>
          <w14:ligatures w14:val="none"/>
        </w:rPr>
      </w:pPr>
      <w:r>
        <w:rPr>
          <w:rFonts w:ascii="Calibri" w:eastAsia="Times New Roman" w:hAnsi="Calibri" w:cs="Calibri"/>
          <w:color w:val="000000" w:themeColor="text1"/>
          <w:kern w:val="0"/>
          <w:lang w:eastAsia="en-AU"/>
          <w14:ligatures w14:val="none"/>
        </w:rPr>
        <w:t>Median of Infant Mortality Rate: 14</w:t>
      </w:r>
    </w:p>
    <w:p w14:paraId="341AAC2F" w14:textId="5BEFE492" w:rsidR="00922F18" w:rsidRDefault="00922F18" w:rsidP="00922F18">
      <w:pPr>
        <w:pStyle w:val="ListParagraph"/>
        <w:numPr>
          <w:ilvl w:val="0"/>
          <w:numId w:val="3"/>
        </w:numPr>
        <w:rPr>
          <w:rFonts w:ascii="Calibri" w:eastAsia="Times New Roman" w:hAnsi="Calibri" w:cs="Calibri"/>
          <w:color w:val="000000" w:themeColor="text1"/>
          <w:kern w:val="0"/>
          <w:lang w:eastAsia="en-AU"/>
          <w14:ligatures w14:val="none"/>
        </w:rPr>
      </w:pPr>
      <w:r>
        <w:rPr>
          <w:rFonts w:ascii="Calibri" w:eastAsia="Times New Roman" w:hAnsi="Calibri" w:cs="Calibri"/>
          <w:color w:val="000000" w:themeColor="text1"/>
          <w:kern w:val="0"/>
          <w:lang w:eastAsia="en-AU"/>
          <w14:ligatures w14:val="none"/>
        </w:rPr>
        <w:t>Median of Life Expectancy:  73.2</w:t>
      </w:r>
    </w:p>
    <w:p w14:paraId="0747EDE5" w14:textId="77777777" w:rsidR="00922F18" w:rsidRPr="00922F18" w:rsidRDefault="00922F18" w:rsidP="00922F18">
      <w:pPr>
        <w:rPr>
          <w:rFonts w:ascii="Calibri" w:eastAsia="Times New Roman" w:hAnsi="Calibri" w:cs="Calibri"/>
          <w:color w:val="000000" w:themeColor="text1"/>
          <w:kern w:val="0"/>
          <w:lang w:eastAsia="en-AU"/>
          <w14:ligatures w14:val="none"/>
        </w:rPr>
      </w:pPr>
      <w:r w:rsidRPr="00922F18">
        <w:rPr>
          <w:rFonts w:ascii="Calibri" w:eastAsia="Times New Roman" w:hAnsi="Calibri" w:cs="Calibri"/>
          <w:color w:val="000000" w:themeColor="text1"/>
          <w:kern w:val="0"/>
          <w:lang w:eastAsia="en-AU"/>
          <w14:ligatures w14:val="none"/>
        </w:rPr>
        <w:t>Infant Mortality: The mean and median rates of infant mortality, which represent the average level of child health across nations, can shed light on the central trend of the data.</w:t>
      </w:r>
    </w:p>
    <w:p w14:paraId="067D6F40" w14:textId="1D3A5067" w:rsidR="00922F18" w:rsidRPr="00922F18" w:rsidRDefault="00922F18" w:rsidP="00922F18">
      <w:pPr>
        <w:rPr>
          <w:rFonts w:ascii="Calibri" w:eastAsia="Times New Roman" w:hAnsi="Calibri" w:cs="Calibri"/>
          <w:color w:val="000000" w:themeColor="text1"/>
          <w:kern w:val="0"/>
          <w:lang w:eastAsia="en-AU"/>
          <w14:ligatures w14:val="none"/>
        </w:rPr>
      </w:pPr>
      <w:r w:rsidRPr="00922F18">
        <w:rPr>
          <w:rFonts w:ascii="Calibri" w:eastAsia="Times New Roman" w:hAnsi="Calibri" w:cs="Calibri"/>
          <w:color w:val="000000" w:themeColor="text1"/>
          <w:kern w:val="0"/>
          <w:lang w:eastAsia="en-AU"/>
          <w14:ligatures w14:val="none"/>
        </w:rPr>
        <w:t xml:space="preserve">Life Expectancy: </w:t>
      </w:r>
      <w:r w:rsidR="00AB095D" w:rsidRPr="00922F18">
        <w:rPr>
          <w:rFonts w:ascii="Calibri" w:eastAsia="Times New Roman" w:hAnsi="Calibri" w:cs="Calibri"/>
          <w:color w:val="000000" w:themeColor="text1"/>
          <w:kern w:val="0"/>
          <w:lang w:eastAsia="en-AU"/>
          <w14:ligatures w14:val="none"/>
        </w:rPr>
        <w:t>Like</w:t>
      </w:r>
      <w:r w:rsidRPr="00922F18">
        <w:rPr>
          <w:rFonts w:ascii="Calibri" w:eastAsia="Times New Roman" w:hAnsi="Calibri" w:cs="Calibri"/>
          <w:color w:val="000000" w:themeColor="text1"/>
          <w:kern w:val="0"/>
          <w:lang w:eastAsia="en-AU"/>
          <w14:ligatures w14:val="none"/>
        </w:rPr>
        <w:t xml:space="preserve"> infant mortality, figuring out the mean and median ages provides us an idea of how long people typically live in the dataset.</w:t>
      </w:r>
    </w:p>
    <w:p w14:paraId="06836F31" w14:textId="409CB4A6" w:rsidR="00FC394C" w:rsidRPr="005A553B" w:rsidRDefault="00FC394C" w:rsidP="000120D8">
      <w:pPr>
        <w:pStyle w:val="Heading2"/>
        <w:rPr>
          <w:rFonts w:eastAsia="Times New Roman"/>
          <w:lang w:eastAsia="en-AU"/>
        </w:rPr>
      </w:pPr>
      <w:r w:rsidRPr="005A553B">
        <w:rPr>
          <w:rFonts w:eastAsia="Times New Roman"/>
          <w:lang w:eastAsia="en-AU"/>
        </w:rPr>
        <w:t>Correlation Analysis</w:t>
      </w:r>
    </w:p>
    <w:p w14:paraId="743C7A57" w14:textId="77777777" w:rsidR="007B4AF7" w:rsidRDefault="007B4AF7" w:rsidP="0069206D">
      <w:pPr>
        <w:rPr>
          <w:rFonts w:ascii="Calibri" w:eastAsia="Times New Roman" w:hAnsi="Calibri" w:cs="Calibri"/>
          <w:color w:val="000000" w:themeColor="text1"/>
          <w:kern w:val="0"/>
          <w:lang w:eastAsia="en-AU"/>
          <w14:ligatures w14:val="none"/>
        </w:rPr>
      </w:pPr>
    </w:p>
    <w:p w14:paraId="6E574650" w14:textId="0DC907CA" w:rsidR="007B4AF7" w:rsidRDefault="00FC394C" w:rsidP="0069206D">
      <w:pPr>
        <w:rPr>
          <w:noProof/>
        </w:rPr>
      </w:pPr>
      <w:r w:rsidRPr="00FC394C">
        <w:rPr>
          <w:rFonts w:ascii="Calibri" w:eastAsia="Times New Roman" w:hAnsi="Calibri" w:cs="Calibri"/>
          <w:color w:val="000000" w:themeColor="text1"/>
          <w:kern w:val="0"/>
          <w:lang w:eastAsia="en-AU"/>
          <w14:ligatures w14:val="none"/>
        </w:rPr>
        <w:t xml:space="preserve">Expectedly, there is an inverse relationship between newborn mortality rates and life expectancy. Life expectancy tends to be lower in nations with greater infant mortality rates and vice versa. An </w:t>
      </w:r>
      <w:r w:rsidRPr="00FC394C">
        <w:rPr>
          <w:rFonts w:ascii="Calibri" w:eastAsia="Times New Roman" w:hAnsi="Calibri" w:cs="Calibri"/>
          <w:color w:val="000000" w:themeColor="text1"/>
          <w:kern w:val="0"/>
          <w:lang w:eastAsia="en-AU"/>
          <w14:ligatures w14:val="none"/>
        </w:rPr>
        <w:lastRenderedPageBreak/>
        <w:t xml:space="preserve">extremely strong negative linear relationship is indicated by the correlation coefficient, which is roughly </w:t>
      </w:r>
      <w:r w:rsidRPr="007B4AF7">
        <w:rPr>
          <w:rFonts w:ascii="Calibri" w:eastAsia="Times New Roman" w:hAnsi="Calibri" w:cs="Calibri"/>
          <w:b/>
          <w:bCs/>
          <w:color w:val="000000" w:themeColor="text1"/>
          <w:kern w:val="0"/>
          <w:lang w:eastAsia="en-AU"/>
          <w14:ligatures w14:val="none"/>
        </w:rPr>
        <w:t>-0.92</w:t>
      </w:r>
      <w:r>
        <w:rPr>
          <w:rFonts w:ascii="Calibri" w:eastAsia="Times New Roman" w:hAnsi="Calibri" w:cs="Calibri"/>
          <w:color w:val="000000" w:themeColor="text1"/>
          <w:kern w:val="0"/>
          <w:lang w:eastAsia="en-AU"/>
          <w14:ligatures w14:val="none"/>
        </w:rPr>
        <w:t>.</w:t>
      </w:r>
      <w:r w:rsidRPr="00FC394C">
        <w:rPr>
          <w:noProof/>
        </w:rPr>
        <w:t xml:space="preserve"> </w:t>
      </w:r>
    </w:p>
    <w:p w14:paraId="3EE6F892" w14:textId="237251F4" w:rsidR="007B4AF7" w:rsidRPr="001E1387" w:rsidRDefault="007B4AF7" w:rsidP="001E1387">
      <w:r w:rsidRPr="001E1387">
        <w:t>Outliner Examination:</w:t>
      </w:r>
    </w:p>
    <w:p w14:paraId="7963721D" w14:textId="16193077" w:rsidR="007B4AF7" w:rsidRDefault="007B4AF7" w:rsidP="007B4AF7">
      <w:pPr>
        <w:rPr>
          <w:noProof/>
        </w:rPr>
      </w:pPr>
      <w:r>
        <w:rPr>
          <w:noProof/>
        </w:rPr>
        <w:t>Highest Infant Mortality: The Central African Republican and Somalia have exceptionally high infant mortality rate due to various reasons such as lack of healthcare facilities, lack of access to clean water and unstable political situation.</w:t>
      </w:r>
    </w:p>
    <w:p w14:paraId="745AFF76" w14:textId="7DF99839" w:rsidR="00E44D20" w:rsidRDefault="00E44D20" w:rsidP="007B4AF7">
      <w:pPr>
        <w:rPr>
          <w:noProof/>
        </w:rPr>
      </w:pPr>
      <w:r>
        <w:rPr>
          <w:noProof/>
        </w:rPr>
        <w:t>Lowest Infant Mortality: Highly developed and stable countries such as Japan and Iceland, where excellent healthcare facilites and soicoeconomic stabilty is present has the lowest infant mortality. Since infant mortality and life expectancy are inversly proportional life expectancy in these countries will be the highest.</w:t>
      </w:r>
    </w:p>
    <w:p w14:paraId="724C5571" w14:textId="2FDD648D" w:rsidR="005A553B" w:rsidRDefault="005A553B" w:rsidP="007B4AF7">
      <w:pPr>
        <w:rPr>
          <w:b/>
          <w:bCs/>
          <w:noProof/>
        </w:rPr>
      </w:pPr>
      <w:r>
        <w:rPr>
          <w:b/>
          <w:bCs/>
          <w:noProof/>
        </w:rPr>
        <w:t>Regional Analysis:</w:t>
      </w:r>
    </w:p>
    <w:p w14:paraId="25C9A50E" w14:textId="16B660ED" w:rsidR="005A553B" w:rsidRDefault="005A553B" w:rsidP="007B4AF7">
      <w:pPr>
        <w:rPr>
          <w:noProof/>
        </w:rPr>
      </w:pPr>
      <w:r>
        <w:rPr>
          <w:noProof/>
        </w:rPr>
        <w:t>European and American countries has weaker negative correlation between infant mortality and life expectancies suggesting that the healthcare and its availability is good there, whereas the continent of Africa has the negative correlation on the stronger side.</w:t>
      </w:r>
    </w:p>
    <w:p w14:paraId="04DDBF05" w14:textId="60CC6D19" w:rsidR="006C5451" w:rsidRDefault="006C5451" w:rsidP="007B4AF7">
      <w:pPr>
        <w:rPr>
          <w:b/>
          <w:bCs/>
          <w:noProof/>
        </w:rPr>
      </w:pPr>
      <w:r>
        <w:rPr>
          <w:b/>
          <w:bCs/>
          <w:noProof/>
        </w:rPr>
        <w:t>Missing Data Analysis:</w:t>
      </w:r>
    </w:p>
    <w:p w14:paraId="253AB3A1" w14:textId="7ACE8B8C" w:rsidR="006C5451" w:rsidRPr="006C5451" w:rsidRDefault="006C5451" w:rsidP="007B4AF7">
      <w:pPr>
        <w:rPr>
          <w:noProof/>
        </w:rPr>
      </w:pPr>
      <w:r w:rsidRPr="006C5451">
        <w:rPr>
          <w:noProof/>
        </w:rPr>
        <w:t>If missing values are disproportionately associated with certain places, missing life expectancy data may skew the results. A random distribution of missing values, however, shows that there is no systematic bias.</w:t>
      </w:r>
    </w:p>
    <w:p w14:paraId="6B118734" w14:textId="77777777" w:rsidR="000120D8" w:rsidRDefault="000120D8" w:rsidP="000120D8">
      <w:pPr>
        <w:rPr>
          <w:rStyle w:val="Heading2Char"/>
        </w:rPr>
      </w:pPr>
    </w:p>
    <w:p w14:paraId="3E799325" w14:textId="77777777" w:rsidR="000120D8" w:rsidRDefault="000120D8" w:rsidP="000120D8">
      <w:pPr>
        <w:rPr>
          <w:rStyle w:val="Heading2Char"/>
        </w:rPr>
      </w:pPr>
    </w:p>
    <w:p w14:paraId="2E3E05B6" w14:textId="1A7CBD5F" w:rsidR="000120D8" w:rsidRDefault="00100E87" w:rsidP="000120D8">
      <w:pPr>
        <w:pStyle w:val="Heading2"/>
        <w:rPr>
          <w:rStyle w:val="Heading2Char"/>
        </w:rPr>
      </w:pPr>
      <w:r w:rsidRPr="000120D8">
        <w:rPr>
          <w:rStyle w:val="Heading2Char"/>
        </w:rPr>
        <w:t>Graphical Representation</w:t>
      </w:r>
    </w:p>
    <w:p w14:paraId="3C5AEB5F" w14:textId="77777777" w:rsidR="000120D8" w:rsidRDefault="000120D8" w:rsidP="000120D8">
      <w:pPr>
        <w:rPr>
          <w:rStyle w:val="Heading2Char"/>
        </w:rPr>
      </w:pPr>
    </w:p>
    <w:p w14:paraId="751698F9" w14:textId="10F7F98B" w:rsidR="00FC394C" w:rsidRDefault="00FC394C" w:rsidP="000120D8">
      <w:pPr>
        <w:rPr>
          <w:noProof/>
        </w:rPr>
      </w:pPr>
      <w:r>
        <w:rPr>
          <w:noProof/>
        </w:rPr>
        <w:drawing>
          <wp:inline distT="0" distB="0" distL="0" distR="0" wp14:anchorId="428675FF" wp14:editId="4DEC0118">
            <wp:extent cx="5398936" cy="2910177"/>
            <wp:effectExtent l="0" t="0" r="11430" b="5080"/>
            <wp:docPr id="425582226" name="Chart 1" descr="Chart type: Scatter. Field: Infant mortality and Field: Life expectancy appear highly correlated.&#10;&#10;Description automatically generated">
              <a:extLst xmlns:a="http://schemas.openxmlformats.org/drawingml/2006/main">
                <a:ext uri="{FF2B5EF4-FFF2-40B4-BE49-F238E27FC236}">
                  <a16:creationId xmlns:a16="http://schemas.microsoft.com/office/drawing/2014/main" id="{B39FF1AE-1790-1DAF-3EF3-FA7D6F3FF8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5BB2B4" w14:textId="681C6036" w:rsidR="007B4AF7" w:rsidRDefault="007B4AF7" w:rsidP="0069206D">
      <w:pPr>
        <w:rPr>
          <w:rFonts w:ascii="Calibri" w:eastAsia="Times New Roman" w:hAnsi="Calibri" w:cs="Calibri"/>
          <w:color w:val="000000" w:themeColor="text1"/>
          <w:kern w:val="0"/>
          <w:lang w:eastAsia="en-AU"/>
          <w14:ligatures w14:val="none"/>
        </w:rPr>
      </w:pPr>
      <w:r w:rsidRPr="007B4AF7">
        <w:rPr>
          <w:rFonts w:ascii="Calibri" w:eastAsia="Times New Roman" w:hAnsi="Calibri" w:cs="Calibri"/>
          <w:color w:val="000000" w:themeColor="text1"/>
          <w:kern w:val="0"/>
          <w:lang w:eastAsia="en-AU"/>
          <w14:ligatures w14:val="none"/>
        </w:rPr>
        <w:t>The scatter plot visually confirms the negative correlation between infant mortality rates and life expectancies. The data points cluster around an inverse relationship</w:t>
      </w:r>
    </w:p>
    <w:p w14:paraId="319F3E94" w14:textId="5043461A" w:rsidR="00252FF6" w:rsidRDefault="007B4AF7">
      <w:pPr>
        <w:rPr>
          <w:lang w:val="en-US"/>
        </w:rPr>
      </w:pPr>
      <w:r>
        <w:rPr>
          <w:noProof/>
        </w:rPr>
        <w:lastRenderedPageBreak/>
        <mc:AlternateContent>
          <mc:Choice Requires="cx1">
            <w:drawing>
              <wp:inline distT="0" distB="0" distL="0" distR="0" wp14:anchorId="7C375475" wp14:editId="29D7B0EB">
                <wp:extent cx="5915770" cy="3349625"/>
                <wp:effectExtent l="0" t="0" r="8890" b="3175"/>
                <wp:docPr id="2117706908" name="Chart 1">
                  <a:extLst xmlns:a="http://schemas.openxmlformats.org/drawingml/2006/main">
                    <a:ext uri="{FF2B5EF4-FFF2-40B4-BE49-F238E27FC236}">
                      <a16:creationId xmlns:a16="http://schemas.microsoft.com/office/drawing/2014/main" id="{CDC0AF52-8B35-B72D-88B9-A401C506243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7C375475" wp14:editId="29D7B0EB">
                <wp:extent cx="5915770" cy="3349625"/>
                <wp:effectExtent l="0" t="0" r="8890" b="3175"/>
                <wp:docPr id="2117706908" name="Chart 1">
                  <a:extLst xmlns:a="http://schemas.openxmlformats.org/drawingml/2006/main">
                    <a:ext uri="{FF2B5EF4-FFF2-40B4-BE49-F238E27FC236}">
                      <a16:creationId xmlns:a16="http://schemas.microsoft.com/office/drawing/2014/main" id="{CDC0AF52-8B35-B72D-88B9-A401C506243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17706908" name="Chart 1">
                          <a:extLst>
                            <a:ext uri="{FF2B5EF4-FFF2-40B4-BE49-F238E27FC236}">
                              <a16:creationId xmlns:a16="http://schemas.microsoft.com/office/drawing/2014/main" id="{CDC0AF52-8B35-B72D-88B9-A401C5062432}"/>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915660" cy="3349625"/>
                        </a:xfrm>
                        <a:prstGeom prst="rect">
                          <a:avLst/>
                        </a:prstGeom>
                      </pic:spPr>
                    </pic:pic>
                  </a:graphicData>
                </a:graphic>
              </wp:inline>
            </w:drawing>
          </mc:Fallback>
        </mc:AlternateContent>
      </w:r>
      <w:r w:rsidR="00252FF6">
        <w:rPr>
          <w:lang w:val="en-US"/>
        </w:rPr>
        <w:t xml:space="preserve"> </w:t>
      </w:r>
      <w:r w:rsidRPr="007B4AF7">
        <w:rPr>
          <w:lang w:val="en-US"/>
        </w:rPr>
        <w:t>Box plots show that infant mortality rates have a larger spread than life expectancies, with several outliers in the higher range.</w:t>
      </w:r>
    </w:p>
    <w:p w14:paraId="274C7DC0" w14:textId="77777777" w:rsidR="000120D8" w:rsidRDefault="000120D8" w:rsidP="000120D8">
      <w:pPr>
        <w:pStyle w:val="Heading2"/>
        <w:rPr>
          <w:lang w:val="en-US"/>
        </w:rPr>
      </w:pPr>
    </w:p>
    <w:p w14:paraId="28DE6418" w14:textId="6F3B7564" w:rsidR="006C5451" w:rsidRDefault="006C5451" w:rsidP="000120D8">
      <w:pPr>
        <w:pStyle w:val="Heading2"/>
        <w:rPr>
          <w:lang w:val="en-US"/>
        </w:rPr>
      </w:pPr>
      <w:r>
        <w:rPr>
          <w:lang w:val="en-US"/>
        </w:rPr>
        <w:t>Limitations</w:t>
      </w:r>
    </w:p>
    <w:p w14:paraId="5DE24D3A" w14:textId="77777777" w:rsidR="006C5451" w:rsidRPr="006C5451" w:rsidRDefault="006C5451" w:rsidP="006C5451">
      <w:pPr>
        <w:pStyle w:val="ListParagraph"/>
        <w:numPr>
          <w:ilvl w:val="0"/>
          <w:numId w:val="5"/>
        </w:numPr>
        <w:rPr>
          <w:lang w:val="en-US"/>
        </w:rPr>
      </w:pPr>
      <w:r w:rsidRPr="006C5451">
        <w:rPr>
          <w:lang w:val="en-US"/>
        </w:rPr>
        <w:t>The dataset does not include the year of data collection, which could affect the relevance of the analysis over time.</w:t>
      </w:r>
    </w:p>
    <w:p w14:paraId="4DB984BC" w14:textId="77777777" w:rsidR="006C5451" w:rsidRPr="006C5451" w:rsidRDefault="006C5451" w:rsidP="006C5451">
      <w:pPr>
        <w:pStyle w:val="ListParagraph"/>
        <w:numPr>
          <w:ilvl w:val="0"/>
          <w:numId w:val="5"/>
        </w:numPr>
        <w:rPr>
          <w:lang w:val="en-US"/>
        </w:rPr>
      </w:pPr>
      <w:r w:rsidRPr="006C5451">
        <w:rPr>
          <w:lang w:val="en-US"/>
        </w:rPr>
        <w:t>The analysis is descriptive and does not establish causality between variables.</w:t>
      </w:r>
    </w:p>
    <w:p w14:paraId="172C58C5" w14:textId="6125F1E4" w:rsidR="006C5451" w:rsidRDefault="006C5451" w:rsidP="006C5451">
      <w:pPr>
        <w:pStyle w:val="ListParagraph"/>
        <w:numPr>
          <w:ilvl w:val="0"/>
          <w:numId w:val="5"/>
        </w:numPr>
        <w:rPr>
          <w:lang w:val="en-US"/>
        </w:rPr>
      </w:pPr>
      <w:r w:rsidRPr="006C5451">
        <w:rPr>
          <w:lang w:val="en-US"/>
        </w:rPr>
        <w:t>The missing data for some countries might impact the overall analysis.</w:t>
      </w:r>
    </w:p>
    <w:p w14:paraId="5957150A" w14:textId="77777777" w:rsidR="000120D8" w:rsidRDefault="000120D8" w:rsidP="000120D8">
      <w:pPr>
        <w:rPr>
          <w:lang w:val="en-US"/>
        </w:rPr>
      </w:pPr>
    </w:p>
    <w:p w14:paraId="422DF934" w14:textId="15A20D1E" w:rsidR="000120D8" w:rsidRDefault="000120D8" w:rsidP="000120D8">
      <w:pPr>
        <w:pStyle w:val="Heading2"/>
        <w:rPr>
          <w:lang w:val="en-US"/>
        </w:rPr>
      </w:pPr>
      <w:r>
        <w:rPr>
          <w:lang w:val="en-US"/>
        </w:rPr>
        <w:t>Implications</w:t>
      </w:r>
    </w:p>
    <w:p w14:paraId="4B36ABEA" w14:textId="0E519AA4" w:rsidR="000120D8" w:rsidRDefault="000120D8" w:rsidP="000120D8">
      <w:pPr>
        <w:rPr>
          <w:lang w:val="en-US"/>
        </w:rPr>
      </w:pPr>
      <w:r>
        <w:rPr>
          <w:lang w:val="en-US"/>
        </w:rPr>
        <w:t>These findings will help emphasize the urgent need for focusing on developing certain countries over others. Those countries that needs improvement will benefit a lot more with external support such as donations and INGOs. Improving healthcare systems, addressing the disparities in the socioeconomics, and ensuring fulfillment of all the basic needs will highly improve both life expectancies and infant mortality rates</w:t>
      </w:r>
      <w:r w:rsidR="000A7385">
        <w:rPr>
          <w:lang w:val="en-US"/>
        </w:rPr>
        <w:t>.</w:t>
      </w:r>
    </w:p>
    <w:p w14:paraId="645D4EF2" w14:textId="77777777" w:rsidR="000A7385" w:rsidRDefault="000A7385" w:rsidP="000120D8">
      <w:pPr>
        <w:rPr>
          <w:lang w:val="en-US"/>
        </w:rPr>
      </w:pPr>
    </w:p>
    <w:p w14:paraId="284A033C" w14:textId="5A6D578D" w:rsidR="000A7385" w:rsidRDefault="000A7385" w:rsidP="000A7385">
      <w:pPr>
        <w:pStyle w:val="Heading2"/>
        <w:rPr>
          <w:lang w:val="en-US"/>
        </w:rPr>
      </w:pPr>
      <w:r>
        <w:rPr>
          <w:lang w:val="en-US"/>
        </w:rPr>
        <w:t>Conclusion</w:t>
      </w:r>
    </w:p>
    <w:p w14:paraId="564B7965" w14:textId="317FFE83" w:rsidR="000A7385" w:rsidRDefault="00F4582B" w:rsidP="000A7385">
      <w:pPr>
        <w:rPr>
          <w:lang w:val="en-US"/>
        </w:rPr>
      </w:pPr>
      <w:r w:rsidRPr="00F4582B">
        <w:rPr>
          <w:lang w:val="en-US"/>
        </w:rPr>
        <w:t>We now have a deeper knowledge of the precise link between newborn mortality rates and life expectancies thanks to this extensive correlation investigation. While highlighting the relevance of worldwide initiatives to enhance healthcare access and quality, it also draws attention to regional disparities, anomalous occurrences, and missing data.</w:t>
      </w:r>
    </w:p>
    <w:p w14:paraId="37288671" w14:textId="77777777" w:rsidR="00080262" w:rsidRDefault="00080262" w:rsidP="00080262">
      <w:pPr>
        <w:pStyle w:val="Heading2"/>
        <w:rPr>
          <w:lang w:val="en-US"/>
        </w:rPr>
      </w:pPr>
    </w:p>
    <w:p w14:paraId="295F32B7" w14:textId="77777777" w:rsidR="00DD4FD8" w:rsidRPr="00DD4FD8" w:rsidRDefault="00DD4FD8" w:rsidP="00DD4FD8">
      <w:pPr>
        <w:rPr>
          <w:lang w:val="en-US"/>
        </w:rPr>
      </w:pPr>
    </w:p>
    <w:p w14:paraId="3D05C9D4" w14:textId="4FA2E498" w:rsidR="00080262" w:rsidRPr="00080262" w:rsidRDefault="00342807" w:rsidP="00DD4FD8">
      <w:pPr>
        <w:pStyle w:val="Heading1"/>
        <w:rPr>
          <w:lang w:val="en-US"/>
        </w:rPr>
      </w:pPr>
      <w:r w:rsidRPr="00342807">
        <w:rPr>
          <w:lang w:val="en-US"/>
        </w:rPr>
        <w:lastRenderedPageBreak/>
        <w:t>Hypothesis Testing on Infant Mortality and Life Expectancy Data</w:t>
      </w:r>
    </w:p>
    <w:p w14:paraId="4D123B50" w14:textId="77777777" w:rsidR="00080262" w:rsidRDefault="00080262" w:rsidP="00342807">
      <w:pPr>
        <w:rPr>
          <w:lang w:val="en-US"/>
        </w:rPr>
      </w:pPr>
    </w:p>
    <w:p w14:paraId="65936233" w14:textId="1A93EFB6" w:rsidR="00342807" w:rsidRPr="00342807" w:rsidRDefault="00342807" w:rsidP="00342807">
      <w:pPr>
        <w:rPr>
          <w:lang w:val="en-US"/>
        </w:rPr>
      </w:pPr>
      <w:r w:rsidRPr="00342807">
        <w:rPr>
          <w:lang w:val="en-US"/>
        </w:rPr>
        <w:t>Introduction: Hypothesis testing allows us to make statistical inferences about a population based on a sample of data. In this context, we can perform hypothesis tests to explore potential relationships between infant mortality rates, life expectancy, and other factors. For illustration, let's consider a hypothesis test to determine if there is a significant difference in infant mortality rates between developed and developing countries.</w:t>
      </w:r>
    </w:p>
    <w:p w14:paraId="622B2B52" w14:textId="77777777" w:rsidR="00342807" w:rsidRPr="00342807" w:rsidRDefault="00342807" w:rsidP="00342807">
      <w:pPr>
        <w:rPr>
          <w:lang w:val="en-US"/>
        </w:rPr>
      </w:pPr>
      <w:r w:rsidRPr="00342807">
        <w:rPr>
          <w:lang w:val="en-US"/>
        </w:rPr>
        <w:t>Hypothesis: Null Hypothesis (H0): There is no significant difference in infant mortality rates between developed and developing countries. Alternative Hypothesis (Ha): There is a significant difference in infant mortality rates between developed and developing countries.</w:t>
      </w:r>
    </w:p>
    <w:p w14:paraId="2D29DF1A" w14:textId="77777777" w:rsidR="00342807" w:rsidRPr="00DD4FD8" w:rsidRDefault="00342807" w:rsidP="00DD4FD8">
      <w:pPr>
        <w:pStyle w:val="Heading2"/>
        <w:rPr>
          <w:lang w:val="en-US"/>
        </w:rPr>
      </w:pPr>
      <w:r w:rsidRPr="00DD4FD8">
        <w:rPr>
          <w:lang w:val="en-US"/>
        </w:rPr>
        <w:t>Methodology:</w:t>
      </w:r>
    </w:p>
    <w:p w14:paraId="3A60BB04" w14:textId="7CC595F7" w:rsidR="00342807" w:rsidRPr="00DD4FD8" w:rsidRDefault="00342807" w:rsidP="00DD4FD8">
      <w:pPr>
        <w:pStyle w:val="ListParagraph"/>
        <w:numPr>
          <w:ilvl w:val="0"/>
          <w:numId w:val="9"/>
        </w:numPr>
        <w:rPr>
          <w:lang w:val="en-US"/>
        </w:rPr>
      </w:pPr>
      <w:r w:rsidRPr="00DD4FD8">
        <w:rPr>
          <w:lang w:val="en-US"/>
        </w:rPr>
        <w:t>Data Classification: We classify countries into two groups: developed and developing. This classification could be based on an existing index such as the Human Development Index (HDI) or Gross Domestic Product (GDP) per capita.</w:t>
      </w:r>
    </w:p>
    <w:p w14:paraId="2BF368BD" w14:textId="15DBEBD6" w:rsidR="00342807" w:rsidRPr="00DD4FD8" w:rsidRDefault="00342807" w:rsidP="00DD4FD8">
      <w:pPr>
        <w:pStyle w:val="ListParagraph"/>
        <w:numPr>
          <w:ilvl w:val="0"/>
          <w:numId w:val="9"/>
        </w:numPr>
        <w:rPr>
          <w:lang w:val="en-US"/>
        </w:rPr>
      </w:pPr>
      <w:r w:rsidRPr="00DD4FD8">
        <w:rPr>
          <w:lang w:val="en-US"/>
        </w:rPr>
        <w:t>Data Collection: Collect infant mortality rate data for both developed and developing countries.</w:t>
      </w:r>
    </w:p>
    <w:p w14:paraId="3405DDCC" w14:textId="621C3690" w:rsidR="00342807" w:rsidRPr="00DD4FD8" w:rsidRDefault="00342807" w:rsidP="00DD4FD8">
      <w:pPr>
        <w:pStyle w:val="ListParagraph"/>
        <w:numPr>
          <w:ilvl w:val="0"/>
          <w:numId w:val="9"/>
        </w:numPr>
        <w:rPr>
          <w:lang w:val="en-US"/>
        </w:rPr>
      </w:pPr>
      <w:r w:rsidRPr="00DD4FD8">
        <w:rPr>
          <w:lang w:val="en-US"/>
        </w:rPr>
        <w:t>Hypothesis Testing Technique: Use a two-sample t-test to compare the means of infant mortality rates between the two groups.</w:t>
      </w:r>
    </w:p>
    <w:p w14:paraId="601AAB5B" w14:textId="3C795CF9" w:rsidR="00342807" w:rsidRPr="00DD4FD8" w:rsidRDefault="00342807" w:rsidP="00DD4FD8">
      <w:pPr>
        <w:pStyle w:val="ListParagraph"/>
        <w:numPr>
          <w:ilvl w:val="0"/>
          <w:numId w:val="9"/>
        </w:numPr>
        <w:rPr>
          <w:lang w:val="en-US"/>
        </w:rPr>
      </w:pPr>
      <w:r w:rsidRPr="00DD4FD8">
        <w:rPr>
          <w:lang w:val="en-US"/>
        </w:rPr>
        <w:t>Significance Level: Choose a significance level (e.g., α = 0.05) to determine the threshold for statistical significance.</w:t>
      </w:r>
    </w:p>
    <w:p w14:paraId="7A2CB080" w14:textId="77777777" w:rsidR="00342807" w:rsidRPr="00DD4FD8" w:rsidRDefault="00342807" w:rsidP="00DD4FD8">
      <w:pPr>
        <w:pStyle w:val="Heading2"/>
        <w:rPr>
          <w:lang w:val="en-US"/>
        </w:rPr>
      </w:pPr>
      <w:r w:rsidRPr="00DD4FD8">
        <w:rPr>
          <w:lang w:val="en-US"/>
        </w:rPr>
        <w:t>Steps:</w:t>
      </w:r>
    </w:p>
    <w:p w14:paraId="00D5532E" w14:textId="77777777" w:rsidR="00DD4FD8" w:rsidRDefault="00DD4FD8" w:rsidP="00DD4FD8">
      <w:pPr>
        <w:pStyle w:val="Heading2"/>
        <w:rPr>
          <w:lang w:val="en-US"/>
        </w:rPr>
      </w:pPr>
    </w:p>
    <w:p w14:paraId="6E6D3040" w14:textId="6DE10C95" w:rsidR="00DD4FD8" w:rsidRPr="00DD4FD8" w:rsidRDefault="00DD4FD8" w:rsidP="00DD4FD8">
      <w:pPr>
        <w:pStyle w:val="Heading2"/>
        <w:rPr>
          <w:lang w:val="en-US"/>
        </w:rPr>
      </w:pPr>
      <w:r>
        <w:rPr>
          <w:lang w:val="en-US"/>
        </w:rPr>
        <w:t>Separating Data into Groups</w:t>
      </w:r>
    </w:p>
    <w:p w14:paraId="41C50B96" w14:textId="480E4870" w:rsidR="00342807" w:rsidRPr="00342807" w:rsidRDefault="00342807" w:rsidP="00342807">
      <w:pPr>
        <w:rPr>
          <w:b/>
          <w:bCs/>
          <w:lang w:val="en-US"/>
        </w:rPr>
      </w:pPr>
      <w:r w:rsidRPr="00342807">
        <w:rPr>
          <w:b/>
          <w:bCs/>
          <w:lang w:val="en-US"/>
        </w:rPr>
        <w:t>Developed Countries:</w:t>
      </w:r>
    </w:p>
    <w:tbl>
      <w:tblPr>
        <w:tblW w:w="5477" w:type="dxa"/>
        <w:tblLook w:val="04A0" w:firstRow="1" w:lastRow="0" w:firstColumn="1" w:lastColumn="0" w:noHBand="0" w:noVBand="1"/>
      </w:tblPr>
      <w:tblGrid>
        <w:gridCol w:w="1477"/>
        <w:gridCol w:w="2109"/>
        <w:gridCol w:w="2060"/>
      </w:tblGrid>
      <w:tr w:rsidR="00342807" w:rsidRPr="00342807" w14:paraId="424E82D2" w14:textId="77777777" w:rsidTr="00342807">
        <w:trPr>
          <w:trHeight w:val="288"/>
        </w:trPr>
        <w:tc>
          <w:tcPr>
            <w:tcW w:w="1477" w:type="dxa"/>
            <w:tcBorders>
              <w:top w:val="nil"/>
              <w:left w:val="nil"/>
              <w:bottom w:val="single" w:sz="4" w:space="0" w:color="8EA9DB"/>
              <w:right w:val="nil"/>
            </w:tcBorders>
            <w:shd w:val="clear" w:color="D9E1F2" w:fill="D9E1F2"/>
            <w:noWrap/>
            <w:vAlign w:val="bottom"/>
            <w:hideMark/>
          </w:tcPr>
          <w:p w14:paraId="755DC132" w14:textId="77777777" w:rsidR="00342807" w:rsidRPr="00342807" w:rsidRDefault="00342807" w:rsidP="00342807">
            <w:pPr>
              <w:spacing w:after="0" w:line="240" w:lineRule="auto"/>
              <w:rPr>
                <w:rFonts w:ascii="Calibri" w:eastAsia="Times New Roman" w:hAnsi="Calibri" w:cs="Calibri"/>
                <w:b/>
                <w:bCs/>
                <w:color w:val="000000"/>
                <w:kern w:val="0"/>
                <w:lang w:eastAsia="en-AU"/>
                <w14:ligatures w14:val="none"/>
              </w:rPr>
            </w:pPr>
            <w:r w:rsidRPr="00342807">
              <w:rPr>
                <w:rFonts w:ascii="Calibri" w:eastAsia="Times New Roman" w:hAnsi="Calibri" w:cs="Calibri"/>
                <w:b/>
                <w:bCs/>
                <w:color w:val="000000"/>
                <w:kern w:val="0"/>
                <w:lang w:eastAsia="en-AU"/>
                <w14:ligatures w14:val="none"/>
              </w:rPr>
              <w:t>Country</w:t>
            </w:r>
          </w:p>
        </w:tc>
        <w:tc>
          <w:tcPr>
            <w:tcW w:w="1940" w:type="dxa"/>
            <w:tcBorders>
              <w:top w:val="nil"/>
              <w:left w:val="nil"/>
              <w:bottom w:val="single" w:sz="4" w:space="0" w:color="8EA9DB"/>
              <w:right w:val="nil"/>
            </w:tcBorders>
            <w:shd w:val="clear" w:color="D9E1F2" w:fill="D9E1F2"/>
            <w:noWrap/>
            <w:vAlign w:val="bottom"/>
            <w:hideMark/>
          </w:tcPr>
          <w:p w14:paraId="28C985F0" w14:textId="77777777" w:rsidR="00342807" w:rsidRPr="00342807" w:rsidRDefault="00342807" w:rsidP="00342807">
            <w:pPr>
              <w:spacing w:after="0" w:line="240" w:lineRule="auto"/>
              <w:rPr>
                <w:rFonts w:ascii="Calibri" w:eastAsia="Times New Roman" w:hAnsi="Calibri" w:cs="Calibri"/>
                <w:b/>
                <w:bCs/>
                <w:color w:val="000000"/>
                <w:kern w:val="0"/>
                <w:lang w:eastAsia="en-AU"/>
                <w14:ligatures w14:val="none"/>
              </w:rPr>
            </w:pPr>
            <w:r w:rsidRPr="00342807">
              <w:rPr>
                <w:rFonts w:ascii="Calibri" w:eastAsia="Times New Roman" w:hAnsi="Calibri" w:cs="Calibri"/>
                <w:b/>
                <w:bCs/>
                <w:color w:val="000000"/>
                <w:kern w:val="0"/>
                <w:lang w:eastAsia="en-AU"/>
                <w14:ligatures w14:val="none"/>
              </w:rPr>
              <w:t>Sum of GDP</w:t>
            </w:r>
          </w:p>
        </w:tc>
        <w:tc>
          <w:tcPr>
            <w:tcW w:w="2060" w:type="dxa"/>
            <w:tcBorders>
              <w:top w:val="nil"/>
              <w:left w:val="nil"/>
              <w:bottom w:val="nil"/>
              <w:right w:val="nil"/>
            </w:tcBorders>
            <w:shd w:val="clear" w:color="auto" w:fill="auto"/>
            <w:noWrap/>
            <w:vAlign w:val="bottom"/>
            <w:hideMark/>
          </w:tcPr>
          <w:p w14:paraId="56241BE2"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Infant Mortality Rate</w:t>
            </w:r>
          </w:p>
        </w:tc>
      </w:tr>
      <w:tr w:rsidR="00342807" w:rsidRPr="00342807" w14:paraId="5CCD2B28" w14:textId="77777777" w:rsidTr="00342807">
        <w:trPr>
          <w:trHeight w:val="288"/>
        </w:trPr>
        <w:tc>
          <w:tcPr>
            <w:tcW w:w="1477" w:type="dxa"/>
            <w:tcBorders>
              <w:top w:val="nil"/>
              <w:left w:val="nil"/>
              <w:bottom w:val="nil"/>
              <w:right w:val="nil"/>
            </w:tcBorders>
            <w:shd w:val="clear" w:color="auto" w:fill="auto"/>
            <w:noWrap/>
            <w:vAlign w:val="bottom"/>
            <w:hideMark/>
          </w:tcPr>
          <w:p w14:paraId="58FD8456"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United States</w:t>
            </w:r>
          </w:p>
        </w:tc>
        <w:tc>
          <w:tcPr>
            <w:tcW w:w="1940" w:type="dxa"/>
            <w:tcBorders>
              <w:top w:val="nil"/>
              <w:left w:val="nil"/>
              <w:bottom w:val="nil"/>
              <w:right w:val="nil"/>
            </w:tcBorders>
            <w:shd w:val="clear" w:color="auto" w:fill="auto"/>
            <w:noWrap/>
            <w:vAlign w:val="bottom"/>
            <w:hideMark/>
          </w:tcPr>
          <w:p w14:paraId="10CAAD1D"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$21,427,700,000,000</w:t>
            </w:r>
          </w:p>
        </w:tc>
        <w:tc>
          <w:tcPr>
            <w:tcW w:w="2060" w:type="dxa"/>
            <w:tcBorders>
              <w:top w:val="nil"/>
              <w:left w:val="nil"/>
              <w:bottom w:val="nil"/>
              <w:right w:val="nil"/>
            </w:tcBorders>
            <w:shd w:val="clear" w:color="auto" w:fill="auto"/>
            <w:noWrap/>
            <w:vAlign w:val="center"/>
            <w:hideMark/>
          </w:tcPr>
          <w:p w14:paraId="4A5FEB28"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5.6</w:t>
            </w:r>
          </w:p>
        </w:tc>
      </w:tr>
      <w:tr w:rsidR="00342807" w:rsidRPr="00342807" w14:paraId="401C9B1C" w14:textId="77777777" w:rsidTr="00342807">
        <w:trPr>
          <w:trHeight w:val="288"/>
        </w:trPr>
        <w:tc>
          <w:tcPr>
            <w:tcW w:w="1477" w:type="dxa"/>
            <w:tcBorders>
              <w:top w:val="nil"/>
              <w:left w:val="nil"/>
              <w:bottom w:val="nil"/>
              <w:right w:val="nil"/>
            </w:tcBorders>
            <w:shd w:val="clear" w:color="auto" w:fill="auto"/>
            <w:noWrap/>
            <w:vAlign w:val="bottom"/>
            <w:hideMark/>
          </w:tcPr>
          <w:p w14:paraId="45FD7E43"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China</w:t>
            </w:r>
          </w:p>
        </w:tc>
        <w:tc>
          <w:tcPr>
            <w:tcW w:w="1940" w:type="dxa"/>
            <w:tcBorders>
              <w:top w:val="nil"/>
              <w:left w:val="nil"/>
              <w:bottom w:val="nil"/>
              <w:right w:val="nil"/>
            </w:tcBorders>
            <w:shd w:val="clear" w:color="auto" w:fill="auto"/>
            <w:noWrap/>
            <w:vAlign w:val="bottom"/>
            <w:hideMark/>
          </w:tcPr>
          <w:p w14:paraId="28E1BD4A"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$19,910,000,000,000</w:t>
            </w:r>
          </w:p>
        </w:tc>
        <w:tc>
          <w:tcPr>
            <w:tcW w:w="2060" w:type="dxa"/>
            <w:tcBorders>
              <w:top w:val="nil"/>
              <w:left w:val="nil"/>
              <w:bottom w:val="nil"/>
              <w:right w:val="nil"/>
            </w:tcBorders>
            <w:shd w:val="clear" w:color="auto" w:fill="auto"/>
            <w:noWrap/>
            <w:vAlign w:val="center"/>
            <w:hideMark/>
          </w:tcPr>
          <w:p w14:paraId="77277767"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7.4</w:t>
            </w:r>
          </w:p>
        </w:tc>
      </w:tr>
      <w:tr w:rsidR="00342807" w:rsidRPr="00342807" w14:paraId="2FB36E20" w14:textId="77777777" w:rsidTr="00342807">
        <w:trPr>
          <w:trHeight w:val="288"/>
        </w:trPr>
        <w:tc>
          <w:tcPr>
            <w:tcW w:w="1477" w:type="dxa"/>
            <w:tcBorders>
              <w:top w:val="nil"/>
              <w:left w:val="nil"/>
              <w:bottom w:val="nil"/>
              <w:right w:val="nil"/>
            </w:tcBorders>
            <w:shd w:val="clear" w:color="auto" w:fill="auto"/>
            <w:noWrap/>
            <w:vAlign w:val="bottom"/>
            <w:hideMark/>
          </w:tcPr>
          <w:p w14:paraId="24776235"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Japan</w:t>
            </w:r>
          </w:p>
        </w:tc>
        <w:tc>
          <w:tcPr>
            <w:tcW w:w="1940" w:type="dxa"/>
            <w:tcBorders>
              <w:top w:val="nil"/>
              <w:left w:val="nil"/>
              <w:bottom w:val="nil"/>
              <w:right w:val="nil"/>
            </w:tcBorders>
            <w:shd w:val="clear" w:color="auto" w:fill="auto"/>
            <w:noWrap/>
            <w:vAlign w:val="bottom"/>
            <w:hideMark/>
          </w:tcPr>
          <w:p w14:paraId="12FF4759"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$5,081,769,542,380</w:t>
            </w:r>
          </w:p>
        </w:tc>
        <w:tc>
          <w:tcPr>
            <w:tcW w:w="2060" w:type="dxa"/>
            <w:tcBorders>
              <w:top w:val="nil"/>
              <w:left w:val="nil"/>
              <w:bottom w:val="nil"/>
              <w:right w:val="nil"/>
            </w:tcBorders>
            <w:shd w:val="clear" w:color="auto" w:fill="auto"/>
            <w:noWrap/>
            <w:vAlign w:val="center"/>
            <w:hideMark/>
          </w:tcPr>
          <w:p w14:paraId="6660EEBB"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1.8</w:t>
            </w:r>
          </w:p>
        </w:tc>
      </w:tr>
      <w:tr w:rsidR="00342807" w:rsidRPr="00342807" w14:paraId="4F316A45" w14:textId="77777777" w:rsidTr="00342807">
        <w:trPr>
          <w:trHeight w:val="288"/>
        </w:trPr>
        <w:tc>
          <w:tcPr>
            <w:tcW w:w="1477" w:type="dxa"/>
            <w:tcBorders>
              <w:top w:val="nil"/>
              <w:left w:val="nil"/>
              <w:bottom w:val="nil"/>
              <w:right w:val="nil"/>
            </w:tcBorders>
            <w:shd w:val="clear" w:color="auto" w:fill="auto"/>
            <w:noWrap/>
            <w:vAlign w:val="bottom"/>
            <w:hideMark/>
          </w:tcPr>
          <w:p w14:paraId="11949493"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Germany</w:t>
            </w:r>
          </w:p>
        </w:tc>
        <w:tc>
          <w:tcPr>
            <w:tcW w:w="1940" w:type="dxa"/>
            <w:tcBorders>
              <w:top w:val="nil"/>
              <w:left w:val="nil"/>
              <w:bottom w:val="nil"/>
              <w:right w:val="nil"/>
            </w:tcBorders>
            <w:shd w:val="clear" w:color="auto" w:fill="auto"/>
            <w:noWrap/>
            <w:vAlign w:val="bottom"/>
            <w:hideMark/>
          </w:tcPr>
          <w:p w14:paraId="0C1481CE"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$3,845,630,030,824</w:t>
            </w:r>
          </w:p>
        </w:tc>
        <w:tc>
          <w:tcPr>
            <w:tcW w:w="2060" w:type="dxa"/>
            <w:tcBorders>
              <w:top w:val="nil"/>
              <w:left w:val="nil"/>
              <w:bottom w:val="nil"/>
              <w:right w:val="nil"/>
            </w:tcBorders>
            <w:shd w:val="clear" w:color="auto" w:fill="auto"/>
            <w:noWrap/>
            <w:vAlign w:val="center"/>
            <w:hideMark/>
          </w:tcPr>
          <w:p w14:paraId="09C46A5F"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3.1</w:t>
            </w:r>
          </w:p>
        </w:tc>
      </w:tr>
      <w:tr w:rsidR="00342807" w:rsidRPr="00342807" w14:paraId="77F8823D" w14:textId="77777777" w:rsidTr="00342807">
        <w:trPr>
          <w:trHeight w:val="288"/>
        </w:trPr>
        <w:tc>
          <w:tcPr>
            <w:tcW w:w="1477" w:type="dxa"/>
            <w:tcBorders>
              <w:top w:val="nil"/>
              <w:left w:val="nil"/>
              <w:bottom w:val="nil"/>
              <w:right w:val="nil"/>
            </w:tcBorders>
            <w:shd w:val="clear" w:color="auto" w:fill="auto"/>
            <w:noWrap/>
            <w:vAlign w:val="bottom"/>
            <w:hideMark/>
          </w:tcPr>
          <w:p w14:paraId="35C6B5E7"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United Kingdom</w:t>
            </w:r>
          </w:p>
        </w:tc>
        <w:tc>
          <w:tcPr>
            <w:tcW w:w="1940" w:type="dxa"/>
            <w:tcBorders>
              <w:top w:val="nil"/>
              <w:left w:val="nil"/>
              <w:bottom w:val="nil"/>
              <w:right w:val="nil"/>
            </w:tcBorders>
            <w:shd w:val="clear" w:color="auto" w:fill="auto"/>
            <w:noWrap/>
            <w:vAlign w:val="bottom"/>
            <w:hideMark/>
          </w:tcPr>
          <w:p w14:paraId="233D3AC8"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$2,827,113,184,696</w:t>
            </w:r>
          </w:p>
        </w:tc>
        <w:tc>
          <w:tcPr>
            <w:tcW w:w="2060" w:type="dxa"/>
            <w:tcBorders>
              <w:top w:val="nil"/>
              <w:left w:val="nil"/>
              <w:bottom w:val="nil"/>
              <w:right w:val="nil"/>
            </w:tcBorders>
            <w:shd w:val="clear" w:color="auto" w:fill="auto"/>
            <w:noWrap/>
            <w:vAlign w:val="center"/>
            <w:hideMark/>
          </w:tcPr>
          <w:p w14:paraId="7F04D8A7"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3.6</w:t>
            </w:r>
          </w:p>
        </w:tc>
      </w:tr>
      <w:tr w:rsidR="00342807" w:rsidRPr="00342807" w14:paraId="592BE140" w14:textId="77777777" w:rsidTr="00342807">
        <w:trPr>
          <w:trHeight w:val="288"/>
        </w:trPr>
        <w:tc>
          <w:tcPr>
            <w:tcW w:w="1477" w:type="dxa"/>
            <w:tcBorders>
              <w:top w:val="nil"/>
              <w:left w:val="nil"/>
              <w:bottom w:val="nil"/>
              <w:right w:val="nil"/>
            </w:tcBorders>
            <w:shd w:val="clear" w:color="auto" w:fill="auto"/>
            <w:noWrap/>
            <w:vAlign w:val="bottom"/>
            <w:hideMark/>
          </w:tcPr>
          <w:p w14:paraId="13A95CDE"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France</w:t>
            </w:r>
          </w:p>
        </w:tc>
        <w:tc>
          <w:tcPr>
            <w:tcW w:w="1940" w:type="dxa"/>
            <w:tcBorders>
              <w:top w:val="nil"/>
              <w:left w:val="nil"/>
              <w:bottom w:val="nil"/>
              <w:right w:val="nil"/>
            </w:tcBorders>
            <w:shd w:val="clear" w:color="auto" w:fill="auto"/>
            <w:noWrap/>
            <w:vAlign w:val="bottom"/>
            <w:hideMark/>
          </w:tcPr>
          <w:p w14:paraId="635C6A1E"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$2,715,518,274,227</w:t>
            </w:r>
          </w:p>
        </w:tc>
        <w:tc>
          <w:tcPr>
            <w:tcW w:w="2060" w:type="dxa"/>
            <w:tcBorders>
              <w:top w:val="nil"/>
              <w:left w:val="nil"/>
              <w:bottom w:val="nil"/>
              <w:right w:val="nil"/>
            </w:tcBorders>
            <w:shd w:val="clear" w:color="auto" w:fill="auto"/>
            <w:noWrap/>
            <w:vAlign w:val="center"/>
            <w:hideMark/>
          </w:tcPr>
          <w:p w14:paraId="6B5FE6F3"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3.4</w:t>
            </w:r>
          </w:p>
        </w:tc>
      </w:tr>
      <w:tr w:rsidR="00342807" w:rsidRPr="00342807" w14:paraId="6F9B2BED" w14:textId="77777777" w:rsidTr="00342807">
        <w:trPr>
          <w:trHeight w:val="288"/>
        </w:trPr>
        <w:tc>
          <w:tcPr>
            <w:tcW w:w="1477" w:type="dxa"/>
            <w:tcBorders>
              <w:top w:val="nil"/>
              <w:left w:val="nil"/>
              <w:bottom w:val="nil"/>
              <w:right w:val="nil"/>
            </w:tcBorders>
            <w:shd w:val="clear" w:color="auto" w:fill="auto"/>
            <w:noWrap/>
            <w:vAlign w:val="bottom"/>
            <w:hideMark/>
          </w:tcPr>
          <w:p w14:paraId="036D4087"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India</w:t>
            </w:r>
          </w:p>
        </w:tc>
        <w:tc>
          <w:tcPr>
            <w:tcW w:w="1940" w:type="dxa"/>
            <w:tcBorders>
              <w:top w:val="nil"/>
              <w:left w:val="nil"/>
              <w:bottom w:val="nil"/>
              <w:right w:val="nil"/>
            </w:tcBorders>
            <w:shd w:val="clear" w:color="auto" w:fill="auto"/>
            <w:noWrap/>
            <w:vAlign w:val="bottom"/>
            <w:hideMark/>
          </w:tcPr>
          <w:p w14:paraId="11511A37"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$2,611,000,000,000</w:t>
            </w:r>
          </w:p>
        </w:tc>
        <w:tc>
          <w:tcPr>
            <w:tcW w:w="2060" w:type="dxa"/>
            <w:tcBorders>
              <w:top w:val="nil"/>
              <w:left w:val="nil"/>
              <w:bottom w:val="nil"/>
              <w:right w:val="nil"/>
            </w:tcBorders>
            <w:shd w:val="clear" w:color="auto" w:fill="auto"/>
            <w:noWrap/>
            <w:vAlign w:val="center"/>
            <w:hideMark/>
          </w:tcPr>
          <w:p w14:paraId="6F677908"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29.9</w:t>
            </w:r>
          </w:p>
        </w:tc>
      </w:tr>
      <w:tr w:rsidR="00342807" w:rsidRPr="00342807" w14:paraId="238D43D3" w14:textId="77777777" w:rsidTr="00342807">
        <w:trPr>
          <w:trHeight w:val="288"/>
        </w:trPr>
        <w:tc>
          <w:tcPr>
            <w:tcW w:w="1477" w:type="dxa"/>
            <w:tcBorders>
              <w:top w:val="nil"/>
              <w:left w:val="nil"/>
              <w:bottom w:val="nil"/>
              <w:right w:val="nil"/>
            </w:tcBorders>
            <w:shd w:val="clear" w:color="auto" w:fill="auto"/>
            <w:noWrap/>
            <w:vAlign w:val="bottom"/>
            <w:hideMark/>
          </w:tcPr>
          <w:p w14:paraId="2EF12566"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South Korea</w:t>
            </w:r>
          </w:p>
        </w:tc>
        <w:tc>
          <w:tcPr>
            <w:tcW w:w="1940" w:type="dxa"/>
            <w:tcBorders>
              <w:top w:val="nil"/>
              <w:left w:val="nil"/>
              <w:bottom w:val="nil"/>
              <w:right w:val="nil"/>
            </w:tcBorders>
            <w:shd w:val="clear" w:color="auto" w:fill="auto"/>
            <w:noWrap/>
            <w:vAlign w:val="bottom"/>
            <w:hideMark/>
          </w:tcPr>
          <w:p w14:paraId="74348F18"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$2,029,000,000,000</w:t>
            </w:r>
          </w:p>
        </w:tc>
        <w:tc>
          <w:tcPr>
            <w:tcW w:w="2060" w:type="dxa"/>
            <w:tcBorders>
              <w:top w:val="nil"/>
              <w:left w:val="nil"/>
              <w:bottom w:val="nil"/>
              <w:right w:val="nil"/>
            </w:tcBorders>
            <w:shd w:val="clear" w:color="auto" w:fill="auto"/>
            <w:noWrap/>
            <w:vAlign w:val="center"/>
            <w:hideMark/>
          </w:tcPr>
          <w:p w14:paraId="1F629224"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2.7</w:t>
            </w:r>
          </w:p>
        </w:tc>
      </w:tr>
      <w:tr w:rsidR="00342807" w:rsidRPr="00342807" w14:paraId="572D0E55" w14:textId="77777777" w:rsidTr="00342807">
        <w:trPr>
          <w:trHeight w:val="288"/>
        </w:trPr>
        <w:tc>
          <w:tcPr>
            <w:tcW w:w="1477" w:type="dxa"/>
            <w:tcBorders>
              <w:top w:val="nil"/>
              <w:left w:val="nil"/>
              <w:bottom w:val="nil"/>
              <w:right w:val="nil"/>
            </w:tcBorders>
            <w:shd w:val="clear" w:color="auto" w:fill="auto"/>
            <w:noWrap/>
            <w:vAlign w:val="bottom"/>
            <w:hideMark/>
          </w:tcPr>
          <w:p w14:paraId="7D6FB9D5"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Italy</w:t>
            </w:r>
          </w:p>
        </w:tc>
        <w:tc>
          <w:tcPr>
            <w:tcW w:w="1940" w:type="dxa"/>
            <w:tcBorders>
              <w:top w:val="nil"/>
              <w:left w:val="nil"/>
              <w:bottom w:val="nil"/>
              <w:right w:val="nil"/>
            </w:tcBorders>
            <w:shd w:val="clear" w:color="auto" w:fill="auto"/>
            <w:noWrap/>
            <w:vAlign w:val="bottom"/>
            <w:hideMark/>
          </w:tcPr>
          <w:p w14:paraId="42392BD2"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$2,001,244,392,042</w:t>
            </w:r>
          </w:p>
        </w:tc>
        <w:tc>
          <w:tcPr>
            <w:tcW w:w="2060" w:type="dxa"/>
            <w:tcBorders>
              <w:top w:val="nil"/>
              <w:left w:val="nil"/>
              <w:bottom w:val="nil"/>
              <w:right w:val="nil"/>
            </w:tcBorders>
            <w:shd w:val="clear" w:color="auto" w:fill="auto"/>
            <w:noWrap/>
            <w:vAlign w:val="center"/>
            <w:hideMark/>
          </w:tcPr>
          <w:p w14:paraId="2652F27B"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2.6</w:t>
            </w:r>
          </w:p>
        </w:tc>
      </w:tr>
      <w:tr w:rsidR="00342807" w:rsidRPr="00342807" w14:paraId="1DDDE09D" w14:textId="77777777" w:rsidTr="00342807">
        <w:trPr>
          <w:trHeight w:val="288"/>
        </w:trPr>
        <w:tc>
          <w:tcPr>
            <w:tcW w:w="1477" w:type="dxa"/>
            <w:tcBorders>
              <w:top w:val="nil"/>
              <w:left w:val="nil"/>
              <w:bottom w:val="nil"/>
              <w:right w:val="nil"/>
            </w:tcBorders>
            <w:shd w:val="clear" w:color="auto" w:fill="auto"/>
            <w:noWrap/>
            <w:vAlign w:val="bottom"/>
            <w:hideMark/>
          </w:tcPr>
          <w:p w14:paraId="768BAED0"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Brazil</w:t>
            </w:r>
          </w:p>
        </w:tc>
        <w:tc>
          <w:tcPr>
            <w:tcW w:w="1940" w:type="dxa"/>
            <w:tcBorders>
              <w:top w:val="nil"/>
              <w:left w:val="nil"/>
              <w:bottom w:val="nil"/>
              <w:right w:val="nil"/>
            </w:tcBorders>
            <w:shd w:val="clear" w:color="auto" w:fill="auto"/>
            <w:noWrap/>
            <w:vAlign w:val="bottom"/>
            <w:hideMark/>
          </w:tcPr>
          <w:p w14:paraId="67BE5CE4"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$1,839,758,040,766</w:t>
            </w:r>
          </w:p>
        </w:tc>
        <w:tc>
          <w:tcPr>
            <w:tcW w:w="2060" w:type="dxa"/>
            <w:tcBorders>
              <w:top w:val="nil"/>
              <w:left w:val="nil"/>
              <w:bottom w:val="nil"/>
              <w:right w:val="nil"/>
            </w:tcBorders>
            <w:shd w:val="clear" w:color="auto" w:fill="auto"/>
            <w:noWrap/>
            <w:vAlign w:val="center"/>
            <w:hideMark/>
          </w:tcPr>
          <w:p w14:paraId="0CFE966F"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12.8</w:t>
            </w:r>
          </w:p>
        </w:tc>
      </w:tr>
      <w:tr w:rsidR="00342807" w:rsidRPr="00342807" w14:paraId="48359029" w14:textId="77777777" w:rsidTr="00342807">
        <w:trPr>
          <w:trHeight w:val="288"/>
        </w:trPr>
        <w:tc>
          <w:tcPr>
            <w:tcW w:w="1477" w:type="dxa"/>
            <w:tcBorders>
              <w:top w:val="nil"/>
              <w:left w:val="nil"/>
              <w:bottom w:val="nil"/>
              <w:right w:val="nil"/>
            </w:tcBorders>
            <w:shd w:val="clear" w:color="auto" w:fill="auto"/>
            <w:noWrap/>
            <w:vAlign w:val="bottom"/>
            <w:hideMark/>
          </w:tcPr>
          <w:p w14:paraId="63FEBB07"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Canada</w:t>
            </w:r>
          </w:p>
        </w:tc>
        <w:tc>
          <w:tcPr>
            <w:tcW w:w="1940" w:type="dxa"/>
            <w:tcBorders>
              <w:top w:val="nil"/>
              <w:left w:val="nil"/>
              <w:bottom w:val="nil"/>
              <w:right w:val="nil"/>
            </w:tcBorders>
            <w:shd w:val="clear" w:color="auto" w:fill="auto"/>
            <w:noWrap/>
            <w:vAlign w:val="bottom"/>
            <w:hideMark/>
          </w:tcPr>
          <w:p w14:paraId="3E59ED22"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$1,736,425,629,520</w:t>
            </w:r>
          </w:p>
        </w:tc>
        <w:tc>
          <w:tcPr>
            <w:tcW w:w="2060" w:type="dxa"/>
            <w:tcBorders>
              <w:top w:val="nil"/>
              <w:left w:val="nil"/>
              <w:bottom w:val="nil"/>
              <w:right w:val="nil"/>
            </w:tcBorders>
            <w:shd w:val="clear" w:color="auto" w:fill="auto"/>
            <w:noWrap/>
            <w:vAlign w:val="center"/>
            <w:hideMark/>
          </w:tcPr>
          <w:p w14:paraId="1AEB1948"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4.3</w:t>
            </w:r>
          </w:p>
        </w:tc>
      </w:tr>
      <w:tr w:rsidR="00342807" w:rsidRPr="00342807" w14:paraId="1C946FDB" w14:textId="77777777" w:rsidTr="00342807">
        <w:trPr>
          <w:trHeight w:val="288"/>
        </w:trPr>
        <w:tc>
          <w:tcPr>
            <w:tcW w:w="1477" w:type="dxa"/>
            <w:tcBorders>
              <w:top w:val="nil"/>
              <w:left w:val="nil"/>
              <w:bottom w:val="nil"/>
              <w:right w:val="nil"/>
            </w:tcBorders>
            <w:shd w:val="clear" w:color="auto" w:fill="auto"/>
            <w:noWrap/>
            <w:vAlign w:val="bottom"/>
            <w:hideMark/>
          </w:tcPr>
          <w:p w14:paraId="49E846CA"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Russia</w:t>
            </w:r>
          </w:p>
        </w:tc>
        <w:tc>
          <w:tcPr>
            <w:tcW w:w="1940" w:type="dxa"/>
            <w:tcBorders>
              <w:top w:val="nil"/>
              <w:left w:val="nil"/>
              <w:bottom w:val="nil"/>
              <w:right w:val="nil"/>
            </w:tcBorders>
            <w:shd w:val="clear" w:color="auto" w:fill="auto"/>
            <w:noWrap/>
            <w:vAlign w:val="bottom"/>
            <w:hideMark/>
          </w:tcPr>
          <w:p w14:paraId="6EF0A1AD"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$1,699,876,578,871</w:t>
            </w:r>
          </w:p>
        </w:tc>
        <w:tc>
          <w:tcPr>
            <w:tcW w:w="2060" w:type="dxa"/>
            <w:tcBorders>
              <w:top w:val="nil"/>
              <w:left w:val="nil"/>
              <w:bottom w:val="nil"/>
              <w:right w:val="nil"/>
            </w:tcBorders>
            <w:shd w:val="clear" w:color="auto" w:fill="auto"/>
            <w:noWrap/>
            <w:vAlign w:val="center"/>
            <w:hideMark/>
          </w:tcPr>
          <w:p w14:paraId="20775213"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6.1</w:t>
            </w:r>
          </w:p>
        </w:tc>
      </w:tr>
      <w:tr w:rsidR="00342807" w:rsidRPr="00342807" w14:paraId="066DE45A" w14:textId="77777777" w:rsidTr="00342807">
        <w:trPr>
          <w:trHeight w:val="288"/>
        </w:trPr>
        <w:tc>
          <w:tcPr>
            <w:tcW w:w="1477" w:type="dxa"/>
            <w:tcBorders>
              <w:top w:val="nil"/>
              <w:left w:val="nil"/>
              <w:bottom w:val="nil"/>
              <w:right w:val="nil"/>
            </w:tcBorders>
            <w:shd w:val="clear" w:color="auto" w:fill="auto"/>
            <w:noWrap/>
            <w:vAlign w:val="bottom"/>
            <w:hideMark/>
          </w:tcPr>
          <w:p w14:paraId="0593ECF1"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Spain</w:t>
            </w:r>
          </w:p>
        </w:tc>
        <w:tc>
          <w:tcPr>
            <w:tcW w:w="1940" w:type="dxa"/>
            <w:tcBorders>
              <w:top w:val="nil"/>
              <w:left w:val="nil"/>
              <w:bottom w:val="nil"/>
              <w:right w:val="nil"/>
            </w:tcBorders>
            <w:shd w:val="clear" w:color="auto" w:fill="auto"/>
            <w:noWrap/>
            <w:vAlign w:val="bottom"/>
            <w:hideMark/>
          </w:tcPr>
          <w:p w14:paraId="16F59EDD"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$1,394,116,310,769</w:t>
            </w:r>
          </w:p>
        </w:tc>
        <w:tc>
          <w:tcPr>
            <w:tcW w:w="2060" w:type="dxa"/>
            <w:tcBorders>
              <w:top w:val="nil"/>
              <w:left w:val="nil"/>
              <w:bottom w:val="nil"/>
              <w:right w:val="nil"/>
            </w:tcBorders>
            <w:shd w:val="clear" w:color="auto" w:fill="auto"/>
            <w:noWrap/>
            <w:vAlign w:val="center"/>
            <w:hideMark/>
          </w:tcPr>
          <w:p w14:paraId="67DC386F"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2.5</w:t>
            </w:r>
          </w:p>
        </w:tc>
      </w:tr>
      <w:tr w:rsidR="00342807" w:rsidRPr="00342807" w14:paraId="325122B1" w14:textId="77777777" w:rsidTr="00342807">
        <w:trPr>
          <w:trHeight w:val="288"/>
        </w:trPr>
        <w:tc>
          <w:tcPr>
            <w:tcW w:w="1477" w:type="dxa"/>
            <w:tcBorders>
              <w:top w:val="nil"/>
              <w:left w:val="nil"/>
              <w:bottom w:val="nil"/>
              <w:right w:val="nil"/>
            </w:tcBorders>
            <w:shd w:val="clear" w:color="auto" w:fill="auto"/>
            <w:noWrap/>
            <w:vAlign w:val="bottom"/>
            <w:hideMark/>
          </w:tcPr>
          <w:p w14:paraId="40DE04FF"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Australia</w:t>
            </w:r>
          </w:p>
        </w:tc>
        <w:tc>
          <w:tcPr>
            <w:tcW w:w="1940" w:type="dxa"/>
            <w:tcBorders>
              <w:top w:val="nil"/>
              <w:left w:val="nil"/>
              <w:bottom w:val="nil"/>
              <w:right w:val="nil"/>
            </w:tcBorders>
            <w:shd w:val="clear" w:color="auto" w:fill="auto"/>
            <w:noWrap/>
            <w:vAlign w:val="bottom"/>
            <w:hideMark/>
          </w:tcPr>
          <w:p w14:paraId="20727C3C"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$1,392,680,589,329</w:t>
            </w:r>
          </w:p>
        </w:tc>
        <w:tc>
          <w:tcPr>
            <w:tcW w:w="2060" w:type="dxa"/>
            <w:tcBorders>
              <w:top w:val="nil"/>
              <w:left w:val="nil"/>
              <w:bottom w:val="nil"/>
              <w:right w:val="nil"/>
            </w:tcBorders>
            <w:shd w:val="clear" w:color="auto" w:fill="auto"/>
            <w:noWrap/>
            <w:vAlign w:val="center"/>
            <w:hideMark/>
          </w:tcPr>
          <w:p w14:paraId="6314DC37"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3.1</w:t>
            </w:r>
          </w:p>
        </w:tc>
      </w:tr>
      <w:tr w:rsidR="00342807" w:rsidRPr="00342807" w14:paraId="0B1F670B" w14:textId="77777777" w:rsidTr="00342807">
        <w:trPr>
          <w:trHeight w:val="288"/>
        </w:trPr>
        <w:tc>
          <w:tcPr>
            <w:tcW w:w="1477" w:type="dxa"/>
            <w:tcBorders>
              <w:top w:val="nil"/>
              <w:left w:val="nil"/>
              <w:bottom w:val="nil"/>
              <w:right w:val="nil"/>
            </w:tcBorders>
            <w:shd w:val="clear" w:color="auto" w:fill="auto"/>
            <w:noWrap/>
            <w:vAlign w:val="bottom"/>
            <w:hideMark/>
          </w:tcPr>
          <w:p w14:paraId="6DACABAD"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p>
        </w:tc>
        <w:tc>
          <w:tcPr>
            <w:tcW w:w="1940" w:type="dxa"/>
            <w:tcBorders>
              <w:top w:val="nil"/>
              <w:left w:val="nil"/>
              <w:bottom w:val="nil"/>
              <w:right w:val="nil"/>
            </w:tcBorders>
            <w:shd w:val="clear" w:color="auto" w:fill="auto"/>
            <w:noWrap/>
            <w:vAlign w:val="bottom"/>
            <w:hideMark/>
          </w:tcPr>
          <w:p w14:paraId="144301B6"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mean</w:t>
            </w:r>
          </w:p>
        </w:tc>
        <w:tc>
          <w:tcPr>
            <w:tcW w:w="2060" w:type="dxa"/>
            <w:tcBorders>
              <w:top w:val="nil"/>
              <w:left w:val="nil"/>
              <w:bottom w:val="nil"/>
              <w:right w:val="nil"/>
            </w:tcBorders>
            <w:shd w:val="clear" w:color="auto" w:fill="auto"/>
            <w:noWrap/>
            <w:vAlign w:val="bottom"/>
            <w:hideMark/>
          </w:tcPr>
          <w:p w14:paraId="69A57250"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6.35</w:t>
            </w:r>
          </w:p>
        </w:tc>
      </w:tr>
      <w:tr w:rsidR="00342807" w:rsidRPr="00342807" w14:paraId="2E21731C" w14:textId="77777777" w:rsidTr="00342807">
        <w:trPr>
          <w:trHeight w:val="288"/>
        </w:trPr>
        <w:tc>
          <w:tcPr>
            <w:tcW w:w="1477" w:type="dxa"/>
            <w:tcBorders>
              <w:top w:val="nil"/>
              <w:left w:val="nil"/>
              <w:bottom w:val="nil"/>
              <w:right w:val="nil"/>
            </w:tcBorders>
            <w:shd w:val="clear" w:color="auto" w:fill="auto"/>
            <w:noWrap/>
            <w:vAlign w:val="bottom"/>
            <w:hideMark/>
          </w:tcPr>
          <w:p w14:paraId="4EC0CDC3"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p>
        </w:tc>
        <w:tc>
          <w:tcPr>
            <w:tcW w:w="1940" w:type="dxa"/>
            <w:tcBorders>
              <w:top w:val="nil"/>
              <w:left w:val="nil"/>
              <w:bottom w:val="nil"/>
              <w:right w:val="nil"/>
            </w:tcBorders>
            <w:shd w:val="clear" w:color="auto" w:fill="auto"/>
            <w:noWrap/>
            <w:vAlign w:val="bottom"/>
            <w:hideMark/>
          </w:tcPr>
          <w:p w14:paraId="55A29797"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proofErr w:type="spellStart"/>
            <w:r w:rsidRPr="00342807">
              <w:rPr>
                <w:rFonts w:ascii="Calibri" w:eastAsia="Times New Roman" w:hAnsi="Calibri" w:cs="Calibri"/>
                <w:color w:val="000000"/>
                <w:kern w:val="0"/>
                <w:lang w:eastAsia="en-AU"/>
                <w14:ligatures w14:val="none"/>
              </w:rPr>
              <w:t>stdev</w:t>
            </w:r>
            <w:proofErr w:type="spellEnd"/>
          </w:p>
        </w:tc>
        <w:tc>
          <w:tcPr>
            <w:tcW w:w="2060" w:type="dxa"/>
            <w:tcBorders>
              <w:top w:val="nil"/>
              <w:left w:val="nil"/>
              <w:bottom w:val="nil"/>
              <w:right w:val="nil"/>
            </w:tcBorders>
            <w:shd w:val="clear" w:color="auto" w:fill="auto"/>
            <w:noWrap/>
            <w:vAlign w:val="bottom"/>
            <w:hideMark/>
          </w:tcPr>
          <w:p w14:paraId="599E6F52"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7.083355742</w:t>
            </w:r>
          </w:p>
        </w:tc>
      </w:tr>
    </w:tbl>
    <w:p w14:paraId="1F7C14AA" w14:textId="3E92DBBA" w:rsidR="00342807" w:rsidRDefault="00342807" w:rsidP="00342807">
      <w:pPr>
        <w:rPr>
          <w:lang w:val="en-US"/>
        </w:rPr>
      </w:pPr>
    </w:p>
    <w:p w14:paraId="3938C573" w14:textId="77777777" w:rsidR="00342807" w:rsidRDefault="00342807" w:rsidP="00342807">
      <w:pPr>
        <w:rPr>
          <w:b/>
          <w:bCs/>
          <w:lang w:val="en-US"/>
        </w:rPr>
      </w:pPr>
    </w:p>
    <w:p w14:paraId="06F2AEAC" w14:textId="38F56537" w:rsidR="00342807" w:rsidRDefault="00342807" w:rsidP="00342807">
      <w:pPr>
        <w:rPr>
          <w:b/>
          <w:bCs/>
          <w:lang w:val="en-US"/>
        </w:rPr>
      </w:pPr>
      <w:r>
        <w:rPr>
          <w:b/>
          <w:bCs/>
          <w:lang w:val="en-US"/>
        </w:rPr>
        <w:t>Developing countries:</w:t>
      </w:r>
    </w:p>
    <w:tbl>
      <w:tblPr>
        <w:tblW w:w="5790" w:type="dxa"/>
        <w:tblLook w:val="04A0" w:firstRow="1" w:lastRow="0" w:firstColumn="1" w:lastColumn="0" w:noHBand="0" w:noVBand="1"/>
      </w:tblPr>
      <w:tblGrid>
        <w:gridCol w:w="2170"/>
        <w:gridCol w:w="1719"/>
        <w:gridCol w:w="2060"/>
      </w:tblGrid>
      <w:tr w:rsidR="00342807" w:rsidRPr="00342807" w14:paraId="7CD59E69" w14:textId="77777777" w:rsidTr="00342807">
        <w:trPr>
          <w:trHeight w:val="288"/>
        </w:trPr>
        <w:tc>
          <w:tcPr>
            <w:tcW w:w="2170" w:type="dxa"/>
            <w:tcBorders>
              <w:top w:val="nil"/>
              <w:left w:val="nil"/>
              <w:bottom w:val="single" w:sz="4" w:space="0" w:color="8EA9DB"/>
              <w:right w:val="nil"/>
            </w:tcBorders>
            <w:shd w:val="clear" w:color="D9E1F2" w:fill="D9E1F2"/>
            <w:noWrap/>
            <w:vAlign w:val="bottom"/>
            <w:hideMark/>
          </w:tcPr>
          <w:p w14:paraId="5AF11974" w14:textId="77777777" w:rsidR="00342807" w:rsidRPr="00342807" w:rsidRDefault="00342807" w:rsidP="00342807">
            <w:pPr>
              <w:spacing w:after="0" w:line="240" w:lineRule="auto"/>
              <w:rPr>
                <w:rFonts w:ascii="Calibri" w:eastAsia="Times New Roman" w:hAnsi="Calibri" w:cs="Calibri"/>
                <w:b/>
                <w:bCs/>
                <w:color w:val="000000"/>
                <w:kern w:val="0"/>
                <w:lang w:eastAsia="en-AU"/>
                <w14:ligatures w14:val="none"/>
              </w:rPr>
            </w:pPr>
            <w:r w:rsidRPr="00342807">
              <w:rPr>
                <w:rFonts w:ascii="Calibri" w:eastAsia="Times New Roman" w:hAnsi="Calibri" w:cs="Calibri"/>
                <w:b/>
                <w:bCs/>
                <w:color w:val="000000"/>
                <w:kern w:val="0"/>
                <w:lang w:eastAsia="en-AU"/>
                <w14:ligatures w14:val="none"/>
              </w:rPr>
              <w:t>Country</w:t>
            </w:r>
          </w:p>
        </w:tc>
        <w:tc>
          <w:tcPr>
            <w:tcW w:w="1560" w:type="dxa"/>
            <w:tcBorders>
              <w:top w:val="nil"/>
              <w:left w:val="nil"/>
              <w:bottom w:val="single" w:sz="4" w:space="0" w:color="8EA9DB"/>
              <w:right w:val="nil"/>
            </w:tcBorders>
            <w:shd w:val="clear" w:color="D9E1F2" w:fill="D9E1F2"/>
            <w:noWrap/>
            <w:vAlign w:val="bottom"/>
            <w:hideMark/>
          </w:tcPr>
          <w:p w14:paraId="6E6A4EA8" w14:textId="77777777" w:rsidR="00342807" w:rsidRPr="00342807" w:rsidRDefault="00342807" w:rsidP="00342807">
            <w:pPr>
              <w:spacing w:after="0" w:line="240" w:lineRule="auto"/>
              <w:rPr>
                <w:rFonts w:ascii="Calibri" w:eastAsia="Times New Roman" w:hAnsi="Calibri" w:cs="Calibri"/>
                <w:b/>
                <w:bCs/>
                <w:color w:val="000000"/>
                <w:kern w:val="0"/>
                <w:lang w:eastAsia="en-AU"/>
                <w14:ligatures w14:val="none"/>
              </w:rPr>
            </w:pPr>
            <w:r w:rsidRPr="00342807">
              <w:rPr>
                <w:rFonts w:ascii="Calibri" w:eastAsia="Times New Roman" w:hAnsi="Calibri" w:cs="Calibri"/>
                <w:b/>
                <w:bCs/>
                <w:color w:val="000000"/>
                <w:kern w:val="0"/>
                <w:lang w:eastAsia="en-AU"/>
                <w14:ligatures w14:val="none"/>
              </w:rPr>
              <w:t>Sum of GDP</w:t>
            </w:r>
          </w:p>
        </w:tc>
        <w:tc>
          <w:tcPr>
            <w:tcW w:w="2060" w:type="dxa"/>
            <w:tcBorders>
              <w:top w:val="nil"/>
              <w:left w:val="nil"/>
              <w:bottom w:val="nil"/>
              <w:right w:val="nil"/>
            </w:tcBorders>
            <w:shd w:val="clear" w:color="auto" w:fill="auto"/>
            <w:noWrap/>
            <w:vAlign w:val="bottom"/>
            <w:hideMark/>
          </w:tcPr>
          <w:p w14:paraId="7F5862DC"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Infant Mortality Rate</w:t>
            </w:r>
          </w:p>
        </w:tc>
      </w:tr>
      <w:tr w:rsidR="00342807" w:rsidRPr="00342807" w14:paraId="7D182D6E" w14:textId="77777777" w:rsidTr="00342807">
        <w:trPr>
          <w:trHeight w:val="288"/>
        </w:trPr>
        <w:tc>
          <w:tcPr>
            <w:tcW w:w="2170" w:type="dxa"/>
            <w:tcBorders>
              <w:top w:val="nil"/>
              <w:left w:val="nil"/>
              <w:bottom w:val="nil"/>
              <w:right w:val="nil"/>
            </w:tcBorders>
            <w:shd w:val="clear" w:color="auto" w:fill="auto"/>
            <w:noWrap/>
            <w:vAlign w:val="bottom"/>
            <w:hideMark/>
          </w:tcPr>
          <w:p w14:paraId="2A2B122A"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Nepal</w:t>
            </w:r>
          </w:p>
        </w:tc>
        <w:tc>
          <w:tcPr>
            <w:tcW w:w="1560" w:type="dxa"/>
            <w:tcBorders>
              <w:top w:val="nil"/>
              <w:left w:val="nil"/>
              <w:bottom w:val="nil"/>
              <w:right w:val="nil"/>
            </w:tcBorders>
            <w:shd w:val="clear" w:color="auto" w:fill="auto"/>
            <w:noWrap/>
            <w:vAlign w:val="bottom"/>
            <w:hideMark/>
          </w:tcPr>
          <w:p w14:paraId="51649E03"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$30,641,380,604</w:t>
            </w:r>
          </w:p>
        </w:tc>
        <w:tc>
          <w:tcPr>
            <w:tcW w:w="2060" w:type="dxa"/>
            <w:tcBorders>
              <w:top w:val="nil"/>
              <w:left w:val="nil"/>
              <w:bottom w:val="nil"/>
              <w:right w:val="nil"/>
            </w:tcBorders>
            <w:shd w:val="clear" w:color="auto" w:fill="auto"/>
            <w:noWrap/>
            <w:vAlign w:val="center"/>
            <w:hideMark/>
          </w:tcPr>
          <w:p w14:paraId="1C0EC13E"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26.7</w:t>
            </w:r>
          </w:p>
        </w:tc>
      </w:tr>
      <w:tr w:rsidR="00342807" w:rsidRPr="00342807" w14:paraId="326E4E9F" w14:textId="77777777" w:rsidTr="00342807">
        <w:trPr>
          <w:trHeight w:val="288"/>
        </w:trPr>
        <w:tc>
          <w:tcPr>
            <w:tcW w:w="2170" w:type="dxa"/>
            <w:tcBorders>
              <w:top w:val="nil"/>
              <w:left w:val="nil"/>
              <w:bottom w:val="nil"/>
              <w:right w:val="nil"/>
            </w:tcBorders>
            <w:shd w:val="clear" w:color="auto" w:fill="auto"/>
            <w:noWrap/>
            <w:vAlign w:val="bottom"/>
            <w:hideMark/>
          </w:tcPr>
          <w:p w14:paraId="2393C0DC"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Cambodia</w:t>
            </w:r>
          </w:p>
        </w:tc>
        <w:tc>
          <w:tcPr>
            <w:tcW w:w="1560" w:type="dxa"/>
            <w:tcBorders>
              <w:top w:val="nil"/>
              <w:left w:val="nil"/>
              <w:bottom w:val="nil"/>
              <w:right w:val="nil"/>
            </w:tcBorders>
            <w:shd w:val="clear" w:color="auto" w:fill="auto"/>
            <w:noWrap/>
            <w:vAlign w:val="bottom"/>
            <w:hideMark/>
          </w:tcPr>
          <w:p w14:paraId="765A80F9"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$27,089,389,787</w:t>
            </w:r>
          </w:p>
        </w:tc>
        <w:tc>
          <w:tcPr>
            <w:tcW w:w="2060" w:type="dxa"/>
            <w:tcBorders>
              <w:top w:val="nil"/>
              <w:left w:val="nil"/>
              <w:bottom w:val="nil"/>
              <w:right w:val="nil"/>
            </w:tcBorders>
            <w:shd w:val="clear" w:color="auto" w:fill="auto"/>
            <w:noWrap/>
            <w:vAlign w:val="center"/>
            <w:hideMark/>
          </w:tcPr>
          <w:p w14:paraId="0912D47C"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24</w:t>
            </w:r>
          </w:p>
        </w:tc>
      </w:tr>
      <w:tr w:rsidR="00342807" w:rsidRPr="00342807" w14:paraId="4A82406E" w14:textId="77777777" w:rsidTr="00342807">
        <w:trPr>
          <w:trHeight w:val="288"/>
        </w:trPr>
        <w:tc>
          <w:tcPr>
            <w:tcW w:w="2170" w:type="dxa"/>
            <w:tcBorders>
              <w:top w:val="nil"/>
              <w:left w:val="nil"/>
              <w:bottom w:val="nil"/>
              <w:right w:val="nil"/>
            </w:tcBorders>
            <w:shd w:val="clear" w:color="auto" w:fill="auto"/>
            <w:noWrap/>
            <w:vAlign w:val="bottom"/>
            <w:hideMark/>
          </w:tcPr>
          <w:p w14:paraId="4CCAFEBB"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El Salvador</w:t>
            </w:r>
          </w:p>
        </w:tc>
        <w:tc>
          <w:tcPr>
            <w:tcW w:w="1560" w:type="dxa"/>
            <w:tcBorders>
              <w:top w:val="nil"/>
              <w:left w:val="nil"/>
              <w:bottom w:val="nil"/>
              <w:right w:val="nil"/>
            </w:tcBorders>
            <w:shd w:val="clear" w:color="auto" w:fill="auto"/>
            <w:noWrap/>
            <w:vAlign w:val="bottom"/>
            <w:hideMark/>
          </w:tcPr>
          <w:p w14:paraId="229B2507"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$27,022,640,000</w:t>
            </w:r>
          </w:p>
        </w:tc>
        <w:tc>
          <w:tcPr>
            <w:tcW w:w="2060" w:type="dxa"/>
            <w:tcBorders>
              <w:top w:val="nil"/>
              <w:left w:val="nil"/>
              <w:bottom w:val="nil"/>
              <w:right w:val="nil"/>
            </w:tcBorders>
            <w:shd w:val="clear" w:color="auto" w:fill="auto"/>
            <w:noWrap/>
            <w:vAlign w:val="center"/>
            <w:hideMark/>
          </w:tcPr>
          <w:p w14:paraId="34E82FE5"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11.8</w:t>
            </w:r>
          </w:p>
        </w:tc>
      </w:tr>
      <w:tr w:rsidR="00342807" w:rsidRPr="00342807" w14:paraId="34B92E0A" w14:textId="77777777" w:rsidTr="00342807">
        <w:trPr>
          <w:trHeight w:val="288"/>
        </w:trPr>
        <w:tc>
          <w:tcPr>
            <w:tcW w:w="2170" w:type="dxa"/>
            <w:tcBorders>
              <w:top w:val="nil"/>
              <w:left w:val="nil"/>
              <w:bottom w:val="nil"/>
              <w:right w:val="nil"/>
            </w:tcBorders>
            <w:shd w:val="clear" w:color="auto" w:fill="auto"/>
            <w:noWrap/>
            <w:vAlign w:val="bottom"/>
            <w:hideMark/>
          </w:tcPr>
          <w:p w14:paraId="01EE8672"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Yemen</w:t>
            </w:r>
          </w:p>
        </w:tc>
        <w:tc>
          <w:tcPr>
            <w:tcW w:w="1560" w:type="dxa"/>
            <w:tcBorders>
              <w:top w:val="nil"/>
              <w:left w:val="nil"/>
              <w:bottom w:val="nil"/>
              <w:right w:val="nil"/>
            </w:tcBorders>
            <w:shd w:val="clear" w:color="auto" w:fill="auto"/>
            <w:noWrap/>
            <w:vAlign w:val="bottom"/>
            <w:hideMark/>
          </w:tcPr>
          <w:p w14:paraId="36A865A8"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$26,914,402,224</w:t>
            </w:r>
          </w:p>
        </w:tc>
        <w:tc>
          <w:tcPr>
            <w:tcW w:w="2060" w:type="dxa"/>
            <w:tcBorders>
              <w:top w:val="nil"/>
              <w:left w:val="nil"/>
              <w:bottom w:val="nil"/>
              <w:right w:val="nil"/>
            </w:tcBorders>
            <w:shd w:val="clear" w:color="auto" w:fill="auto"/>
            <w:noWrap/>
            <w:vAlign w:val="center"/>
            <w:hideMark/>
          </w:tcPr>
          <w:p w14:paraId="7550B83F"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42.9</w:t>
            </w:r>
          </w:p>
        </w:tc>
      </w:tr>
      <w:tr w:rsidR="00342807" w:rsidRPr="00342807" w14:paraId="3C2A27AD" w14:textId="77777777" w:rsidTr="00342807">
        <w:trPr>
          <w:trHeight w:val="288"/>
        </w:trPr>
        <w:tc>
          <w:tcPr>
            <w:tcW w:w="2170" w:type="dxa"/>
            <w:tcBorders>
              <w:top w:val="nil"/>
              <w:left w:val="nil"/>
              <w:bottom w:val="nil"/>
              <w:right w:val="nil"/>
            </w:tcBorders>
            <w:shd w:val="clear" w:color="auto" w:fill="auto"/>
            <w:noWrap/>
            <w:vAlign w:val="bottom"/>
            <w:hideMark/>
          </w:tcPr>
          <w:p w14:paraId="3F2817DD"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Honduras</w:t>
            </w:r>
          </w:p>
        </w:tc>
        <w:tc>
          <w:tcPr>
            <w:tcW w:w="1560" w:type="dxa"/>
            <w:tcBorders>
              <w:top w:val="nil"/>
              <w:left w:val="nil"/>
              <w:bottom w:val="nil"/>
              <w:right w:val="nil"/>
            </w:tcBorders>
            <w:shd w:val="clear" w:color="auto" w:fill="auto"/>
            <w:noWrap/>
            <w:vAlign w:val="bottom"/>
            <w:hideMark/>
          </w:tcPr>
          <w:p w14:paraId="00285826"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$25,095,395,475</w:t>
            </w:r>
          </w:p>
        </w:tc>
        <w:tc>
          <w:tcPr>
            <w:tcW w:w="2060" w:type="dxa"/>
            <w:tcBorders>
              <w:top w:val="nil"/>
              <w:left w:val="nil"/>
              <w:bottom w:val="nil"/>
              <w:right w:val="nil"/>
            </w:tcBorders>
            <w:shd w:val="clear" w:color="auto" w:fill="auto"/>
            <w:noWrap/>
            <w:vAlign w:val="center"/>
            <w:hideMark/>
          </w:tcPr>
          <w:p w14:paraId="26CA5BA2"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15.1</w:t>
            </w:r>
          </w:p>
        </w:tc>
      </w:tr>
      <w:tr w:rsidR="00342807" w:rsidRPr="00342807" w14:paraId="529797A6" w14:textId="77777777" w:rsidTr="00342807">
        <w:trPr>
          <w:trHeight w:val="288"/>
        </w:trPr>
        <w:tc>
          <w:tcPr>
            <w:tcW w:w="2170" w:type="dxa"/>
            <w:tcBorders>
              <w:top w:val="nil"/>
              <w:left w:val="nil"/>
              <w:bottom w:val="nil"/>
              <w:right w:val="nil"/>
            </w:tcBorders>
            <w:shd w:val="clear" w:color="auto" w:fill="auto"/>
            <w:noWrap/>
            <w:vAlign w:val="bottom"/>
            <w:hideMark/>
          </w:tcPr>
          <w:p w14:paraId="3840E733"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Papua New Guinea</w:t>
            </w:r>
          </w:p>
        </w:tc>
        <w:tc>
          <w:tcPr>
            <w:tcW w:w="1560" w:type="dxa"/>
            <w:tcBorders>
              <w:top w:val="nil"/>
              <w:left w:val="nil"/>
              <w:bottom w:val="nil"/>
              <w:right w:val="nil"/>
            </w:tcBorders>
            <w:shd w:val="clear" w:color="auto" w:fill="auto"/>
            <w:noWrap/>
            <w:vAlign w:val="bottom"/>
            <w:hideMark/>
          </w:tcPr>
          <w:p w14:paraId="2CF250B7"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$24,969,611,435</w:t>
            </w:r>
          </w:p>
        </w:tc>
        <w:tc>
          <w:tcPr>
            <w:tcW w:w="2060" w:type="dxa"/>
            <w:tcBorders>
              <w:top w:val="nil"/>
              <w:left w:val="nil"/>
              <w:bottom w:val="nil"/>
              <w:right w:val="nil"/>
            </w:tcBorders>
            <w:shd w:val="clear" w:color="auto" w:fill="auto"/>
            <w:noWrap/>
            <w:vAlign w:val="center"/>
            <w:hideMark/>
          </w:tcPr>
          <w:p w14:paraId="670F575E"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38</w:t>
            </w:r>
          </w:p>
        </w:tc>
      </w:tr>
      <w:tr w:rsidR="00342807" w:rsidRPr="00342807" w14:paraId="7D46BF9B" w14:textId="77777777" w:rsidTr="00342807">
        <w:trPr>
          <w:trHeight w:val="288"/>
        </w:trPr>
        <w:tc>
          <w:tcPr>
            <w:tcW w:w="2170" w:type="dxa"/>
            <w:tcBorders>
              <w:top w:val="nil"/>
              <w:left w:val="nil"/>
              <w:bottom w:val="nil"/>
              <w:right w:val="nil"/>
            </w:tcBorders>
            <w:shd w:val="clear" w:color="auto" w:fill="auto"/>
            <w:noWrap/>
            <w:vAlign w:val="bottom"/>
            <w:hideMark/>
          </w:tcPr>
          <w:p w14:paraId="1CA1A7BA"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Cyprus</w:t>
            </w:r>
          </w:p>
        </w:tc>
        <w:tc>
          <w:tcPr>
            <w:tcW w:w="1560" w:type="dxa"/>
            <w:tcBorders>
              <w:top w:val="nil"/>
              <w:left w:val="nil"/>
              <w:bottom w:val="nil"/>
              <w:right w:val="nil"/>
            </w:tcBorders>
            <w:shd w:val="clear" w:color="auto" w:fill="auto"/>
            <w:noWrap/>
            <w:vAlign w:val="bottom"/>
            <w:hideMark/>
          </w:tcPr>
          <w:p w14:paraId="00AC5E0B"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$24,564,647,935</w:t>
            </w:r>
          </w:p>
        </w:tc>
        <w:tc>
          <w:tcPr>
            <w:tcW w:w="2060" w:type="dxa"/>
            <w:tcBorders>
              <w:top w:val="nil"/>
              <w:left w:val="nil"/>
              <w:bottom w:val="nil"/>
              <w:right w:val="nil"/>
            </w:tcBorders>
            <w:shd w:val="clear" w:color="auto" w:fill="auto"/>
            <w:noWrap/>
            <w:vAlign w:val="center"/>
            <w:hideMark/>
          </w:tcPr>
          <w:p w14:paraId="6FA08CCE"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1.9</w:t>
            </w:r>
          </w:p>
        </w:tc>
      </w:tr>
      <w:tr w:rsidR="00342807" w:rsidRPr="00342807" w14:paraId="3116027D" w14:textId="77777777" w:rsidTr="00342807">
        <w:trPr>
          <w:trHeight w:val="288"/>
        </w:trPr>
        <w:tc>
          <w:tcPr>
            <w:tcW w:w="2170" w:type="dxa"/>
            <w:tcBorders>
              <w:top w:val="nil"/>
              <w:left w:val="nil"/>
              <w:bottom w:val="nil"/>
              <w:right w:val="nil"/>
            </w:tcBorders>
            <w:shd w:val="clear" w:color="auto" w:fill="auto"/>
            <w:noWrap/>
            <w:vAlign w:val="bottom"/>
            <w:hideMark/>
          </w:tcPr>
          <w:p w14:paraId="1E31A3F5"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Iceland</w:t>
            </w:r>
          </w:p>
        </w:tc>
        <w:tc>
          <w:tcPr>
            <w:tcW w:w="1560" w:type="dxa"/>
            <w:tcBorders>
              <w:top w:val="nil"/>
              <w:left w:val="nil"/>
              <w:bottom w:val="nil"/>
              <w:right w:val="nil"/>
            </w:tcBorders>
            <w:shd w:val="clear" w:color="auto" w:fill="auto"/>
            <w:noWrap/>
            <w:vAlign w:val="bottom"/>
            <w:hideMark/>
          </w:tcPr>
          <w:p w14:paraId="716BB136"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$24,188,035,739</w:t>
            </w:r>
          </w:p>
        </w:tc>
        <w:tc>
          <w:tcPr>
            <w:tcW w:w="2060" w:type="dxa"/>
            <w:tcBorders>
              <w:top w:val="nil"/>
              <w:left w:val="nil"/>
              <w:bottom w:val="nil"/>
              <w:right w:val="nil"/>
            </w:tcBorders>
            <w:shd w:val="clear" w:color="auto" w:fill="auto"/>
            <w:noWrap/>
            <w:vAlign w:val="center"/>
            <w:hideMark/>
          </w:tcPr>
          <w:p w14:paraId="4B7A6232"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1.5</w:t>
            </w:r>
          </w:p>
        </w:tc>
      </w:tr>
      <w:tr w:rsidR="00342807" w:rsidRPr="00342807" w14:paraId="12765DB2" w14:textId="77777777" w:rsidTr="00342807">
        <w:trPr>
          <w:trHeight w:val="288"/>
        </w:trPr>
        <w:tc>
          <w:tcPr>
            <w:tcW w:w="2170" w:type="dxa"/>
            <w:tcBorders>
              <w:top w:val="nil"/>
              <w:left w:val="nil"/>
              <w:bottom w:val="nil"/>
              <w:right w:val="nil"/>
            </w:tcBorders>
            <w:shd w:val="clear" w:color="auto" w:fill="auto"/>
            <w:noWrap/>
            <w:vAlign w:val="bottom"/>
            <w:hideMark/>
          </w:tcPr>
          <w:p w14:paraId="346A4596"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Trinidad and Tobago</w:t>
            </w:r>
          </w:p>
        </w:tc>
        <w:tc>
          <w:tcPr>
            <w:tcW w:w="1560" w:type="dxa"/>
            <w:tcBorders>
              <w:top w:val="nil"/>
              <w:left w:val="nil"/>
              <w:bottom w:val="nil"/>
              <w:right w:val="nil"/>
            </w:tcBorders>
            <w:shd w:val="clear" w:color="auto" w:fill="auto"/>
            <w:noWrap/>
            <w:vAlign w:val="bottom"/>
            <w:hideMark/>
          </w:tcPr>
          <w:p w14:paraId="6BFC4C9A"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$24,100,202,834</w:t>
            </w:r>
          </w:p>
        </w:tc>
        <w:tc>
          <w:tcPr>
            <w:tcW w:w="2060" w:type="dxa"/>
            <w:tcBorders>
              <w:top w:val="nil"/>
              <w:left w:val="nil"/>
              <w:bottom w:val="nil"/>
              <w:right w:val="nil"/>
            </w:tcBorders>
            <w:shd w:val="clear" w:color="auto" w:fill="auto"/>
            <w:noWrap/>
            <w:vAlign w:val="center"/>
            <w:hideMark/>
          </w:tcPr>
          <w:p w14:paraId="4913AA3A"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16.4</w:t>
            </w:r>
          </w:p>
        </w:tc>
      </w:tr>
      <w:tr w:rsidR="00342807" w:rsidRPr="00342807" w14:paraId="02374A94" w14:textId="77777777" w:rsidTr="00342807">
        <w:trPr>
          <w:trHeight w:val="288"/>
        </w:trPr>
        <w:tc>
          <w:tcPr>
            <w:tcW w:w="2170" w:type="dxa"/>
            <w:tcBorders>
              <w:top w:val="nil"/>
              <w:left w:val="nil"/>
              <w:bottom w:val="nil"/>
              <w:right w:val="nil"/>
            </w:tcBorders>
            <w:shd w:val="clear" w:color="auto" w:fill="auto"/>
            <w:noWrap/>
            <w:vAlign w:val="bottom"/>
            <w:hideMark/>
          </w:tcPr>
          <w:p w14:paraId="61F53B58"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Senegal</w:t>
            </w:r>
          </w:p>
        </w:tc>
        <w:tc>
          <w:tcPr>
            <w:tcW w:w="1560" w:type="dxa"/>
            <w:tcBorders>
              <w:top w:val="nil"/>
              <w:left w:val="nil"/>
              <w:bottom w:val="nil"/>
              <w:right w:val="nil"/>
            </w:tcBorders>
            <w:shd w:val="clear" w:color="auto" w:fill="auto"/>
            <w:noWrap/>
            <w:vAlign w:val="bottom"/>
            <w:hideMark/>
          </w:tcPr>
          <w:p w14:paraId="17F29C54"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$23,578,084,052</w:t>
            </w:r>
          </w:p>
        </w:tc>
        <w:tc>
          <w:tcPr>
            <w:tcW w:w="2060" w:type="dxa"/>
            <w:tcBorders>
              <w:top w:val="nil"/>
              <w:left w:val="nil"/>
              <w:bottom w:val="nil"/>
              <w:right w:val="nil"/>
            </w:tcBorders>
            <w:shd w:val="clear" w:color="auto" w:fill="auto"/>
            <w:noWrap/>
            <w:vAlign w:val="center"/>
            <w:hideMark/>
          </w:tcPr>
          <w:p w14:paraId="5163F192"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31.8</w:t>
            </w:r>
          </w:p>
        </w:tc>
      </w:tr>
      <w:tr w:rsidR="00342807" w:rsidRPr="00342807" w14:paraId="2412460C" w14:textId="77777777" w:rsidTr="00342807">
        <w:trPr>
          <w:trHeight w:val="288"/>
        </w:trPr>
        <w:tc>
          <w:tcPr>
            <w:tcW w:w="2170" w:type="dxa"/>
            <w:tcBorders>
              <w:top w:val="nil"/>
              <w:left w:val="nil"/>
              <w:bottom w:val="nil"/>
              <w:right w:val="nil"/>
            </w:tcBorders>
            <w:shd w:val="clear" w:color="auto" w:fill="auto"/>
            <w:noWrap/>
            <w:vAlign w:val="bottom"/>
            <w:hideMark/>
          </w:tcPr>
          <w:p w14:paraId="1E34CFC2"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Zambia</w:t>
            </w:r>
          </w:p>
        </w:tc>
        <w:tc>
          <w:tcPr>
            <w:tcW w:w="1560" w:type="dxa"/>
            <w:tcBorders>
              <w:top w:val="nil"/>
              <w:left w:val="nil"/>
              <w:bottom w:val="nil"/>
              <w:right w:val="nil"/>
            </w:tcBorders>
            <w:shd w:val="clear" w:color="auto" w:fill="auto"/>
            <w:noWrap/>
            <w:vAlign w:val="bottom"/>
            <w:hideMark/>
          </w:tcPr>
          <w:p w14:paraId="6B12FD99"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$23,064,722,446</w:t>
            </w:r>
          </w:p>
        </w:tc>
        <w:tc>
          <w:tcPr>
            <w:tcW w:w="2060" w:type="dxa"/>
            <w:tcBorders>
              <w:top w:val="nil"/>
              <w:left w:val="nil"/>
              <w:bottom w:val="nil"/>
              <w:right w:val="nil"/>
            </w:tcBorders>
            <w:shd w:val="clear" w:color="auto" w:fill="auto"/>
            <w:noWrap/>
            <w:vAlign w:val="center"/>
            <w:hideMark/>
          </w:tcPr>
          <w:p w14:paraId="5297C94C"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40.4</w:t>
            </w:r>
          </w:p>
        </w:tc>
      </w:tr>
      <w:tr w:rsidR="00342807" w:rsidRPr="00342807" w14:paraId="7A04152A" w14:textId="77777777" w:rsidTr="00342807">
        <w:trPr>
          <w:trHeight w:val="288"/>
        </w:trPr>
        <w:tc>
          <w:tcPr>
            <w:tcW w:w="2170" w:type="dxa"/>
            <w:tcBorders>
              <w:top w:val="nil"/>
              <w:left w:val="nil"/>
              <w:bottom w:val="nil"/>
              <w:right w:val="nil"/>
            </w:tcBorders>
            <w:shd w:val="clear" w:color="auto" w:fill="auto"/>
            <w:noWrap/>
            <w:vAlign w:val="bottom"/>
            <w:hideMark/>
          </w:tcPr>
          <w:p w14:paraId="6C16013D"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Zimbabwe</w:t>
            </w:r>
          </w:p>
        </w:tc>
        <w:tc>
          <w:tcPr>
            <w:tcW w:w="1560" w:type="dxa"/>
            <w:tcBorders>
              <w:top w:val="nil"/>
              <w:left w:val="nil"/>
              <w:bottom w:val="nil"/>
              <w:right w:val="nil"/>
            </w:tcBorders>
            <w:shd w:val="clear" w:color="auto" w:fill="auto"/>
            <w:noWrap/>
            <w:vAlign w:val="bottom"/>
            <w:hideMark/>
          </w:tcPr>
          <w:p w14:paraId="233A7AEC"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$21,440,758,800</w:t>
            </w:r>
          </w:p>
        </w:tc>
        <w:tc>
          <w:tcPr>
            <w:tcW w:w="2060" w:type="dxa"/>
            <w:tcBorders>
              <w:top w:val="nil"/>
              <w:left w:val="nil"/>
              <w:bottom w:val="nil"/>
              <w:right w:val="nil"/>
            </w:tcBorders>
            <w:shd w:val="clear" w:color="auto" w:fill="auto"/>
            <w:noWrap/>
            <w:vAlign w:val="center"/>
            <w:hideMark/>
          </w:tcPr>
          <w:p w14:paraId="158A69A8"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33.9</w:t>
            </w:r>
          </w:p>
        </w:tc>
      </w:tr>
      <w:tr w:rsidR="00342807" w:rsidRPr="00342807" w14:paraId="54AA59D7" w14:textId="77777777" w:rsidTr="00342807">
        <w:trPr>
          <w:trHeight w:val="288"/>
        </w:trPr>
        <w:tc>
          <w:tcPr>
            <w:tcW w:w="2170" w:type="dxa"/>
            <w:tcBorders>
              <w:top w:val="nil"/>
              <w:left w:val="nil"/>
              <w:bottom w:val="nil"/>
              <w:right w:val="nil"/>
            </w:tcBorders>
            <w:shd w:val="clear" w:color="auto" w:fill="auto"/>
            <w:noWrap/>
            <w:vAlign w:val="bottom"/>
            <w:hideMark/>
          </w:tcPr>
          <w:p w14:paraId="09ACE2DF"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Bosnia and Herzegovina</w:t>
            </w:r>
          </w:p>
        </w:tc>
        <w:tc>
          <w:tcPr>
            <w:tcW w:w="1560" w:type="dxa"/>
            <w:tcBorders>
              <w:top w:val="nil"/>
              <w:left w:val="nil"/>
              <w:bottom w:val="nil"/>
              <w:right w:val="nil"/>
            </w:tcBorders>
            <w:shd w:val="clear" w:color="auto" w:fill="auto"/>
            <w:noWrap/>
            <w:vAlign w:val="bottom"/>
            <w:hideMark/>
          </w:tcPr>
          <w:p w14:paraId="48884D2B"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$20,047,848,435</w:t>
            </w:r>
          </w:p>
        </w:tc>
        <w:tc>
          <w:tcPr>
            <w:tcW w:w="2060" w:type="dxa"/>
            <w:tcBorders>
              <w:top w:val="nil"/>
              <w:left w:val="nil"/>
              <w:bottom w:val="nil"/>
              <w:right w:val="nil"/>
            </w:tcBorders>
            <w:shd w:val="clear" w:color="auto" w:fill="auto"/>
            <w:noWrap/>
            <w:vAlign w:val="center"/>
            <w:hideMark/>
          </w:tcPr>
          <w:p w14:paraId="30054164"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5</w:t>
            </w:r>
          </w:p>
        </w:tc>
      </w:tr>
      <w:tr w:rsidR="00342807" w:rsidRPr="00342807" w14:paraId="16564716" w14:textId="77777777" w:rsidTr="00342807">
        <w:trPr>
          <w:trHeight w:val="288"/>
        </w:trPr>
        <w:tc>
          <w:tcPr>
            <w:tcW w:w="2170" w:type="dxa"/>
            <w:tcBorders>
              <w:top w:val="nil"/>
              <w:left w:val="nil"/>
              <w:bottom w:val="nil"/>
              <w:right w:val="nil"/>
            </w:tcBorders>
            <w:shd w:val="clear" w:color="auto" w:fill="auto"/>
            <w:noWrap/>
            <w:vAlign w:val="bottom"/>
            <w:hideMark/>
          </w:tcPr>
          <w:p w14:paraId="26457602"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Afghanistan</w:t>
            </w:r>
          </w:p>
        </w:tc>
        <w:tc>
          <w:tcPr>
            <w:tcW w:w="1560" w:type="dxa"/>
            <w:tcBorders>
              <w:top w:val="nil"/>
              <w:left w:val="nil"/>
              <w:bottom w:val="nil"/>
              <w:right w:val="nil"/>
            </w:tcBorders>
            <w:shd w:val="clear" w:color="auto" w:fill="auto"/>
            <w:noWrap/>
            <w:vAlign w:val="bottom"/>
            <w:hideMark/>
          </w:tcPr>
          <w:p w14:paraId="51CCE997"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$19,101,353,833</w:t>
            </w:r>
          </w:p>
        </w:tc>
        <w:tc>
          <w:tcPr>
            <w:tcW w:w="2060" w:type="dxa"/>
            <w:tcBorders>
              <w:top w:val="nil"/>
              <w:left w:val="nil"/>
              <w:bottom w:val="nil"/>
              <w:right w:val="nil"/>
            </w:tcBorders>
            <w:shd w:val="clear" w:color="auto" w:fill="auto"/>
            <w:noWrap/>
            <w:vAlign w:val="center"/>
            <w:hideMark/>
          </w:tcPr>
          <w:p w14:paraId="3D2A2EE8"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47.9</w:t>
            </w:r>
          </w:p>
        </w:tc>
      </w:tr>
      <w:tr w:rsidR="00342807" w:rsidRPr="00342807" w14:paraId="12B512CE" w14:textId="77777777" w:rsidTr="00342807">
        <w:trPr>
          <w:trHeight w:val="288"/>
        </w:trPr>
        <w:tc>
          <w:tcPr>
            <w:tcW w:w="2170" w:type="dxa"/>
            <w:tcBorders>
              <w:top w:val="nil"/>
              <w:left w:val="nil"/>
              <w:bottom w:val="nil"/>
              <w:right w:val="nil"/>
            </w:tcBorders>
            <w:shd w:val="clear" w:color="auto" w:fill="auto"/>
            <w:noWrap/>
            <w:vAlign w:val="bottom"/>
            <w:hideMark/>
          </w:tcPr>
          <w:p w14:paraId="06F1D171"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p>
        </w:tc>
        <w:tc>
          <w:tcPr>
            <w:tcW w:w="1560" w:type="dxa"/>
            <w:tcBorders>
              <w:top w:val="nil"/>
              <w:left w:val="nil"/>
              <w:bottom w:val="nil"/>
              <w:right w:val="nil"/>
            </w:tcBorders>
            <w:shd w:val="clear" w:color="auto" w:fill="auto"/>
            <w:noWrap/>
            <w:vAlign w:val="bottom"/>
            <w:hideMark/>
          </w:tcPr>
          <w:p w14:paraId="05FC833E"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mean</w:t>
            </w:r>
          </w:p>
        </w:tc>
        <w:tc>
          <w:tcPr>
            <w:tcW w:w="2060" w:type="dxa"/>
            <w:tcBorders>
              <w:top w:val="nil"/>
              <w:left w:val="nil"/>
              <w:bottom w:val="nil"/>
              <w:right w:val="nil"/>
            </w:tcBorders>
            <w:shd w:val="clear" w:color="auto" w:fill="auto"/>
            <w:noWrap/>
            <w:vAlign w:val="bottom"/>
            <w:hideMark/>
          </w:tcPr>
          <w:p w14:paraId="434394ED"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24.09285714</w:t>
            </w:r>
          </w:p>
        </w:tc>
      </w:tr>
      <w:tr w:rsidR="00342807" w:rsidRPr="00342807" w14:paraId="41F2A319" w14:textId="77777777" w:rsidTr="00342807">
        <w:trPr>
          <w:trHeight w:val="288"/>
        </w:trPr>
        <w:tc>
          <w:tcPr>
            <w:tcW w:w="2170" w:type="dxa"/>
            <w:tcBorders>
              <w:top w:val="nil"/>
              <w:left w:val="nil"/>
              <w:bottom w:val="nil"/>
              <w:right w:val="nil"/>
            </w:tcBorders>
            <w:shd w:val="clear" w:color="auto" w:fill="auto"/>
            <w:noWrap/>
            <w:vAlign w:val="bottom"/>
            <w:hideMark/>
          </w:tcPr>
          <w:p w14:paraId="479F1FFC"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p>
        </w:tc>
        <w:tc>
          <w:tcPr>
            <w:tcW w:w="1560" w:type="dxa"/>
            <w:tcBorders>
              <w:top w:val="nil"/>
              <w:left w:val="nil"/>
              <w:bottom w:val="nil"/>
              <w:right w:val="nil"/>
            </w:tcBorders>
            <w:shd w:val="clear" w:color="auto" w:fill="auto"/>
            <w:noWrap/>
            <w:vAlign w:val="bottom"/>
            <w:hideMark/>
          </w:tcPr>
          <w:p w14:paraId="3E9AD466" w14:textId="77777777" w:rsidR="00342807" w:rsidRPr="00342807" w:rsidRDefault="00342807" w:rsidP="00342807">
            <w:pPr>
              <w:spacing w:after="0" w:line="240" w:lineRule="auto"/>
              <w:rPr>
                <w:rFonts w:ascii="Calibri" w:eastAsia="Times New Roman" w:hAnsi="Calibri" w:cs="Calibri"/>
                <w:color w:val="000000"/>
                <w:kern w:val="0"/>
                <w:lang w:eastAsia="en-AU"/>
                <w14:ligatures w14:val="none"/>
              </w:rPr>
            </w:pPr>
            <w:proofErr w:type="spellStart"/>
            <w:r w:rsidRPr="00342807">
              <w:rPr>
                <w:rFonts w:ascii="Calibri" w:eastAsia="Times New Roman" w:hAnsi="Calibri" w:cs="Calibri"/>
                <w:color w:val="000000"/>
                <w:kern w:val="0"/>
                <w:lang w:eastAsia="en-AU"/>
                <w14:ligatures w14:val="none"/>
              </w:rPr>
              <w:t>stdev</w:t>
            </w:r>
            <w:proofErr w:type="spellEnd"/>
          </w:p>
        </w:tc>
        <w:tc>
          <w:tcPr>
            <w:tcW w:w="2060" w:type="dxa"/>
            <w:tcBorders>
              <w:top w:val="nil"/>
              <w:left w:val="nil"/>
              <w:bottom w:val="nil"/>
              <w:right w:val="nil"/>
            </w:tcBorders>
            <w:shd w:val="clear" w:color="auto" w:fill="auto"/>
            <w:noWrap/>
            <w:vAlign w:val="bottom"/>
            <w:hideMark/>
          </w:tcPr>
          <w:p w14:paraId="54D31C54" w14:textId="77777777" w:rsidR="00342807" w:rsidRPr="00342807" w:rsidRDefault="00342807" w:rsidP="00342807">
            <w:pPr>
              <w:spacing w:after="0" w:line="240" w:lineRule="auto"/>
              <w:jc w:val="right"/>
              <w:rPr>
                <w:rFonts w:ascii="Calibri" w:eastAsia="Times New Roman" w:hAnsi="Calibri" w:cs="Calibri"/>
                <w:color w:val="000000"/>
                <w:kern w:val="0"/>
                <w:lang w:eastAsia="en-AU"/>
                <w14:ligatures w14:val="none"/>
              </w:rPr>
            </w:pPr>
            <w:r w:rsidRPr="00342807">
              <w:rPr>
                <w:rFonts w:ascii="Calibri" w:eastAsia="Times New Roman" w:hAnsi="Calibri" w:cs="Calibri"/>
                <w:color w:val="000000"/>
                <w:kern w:val="0"/>
                <w:lang w:eastAsia="en-AU"/>
                <w14:ligatures w14:val="none"/>
              </w:rPr>
              <w:t>14.6079186</w:t>
            </w:r>
          </w:p>
        </w:tc>
      </w:tr>
    </w:tbl>
    <w:p w14:paraId="3BFAA6AD" w14:textId="77777777" w:rsidR="00342807" w:rsidRPr="00342807" w:rsidRDefault="00342807" w:rsidP="00342807">
      <w:pPr>
        <w:rPr>
          <w:b/>
          <w:bCs/>
          <w:lang w:val="en-US"/>
        </w:rPr>
      </w:pPr>
    </w:p>
    <w:p w14:paraId="6466FEB9" w14:textId="4D57355F" w:rsidR="00342807" w:rsidRDefault="00780C0D" w:rsidP="00DD4FD8">
      <w:pPr>
        <w:pStyle w:val="Heading2"/>
        <w:rPr>
          <w:lang w:val="en-US"/>
        </w:rPr>
      </w:pPr>
      <w:r w:rsidRPr="00080262">
        <w:rPr>
          <w:lang w:val="en-US"/>
        </w:rPr>
        <w:t>T-Test</w:t>
      </w:r>
      <w:r w:rsidR="00080262">
        <w:rPr>
          <w:lang w:val="en-US"/>
        </w:rPr>
        <w:t>(P-value</w:t>
      </w:r>
      <w:r w:rsidR="00DD4FD8">
        <w:rPr>
          <w:lang w:val="en-US"/>
        </w:rPr>
        <w:t>):</w:t>
      </w:r>
      <w:r>
        <w:rPr>
          <w:lang w:val="en-US"/>
        </w:rPr>
        <w:t xml:space="preserve"> 0.00072</w:t>
      </w:r>
    </w:p>
    <w:p w14:paraId="5E46E3D6" w14:textId="4EE002F0" w:rsidR="00342807" w:rsidRDefault="00080262" w:rsidP="00DD4FD8">
      <w:pPr>
        <w:pStyle w:val="Heading2"/>
        <w:rPr>
          <w:lang w:val="en-US"/>
        </w:rPr>
      </w:pPr>
      <w:r w:rsidRPr="00080262">
        <w:rPr>
          <w:lang w:val="en-US"/>
        </w:rPr>
        <w:t>Comparison</w:t>
      </w:r>
      <w:r>
        <w:rPr>
          <w:lang w:val="en-US"/>
        </w:rPr>
        <w:t>:</w:t>
      </w:r>
    </w:p>
    <w:p w14:paraId="56F1F608" w14:textId="389F15E1" w:rsidR="00342807" w:rsidRPr="00342807" w:rsidRDefault="00780C0D" w:rsidP="00342807">
      <w:pPr>
        <w:rPr>
          <w:lang w:val="en-US"/>
        </w:rPr>
      </w:pPr>
      <w:r>
        <w:rPr>
          <w:lang w:val="en-US"/>
        </w:rPr>
        <w:t>The chosen significance level</w:t>
      </w:r>
      <w:r w:rsidRPr="00342807">
        <w:rPr>
          <w:lang w:val="en-US"/>
        </w:rPr>
        <w:t>(α)</w:t>
      </w:r>
      <w:r>
        <w:rPr>
          <w:lang w:val="en-US"/>
        </w:rPr>
        <w:t xml:space="preserve"> is 0.05 and the p-value is 0.00072 as per the t-test. Comparing the two values and since p value is significantly smaller than significant level(</w:t>
      </w:r>
      <w:r w:rsidRPr="00342807">
        <w:rPr>
          <w:lang w:val="en-US"/>
        </w:rPr>
        <w:t>α</w:t>
      </w:r>
      <w:r>
        <w:rPr>
          <w:lang w:val="en-US"/>
        </w:rPr>
        <w:t>) we can conclude that there is a big difference in infant mortality rate in between developed and developing countries.</w:t>
      </w:r>
    </w:p>
    <w:p w14:paraId="5DDE54E0" w14:textId="4538A8E9" w:rsidR="00080262" w:rsidRDefault="00342807" w:rsidP="00342807">
      <w:pPr>
        <w:rPr>
          <w:lang w:val="en-US"/>
        </w:rPr>
      </w:pPr>
      <w:r w:rsidRPr="00DD4FD8">
        <w:rPr>
          <w:rStyle w:val="Heading2Char"/>
          <w:lang w:val="en-US"/>
        </w:rPr>
        <w:t>Implications:</w:t>
      </w:r>
      <w:r w:rsidRPr="00342807">
        <w:rPr>
          <w:lang w:val="en-US"/>
        </w:rPr>
        <w:t xml:space="preserve"> </w:t>
      </w:r>
      <w:r w:rsidR="00080262">
        <w:rPr>
          <w:lang w:val="en-US"/>
        </w:rPr>
        <w:t xml:space="preserve">This hypothesis test proved the disparities in infant mortality rates between different country groups. Since we can see a significant difference, it </w:t>
      </w:r>
      <w:r w:rsidR="00DD4FD8">
        <w:rPr>
          <w:lang w:val="en-US"/>
        </w:rPr>
        <w:t>suggests</w:t>
      </w:r>
      <w:r w:rsidR="00080262">
        <w:rPr>
          <w:lang w:val="en-US"/>
        </w:rPr>
        <w:t xml:space="preserve"> that factors associated with development impact child health outcomes.</w:t>
      </w:r>
    </w:p>
    <w:p w14:paraId="769EBDAD" w14:textId="77777777" w:rsidR="00080262" w:rsidRPr="00342807" w:rsidRDefault="00080262" w:rsidP="00342807">
      <w:pPr>
        <w:rPr>
          <w:lang w:val="en-US"/>
        </w:rPr>
      </w:pPr>
    </w:p>
    <w:p w14:paraId="143A1E56" w14:textId="77777777" w:rsidR="00DD4FD8" w:rsidRPr="00DD4FD8" w:rsidRDefault="00342807" w:rsidP="00DD4FD8">
      <w:pPr>
        <w:rPr>
          <w:lang w:val="en-US"/>
        </w:rPr>
      </w:pPr>
      <w:r w:rsidRPr="00DD4FD8">
        <w:rPr>
          <w:rStyle w:val="Heading2Char"/>
          <w:lang w:val="en-US"/>
        </w:rPr>
        <w:t>Future Directions:</w:t>
      </w:r>
      <w:r w:rsidRPr="00342807">
        <w:rPr>
          <w:lang w:val="en-US"/>
        </w:rPr>
        <w:t xml:space="preserve"> </w:t>
      </w:r>
      <w:r w:rsidR="00DD4FD8" w:rsidRPr="00DD4FD8">
        <w:rPr>
          <w:lang w:val="en-US"/>
        </w:rPr>
        <w:t>This strategy could be used in future studies to investigate the connections between newborn mortality rates, life expectancy, economic indicators, and healthcare systems. In doing so, we would have a deeper comprehension of the variables affecting these health indices.</w:t>
      </w:r>
    </w:p>
    <w:p w14:paraId="31E08915" w14:textId="14AA9380" w:rsidR="00247B56" w:rsidRPr="000A7385" w:rsidRDefault="00DD4FD8" w:rsidP="00DD4FD8">
      <w:pPr>
        <w:rPr>
          <w:lang w:val="en-US"/>
        </w:rPr>
      </w:pPr>
      <w:r w:rsidRPr="00DD4FD8">
        <w:rPr>
          <w:lang w:val="en-US"/>
        </w:rPr>
        <w:t>In conclusion, hypothesis testing can give important information about the connections between various variables in the dataset. We can make inferences about probable patterns, discrepancies, and correlations that exist in the data by testing particular hypotheses.</w:t>
      </w:r>
    </w:p>
    <w:sectPr w:rsidR="00247B56" w:rsidRPr="000A7385" w:rsidSect="00B20EF8">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70F0B" w14:textId="77777777" w:rsidR="006E5622" w:rsidRDefault="006E5622" w:rsidP="008C39FF">
      <w:pPr>
        <w:spacing w:after="0" w:line="240" w:lineRule="auto"/>
      </w:pPr>
      <w:r>
        <w:separator/>
      </w:r>
    </w:p>
  </w:endnote>
  <w:endnote w:type="continuationSeparator" w:id="0">
    <w:p w14:paraId="01E9B59F" w14:textId="77777777" w:rsidR="006E5622" w:rsidRDefault="006E5622" w:rsidP="008C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682970"/>
      <w:docPartObj>
        <w:docPartGallery w:val="Page Numbers (Bottom of Page)"/>
        <w:docPartUnique/>
      </w:docPartObj>
    </w:sdtPr>
    <w:sdtEndPr>
      <w:rPr>
        <w:noProof/>
      </w:rPr>
    </w:sdtEndPr>
    <w:sdtContent>
      <w:p w14:paraId="6114F383" w14:textId="470B5BDD" w:rsidR="008C39FF" w:rsidRDefault="008C39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770FFC" w14:textId="77777777" w:rsidR="008C39FF" w:rsidRDefault="008C3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58CDC" w14:textId="77777777" w:rsidR="006E5622" w:rsidRDefault="006E5622" w:rsidP="008C39FF">
      <w:pPr>
        <w:spacing w:after="0" w:line="240" w:lineRule="auto"/>
      </w:pPr>
      <w:r>
        <w:separator/>
      </w:r>
    </w:p>
  </w:footnote>
  <w:footnote w:type="continuationSeparator" w:id="0">
    <w:p w14:paraId="4D017DE5" w14:textId="77777777" w:rsidR="006E5622" w:rsidRDefault="006E5622" w:rsidP="008C39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49C5"/>
    <w:multiLevelType w:val="hybridMultilevel"/>
    <w:tmpl w:val="5F1AC0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A10985"/>
    <w:multiLevelType w:val="multilevel"/>
    <w:tmpl w:val="A304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B358B7"/>
    <w:multiLevelType w:val="multilevel"/>
    <w:tmpl w:val="7D84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4C718D"/>
    <w:multiLevelType w:val="hybridMultilevel"/>
    <w:tmpl w:val="8A3E1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D14EAC"/>
    <w:multiLevelType w:val="hybridMultilevel"/>
    <w:tmpl w:val="726293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4D46CEA"/>
    <w:multiLevelType w:val="hybridMultilevel"/>
    <w:tmpl w:val="0284BE1C"/>
    <w:lvl w:ilvl="0" w:tplc="C756CAFA">
      <w:start w:val="1"/>
      <w:numFmt w:val="decimal"/>
      <w:lvlText w:val="%1."/>
      <w:lvlJc w:val="left"/>
      <w:pPr>
        <w:ind w:left="644"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B3A6541"/>
    <w:multiLevelType w:val="hybridMultilevel"/>
    <w:tmpl w:val="536A8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1C22D2"/>
    <w:multiLevelType w:val="multilevel"/>
    <w:tmpl w:val="1488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A06254"/>
    <w:multiLevelType w:val="hybridMultilevel"/>
    <w:tmpl w:val="E83CFC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614557">
    <w:abstractNumId w:val="0"/>
  </w:num>
  <w:num w:numId="2" w16cid:durableId="423036354">
    <w:abstractNumId w:val="5"/>
  </w:num>
  <w:num w:numId="3" w16cid:durableId="819880334">
    <w:abstractNumId w:val="3"/>
  </w:num>
  <w:num w:numId="4" w16cid:durableId="1488396469">
    <w:abstractNumId w:val="8"/>
  </w:num>
  <w:num w:numId="5" w16cid:durableId="1422288114">
    <w:abstractNumId w:val="6"/>
  </w:num>
  <w:num w:numId="6" w16cid:durableId="1107963197">
    <w:abstractNumId w:val="7"/>
  </w:num>
  <w:num w:numId="7" w16cid:durableId="644817668">
    <w:abstractNumId w:val="1"/>
  </w:num>
  <w:num w:numId="8" w16cid:durableId="348071446">
    <w:abstractNumId w:val="2"/>
  </w:num>
  <w:num w:numId="9" w16cid:durableId="1757900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FF"/>
    <w:rsid w:val="000120D8"/>
    <w:rsid w:val="00054C1F"/>
    <w:rsid w:val="00080262"/>
    <w:rsid w:val="000A7385"/>
    <w:rsid w:val="000B7820"/>
    <w:rsid w:val="000C0BCD"/>
    <w:rsid w:val="00100E87"/>
    <w:rsid w:val="00172718"/>
    <w:rsid w:val="001E1387"/>
    <w:rsid w:val="00247B56"/>
    <w:rsid w:val="00252FF6"/>
    <w:rsid w:val="00342807"/>
    <w:rsid w:val="00346AD9"/>
    <w:rsid w:val="0055623F"/>
    <w:rsid w:val="005A553B"/>
    <w:rsid w:val="005E23B8"/>
    <w:rsid w:val="0069206D"/>
    <w:rsid w:val="006C5451"/>
    <w:rsid w:val="006E5622"/>
    <w:rsid w:val="00710597"/>
    <w:rsid w:val="00776DD0"/>
    <w:rsid w:val="00780C0D"/>
    <w:rsid w:val="007B4AF7"/>
    <w:rsid w:val="00825BA9"/>
    <w:rsid w:val="008C39FF"/>
    <w:rsid w:val="00922F18"/>
    <w:rsid w:val="00A75CF2"/>
    <w:rsid w:val="00AB095D"/>
    <w:rsid w:val="00B20EF8"/>
    <w:rsid w:val="00D01BC3"/>
    <w:rsid w:val="00D61574"/>
    <w:rsid w:val="00DD4FD8"/>
    <w:rsid w:val="00E44D20"/>
    <w:rsid w:val="00F359CD"/>
    <w:rsid w:val="00F4582B"/>
    <w:rsid w:val="00FC394C"/>
    <w:rsid w:val="00FE43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E1CB"/>
  <w15:chartTrackingRefBased/>
  <w15:docId w15:val="{5532D5B1-5706-49E4-BB35-AD2FCE6A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9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9FF"/>
  </w:style>
  <w:style w:type="paragraph" w:styleId="Footer">
    <w:name w:val="footer"/>
    <w:basedOn w:val="Normal"/>
    <w:link w:val="FooterChar"/>
    <w:uiPriority w:val="99"/>
    <w:unhideWhenUsed/>
    <w:rsid w:val="008C39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9FF"/>
  </w:style>
  <w:style w:type="character" w:customStyle="1" w:styleId="Heading1Char">
    <w:name w:val="Heading 1 Char"/>
    <w:basedOn w:val="DefaultParagraphFont"/>
    <w:link w:val="Heading1"/>
    <w:uiPriority w:val="9"/>
    <w:rsid w:val="008C39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39FF"/>
    <w:pPr>
      <w:outlineLvl w:val="9"/>
    </w:pPr>
    <w:rPr>
      <w:kern w:val="0"/>
      <w:lang w:val="en-US"/>
      <w14:ligatures w14:val="none"/>
    </w:rPr>
  </w:style>
  <w:style w:type="paragraph" w:styleId="ListParagraph">
    <w:name w:val="List Paragraph"/>
    <w:basedOn w:val="Normal"/>
    <w:uiPriority w:val="34"/>
    <w:qFormat/>
    <w:rsid w:val="0069206D"/>
    <w:pPr>
      <w:ind w:left="720"/>
      <w:contextualSpacing/>
    </w:pPr>
  </w:style>
  <w:style w:type="character" w:customStyle="1" w:styleId="Heading2Char">
    <w:name w:val="Heading 2 Char"/>
    <w:basedOn w:val="DefaultParagraphFont"/>
    <w:link w:val="Heading2"/>
    <w:uiPriority w:val="9"/>
    <w:rsid w:val="000120D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47B5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247B56"/>
    <w:rPr>
      <w:b/>
      <w:bCs/>
    </w:rPr>
  </w:style>
  <w:style w:type="paragraph" w:styleId="NoSpacing">
    <w:name w:val="No Spacing"/>
    <w:link w:val="NoSpacingChar"/>
    <w:uiPriority w:val="1"/>
    <w:qFormat/>
    <w:rsid w:val="00B20EF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20EF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2055">
      <w:bodyDiv w:val="1"/>
      <w:marLeft w:val="0"/>
      <w:marRight w:val="0"/>
      <w:marTop w:val="0"/>
      <w:marBottom w:val="0"/>
      <w:divBdr>
        <w:top w:val="none" w:sz="0" w:space="0" w:color="auto"/>
        <w:left w:val="none" w:sz="0" w:space="0" w:color="auto"/>
        <w:bottom w:val="none" w:sz="0" w:space="0" w:color="auto"/>
        <w:right w:val="none" w:sz="0" w:space="0" w:color="auto"/>
      </w:divBdr>
    </w:div>
    <w:div w:id="41096474">
      <w:bodyDiv w:val="1"/>
      <w:marLeft w:val="0"/>
      <w:marRight w:val="0"/>
      <w:marTop w:val="0"/>
      <w:marBottom w:val="0"/>
      <w:divBdr>
        <w:top w:val="none" w:sz="0" w:space="0" w:color="auto"/>
        <w:left w:val="none" w:sz="0" w:space="0" w:color="auto"/>
        <w:bottom w:val="none" w:sz="0" w:space="0" w:color="auto"/>
        <w:right w:val="none" w:sz="0" w:space="0" w:color="auto"/>
      </w:divBdr>
    </w:div>
    <w:div w:id="152335712">
      <w:bodyDiv w:val="1"/>
      <w:marLeft w:val="0"/>
      <w:marRight w:val="0"/>
      <w:marTop w:val="0"/>
      <w:marBottom w:val="0"/>
      <w:divBdr>
        <w:top w:val="none" w:sz="0" w:space="0" w:color="auto"/>
        <w:left w:val="none" w:sz="0" w:space="0" w:color="auto"/>
        <w:bottom w:val="none" w:sz="0" w:space="0" w:color="auto"/>
        <w:right w:val="none" w:sz="0" w:space="0" w:color="auto"/>
      </w:divBdr>
    </w:div>
    <w:div w:id="204873344">
      <w:bodyDiv w:val="1"/>
      <w:marLeft w:val="0"/>
      <w:marRight w:val="0"/>
      <w:marTop w:val="0"/>
      <w:marBottom w:val="0"/>
      <w:divBdr>
        <w:top w:val="none" w:sz="0" w:space="0" w:color="auto"/>
        <w:left w:val="none" w:sz="0" w:space="0" w:color="auto"/>
        <w:bottom w:val="none" w:sz="0" w:space="0" w:color="auto"/>
        <w:right w:val="none" w:sz="0" w:space="0" w:color="auto"/>
      </w:divBdr>
    </w:div>
    <w:div w:id="295917488">
      <w:bodyDiv w:val="1"/>
      <w:marLeft w:val="0"/>
      <w:marRight w:val="0"/>
      <w:marTop w:val="0"/>
      <w:marBottom w:val="0"/>
      <w:divBdr>
        <w:top w:val="none" w:sz="0" w:space="0" w:color="auto"/>
        <w:left w:val="none" w:sz="0" w:space="0" w:color="auto"/>
        <w:bottom w:val="none" w:sz="0" w:space="0" w:color="auto"/>
        <w:right w:val="none" w:sz="0" w:space="0" w:color="auto"/>
      </w:divBdr>
    </w:div>
    <w:div w:id="402067363">
      <w:bodyDiv w:val="1"/>
      <w:marLeft w:val="0"/>
      <w:marRight w:val="0"/>
      <w:marTop w:val="0"/>
      <w:marBottom w:val="0"/>
      <w:divBdr>
        <w:top w:val="none" w:sz="0" w:space="0" w:color="auto"/>
        <w:left w:val="none" w:sz="0" w:space="0" w:color="auto"/>
        <w:bottom w:val="none" w:sz="0" w:space="0" w:color="auto"/>
        <w:right w:val="none" w:sz="0" w:space="0" w:color="auto"/>
      </w:divBdr>
    </w:div>
    <w:div w:id="451553220">
      <w:bodyDiv w:val="1"/>
      <w:marLeft w:val="0"/>
      <w:marRight w:val="0"/>
      <w:marTop w:val="0"/>
      <w:marBottom w:val="0"/>
      <w:divBdr>
        <w:top w:val="none" w:sz="0" w:space="0" w:color="auto"/>
        <w:left w:val="none" w:sz="0" w:space="0" w:color="auto"/>
        <w:bottom w:val="none" w:sz="0" w:space="0" w:color="auto"/>
        <w:right w:val="none" w:sz="0" w:space="0" w:color="auto"/>
      </w:divBdr>
    </w:div>
    <w:div w:id="467432597">
      <w:bodyDiv w:val="1"/>
      <w:marLeft w:val="0"/>
      <w:marRight w:val="0"/>
      <w:marTop w:val="0"/>
      <w:marBottom w:val="0"/>
      <w:divBdr>
        <w:top w:val="none" w:sz="0" w:space="0" w:color="auto"/>
        <w:left w:val="none" w:sz="0" w:space="0" w:color="auto"/>
        <w:bottom w:val="none" w:sz="0" w:space="0" w:color="auto"/>
        <w:right w:val="none" w:sz="0" w:space="0" w:color="auto"/>
      </w:divBdr>
    </w:div>
    <w:div w:id="551115939">
      <w:bodyDiv w:val="1"/>
      <w:marLeft w:val="0"/>
      <w:marRight w:val="0"/>
      <w:marTop w:val="0"/>
      <w:marBottom w:val="0"/>
      <w:divBdr>
        <w:top w:val="none" w:sz="0" w:space="0" w:color="auto"/>
        <w:left w:val="none" w:sz="0" w:space="0" w:color="auto"/>
        <w:bottom w:val="none" w:sz="0" w:space="0" w:color="auto"/>
        <w:right w:val="none" w:sz="0" w:space="0" w:color="auto"/>
      </w:divBdr>
    </w:div>
    <w:div w:id="665936611">
      <w:bodyDiv w:val="1"/>
      <w:marLeft w:val="0"/>
      <w:marRight w:val="0"/>
      <w:marTop w:val="0"/>
      <w:marBottom w:val="0"/>
      <w:divBdr>
        <w:top w:val="none" w:sz="0" w:space="0" w:color="auto"/>
        <w:left w:val="none" w:sz="0" w:space="0" w:color="auto"/>
        <w:bottom w:val="none" w:sz="0" w:space="0" w:color="auto"/>
        <w:right w:val="none" w:sz="0" w:space="0" w:color="auto"/>
      </w:divBdr>
    </w:div>
    <w:div w:id="667901077">
      <w:bodyDiv w:val="1"/>
      <w:marLeft w:val="0"/>
      <w:marRight w:val="0"/>
      <w:marTop w:val="0"/>
      <w:marBottom w:val="0"/>
      <w:divBdr>
        <w:top w:val="none" w:sz="0" w:space="0" w:color="auto"/>
        <w:left w:val="none" w:sz="0" w:space="0" w:color="auto"/>
        <w:bottom w:val="none" w:sz="0" w:space="0" w:color="auto"/>
        <w:right w:val="none" w:sz="0" w:space="0" w:color="auto"/>
      </w:divBdr>
    </w:div>
    <w:div w:id="677345869">
      <w:bodyDiv w:val="1"/>
      <w:marLeft w:val="0"/>
      <w:marRight w:val="0"/>
      <w:marTop w:val="0"/>
      <w:marBottom w:val="0"/>
      <w:divBdr>
        <w:top w:val="none" w:sz="0" w:space="0" w:color="auto"/>
        <w:left w:val="none" w:sz="0" w:space="0" w:color="auto"/>
        <w:bottom w:val="none" w:sz="0" w:space="0" w:color="auto"/>
        <w:right w:val="none" w:sz="0" w:space="0" w:color="auto"/>
      </w:divBdr>
    </w:div>
    <w:div w:id="686179659">
      <w:bodyDiv w:val="1"/>
      <w:marLeft w:val="0"/>
      <w:marRight w:val="0"/>
      <w:marTop w:val="0"/>
      <w:marBottom w:val="0"/>
      <w:divBdr>
        <w:top w:val="none" w:sz="0" w:space="0" w:color="auto"/>
        <w:left w:val="none" w:sz="0" w:space="0" w:color="auto"/>
        <w:bottom w:val="none" w:sz="0" w:space="0" w:color="auto"/>
        <w:right w:val="none" w:sz="0" w:space="0" w:color="auto"/>
      </w:divBdr>
    </w:div>
    <w:div w:id="716243133">
      <w:bodyDiv w:val="1"/>
      <w:marLeft w:val="0"/>
      <w:marRight w:val="0"/>
      <w:marTop w:val="0"/>
      <w:marBottom w:val="0"/>
      <w:divBdr>
        <w:top w:val="none" w:sz="0" w:space="0" w:color="auto"/>
        <w:left w:val="none" w:sz="0" w:space="0" w:color="auto"/>
        <w:bottom w:val="none" w:sz="0" w:space="0" w:color="auto"/>
        <w:right w:val="none" w:sz="0" w:space="0" w:color="auto"/>
      </w:divBdr>
    </w:div>
    <w:div w:id="819420355">
      <w:bodyDiv w:val="1"/>
      <w:marLeft w:val="0"/>
      <w:marRight w:val="0"/>
      <w:marTop w:val="0"/>
      <w:marBottom w:val="0"/>
      <w:divBdr>
        <w:top w:val="none" w:sz="0" w:space="0" w:color="auto"/>
        <w:left w:val="none" w:sz="0" w:space="0" w:color="auto"/>
        <w:bottom w:val="none" w:sz="0" w:space="0" w:color="auto"/>
        <w:right w:val="none" w:sz="0" w:space="0" w:color="auto"/>
      </w:divBdr>
    </w:div>
    <w:div w:id="856770562">
      <w:bodyDiv w:val="1"/>
      <w:marLeft w:val="0"/>
      <w:marRight w:val="0"/>
      <w:marTop w:val="0"/>
      <w:marBottom w:val="0"/>
      <w:divBdr>
        <w:top w:val="none" w:sz="0" w:space="0" w:color="auto"/>
        <w:left w:val="none" w:sz="0" w:space="0" w:color="auto"/>
        <w:bottom w:val="none" w:sz="0" w:space="0" w:color="auto"/>
        <w:right w:val="none" w:sz="0" w:space="0" w:color="auto"/>
      </w:divBdr>
    </w:div>
    <w:div w:id="896354449">
      <w:bodyDiv w:val="1"/>
      <w:marLeft w:val="0"/>
      <w:marRight w:val="0"/>
      <w:marTop w:val="0"/>
      <w:marBottom w:val="0"/>
      <w:divBdr>
        <w:top w:val="none" w:sz="0" w:space="0" w:color="auto"/>
        <w:left w:val="none" w:sz="0" w:space="0" w:color="auto"/>
        <w:bottom w:val="none" w:sz="0" w:space="0" w:color="auto"/>
        <w:right w:val="none" w:sz="0" w:space="0" w:color="auto"/>
      </w:divBdr>
    </w:div>
    <w:div w:id="902911111">
      <w:bodyDiv w:val="1"/>
      <w:marLeft w:val="0"/>
      <w:marRight w:val="0"/>
      <w:marTop w:val="0"/>
      <w:marBottom w:val="0"/>
      <w:divBdr>
        <w:top w:val="none" w:sz="0" w:space="0" w:color="auto"/>
        <w:left w:val="none" w:sz="0" w:space="0" w:color="auto"/>
        <w:bottom w:val="none" w:sz="0" w:space="0" w:color="auto"/>
        <w:right w:val="none" w:sz="0" w:space="0" w:color="auto"/>
      </w:divBdr>
    </w:div>
    <w:div w:id="1244484214">
      <w:bodyDiv w:val="1"/>
      <w:marLeft w:val="0"/>
      <w:marRight w:val="0"/>
      <w:marTop w:val="0"/>
      <w:marBottom w:val="0"/>
      <w:divBdr>
        <w:top w:val="none" w:sz="0" w:space="0" w:color="auto"/>
        <w:left w:val="none" w:sz="0" w:space="0" w:color="auto"/>
        <w:bottom w:val="none" w:sz="0" w:space="0" w:color="auto"/>
        <w:right w:val="none" w:sz="0" w:space="0" w:color="auto"/>
      </w:divBdr>
    </w:div>
    <w:div w:id="1304694556">
      <w:bodyDiv w:val="1"/>
      <w:marLeft w:val="0"/>
      <w:marRight w:val="0"/>
      <w:marTop w:val="0"/>
      <w:marBottom w:val="0"/>
      <w:divBdr>
        <w:top w:val="none" w:sz="0" w:space="0" w:color="auto"/>
        <w:left w:val="none" w:sz="0" w:space="0" w:color="auto"/>
        <w:bottom w:val="none" w:sz="0" w:space="0" w:color="auto"/>
        <w:right w:val="none" w:sz="0" w:space="0" w:color="auto"/>
      </w:divBdr>
    </w:div>
    <w:div w:id="1330408917">
      <w:bodyDiv w:val="1"/>
      <w:marLeft w:val="0"/>
      <w:marRight w:val="0"/>
      <w:marTop w:val="0"/>
      <w:marBottom w:val="0"/>
      <w:divBdr>
        <w:top w:val="none" w:sz="0" w:space="0" w:color="auto"/>
        <w:left w:val="none" w:sz="0" w:space="0" w:color="auto"/>
        <w:bottom w:val="none" w:sz="0" w:space="0" w:color="auto"/>
        <w:right w:val="none" w:sz="0" w:space="0" w:color="auto"/>
      </w:divBdr>
    </w:div>
    <w:div w:id="1389306137">
      <w:bodyDiv w:val="1"/>
      <w:marLeft w:val="0"/>
      <w:marRight w:val="0"/>
      <w:marTop w:val="0"/>
      <w:marBottom w:val="0"/>
      <w:divBdr>
        <w:top w:val="none" w:sz="0" w:space="0" w:color="auto"/>
        <w:left w:val="none" w:sz="0" w:space="0" w:color="auto"/>
        <w:bottom w:val="none" w:sz="0" w:space="0" w:color="auto"/>
        <w:right w:val="none" w:sz="0" w:space="0" w:color="auto"/>
      </w:divBdr>
    </w:div>
    <w:div w:id="1436638300">
      <w:bodyDiv w:val="1"/>
      <w:marLeft w:val="0"/>
      <w:marRight w:val="0"/>
      <w:marTop w:val="0"/>
      <w:marBottom w:val="0"/>
      <w:divBdr>
        <w:top w:val="none" w:sz="0" w:space="0" w:color="auto"/>
        <w:left w:val="none" w:sz="0" w:space="0" w:color="auto"/>
        <w:bottom w:val="none" w:sz="0" w:space="0" w:color="auto"/>
        <w:right w:val="none" w:sz="0" w:space="0" w:color="auto"/>
      </w:divBdr>
    </w:div>
    <w:div w:id="1466659815">
      <w:bodyDiv w:val="1"/>
      <w:marLeft w:val="0"/>
      <w:marRight w:val="0"/>
      <w:marTop w:val="0"/>
      <w:marBottom w:val="0"/>
      <w:divBdr>
        <w:top w:val="none" w:sz="0" w:space="0" w:color="auto"/>
        <w:left w:val="none" w:sz="0" w:space="0" w:color="auto"/>
        <w:bottom w:val="none" w:sz="0" w:space="0" w:color="auto"/>
        <w:right w:val="none" w:sz="0" w:space="0" w:color="auto"/>
      </w:divBdr>
    </w:div>
    <w:div w:id="1596015642">
      <w:bodyDiv w:val="1"/>
      <w:marLeft w:val="0"/>
      <w:marRight w:val="0"/>
      <w:marTop w:val="0"/>
      <w:marBottom w:val="0"/>
      <w:divBdr>
        <w:top w:val="none" w:sz="0" w:space="0" w:color="auto"/>
        <w:left w:val="none" w:sz="0" w:space="0" w:color="auto"/>
        <w:bottom w:val="none" w:sz="0" w:space="0" w:color="auto"/>
        <w:right w:val="none" w:sz="0" w:space="0" w:color="auto"/>
      </w:divBdr>
    </w:div>
    <w:div w:id="1654409417">
      <w:bodyDiv w:val="1"/>
      <w:marLeft w:val="0"/>
      <w:marRight w:val="0"/>
      <w:marTop w:val="0"/>
      <w:marBottom w:val="0"/>
      <w:divBdr>
        <w:top w:val="none" w:sz="0" w:space="0" w:color="auto"/>
        <w:left w:val="none" w:sz="0" w:space="0" w:color="auto"/>
        <w:bottom w:val="none" w:sz="0" w:space="0" w:color="auto"/>
        <w:right w:val="none" w:sz="0" w:space="0" w:color="auto"/>
      </w:divBdr>
    </w:div>
    <w:div w:id="1657033341">
      <w:bodyDiv w:val="1"/>
      <w:marLeft w:val="0"/>
      <w:marRight w:val="0"/>
      <w:marTop w:val="0"/>
      <w:marBottom w:val="0"/>
      <w:divBdr>
        <w:top w:val="none" w:sz="0" w:space="0" w:color="auto"/>
        <w:left w:val="none" w:sz="0" w:space="0" w:color="auto"/>
        <w:bottom w:val="none" w:sz="0" w:space="0" w:color="auto"/>
        <w:right w:val="none" w:sz="0" w:space="0" w:color="auto"/>
      </w:divBdr>
    </w:div>
    <w:div w:id="1657151941">
      <w:bodyDiv w:val="1"/>
      <w:marLeft w:val="0"/>
      <w:marRight w:val="0"/>
      <w:marTop w:val="0"/>
      <w:marBottom w:val="0"/>
      <w:divBdr>
        <w:top w:val="none" w:sz="0" w:space="0" w:color="auto"/>
        <w:left w:val="none" w:sz="0" w:space="0" w:color="auto"/>
        <w:bottom w:val="none" w:sz="0" w:space="0" w:color="auto"/>
        <w:right w:val="none" w:sz="0" w:space="0" w:color="auto"/>
      </w:divBdr>
    </w:div>
    <w:div w:id="1733457182">
      <w:bodyDiv w:val="1"/>
      <w:marLeft w:val="0"/>
      <w:marRight w:val="0"/>
      <w:marTop w:val="0"/>
      <w:marBottom w:val="0"/>
      <w:divBdr>
        <w:top w:val="none" w:sz="0" w:space="0" w:color="auto"/>
        <w:left w:val="none" w:sz="0" w:space="0" w:color="auto"/>
        <w:bottom w:val="none" w:sz="0" w:space="0" w:color="auto"/>
        <w:right w:val="none" w:sz="0" w:space="0" w:color="auto"/>
      </w:divBdr>
    </w:div>
    <w:div w:id="1755321859">
      <w:bodyDiv w:val="1"/>
      <w:marLeft w:val="0"/>
      <w:marRight w:val="0"/>
      <w:marTop w:val="0"/>
      <w:marBottom w:val="0"/>
      <w:divBdr>
        <w:top w:val="none" w:sz="0" w:space="0" w:color="auto"/>
        <w:left w:val="none" w:sz="0" w:space="0" w:color="auto"/>
        <w:bottom w:val="none" w:sz="0" w:space="0" w:color="auto"/>
        <w:right w:val="none" w:sz="0" w:space="0" w:color="auto"/>
      </w:divBdr>
    </w:div>
    <w:div w:id="1836457158">
      <w:bodyDiv w:val="1"/>
      <w:marLeft w:val="0"/>
      <w:marRight w:val="0"/>
      <w:marTop w:val="0"/>
      <w:marBottom w:val="0"/>
      <w:divBdr>
        <w:top w:val="none" w:sz="0" w:space="0" w:color="auto"/>
        <w:left w:val="none" w:sz="0" w:space="0" w:color="auto"/>
        <w:bottom w:val="none" w:sz="0" w:space="0" w:color="auto"/>
        <w:right w:val="none" w:sz="0" w:space="0" w:color="auto"/>
      </w:divBdr>
    </w:div>
    <w:div w:id="1838642979">
      <w:bodyDiv w:val="1"/>
      <w:marLeft w:val="0"/>
      <w:marRight w:val="0"/>
      <w:marTop w:val="0"/>
      <w:marBottom w:val="0"/>
      <w:divBdr>
        <w:top w:val="none" w:sz="0" w:space="0" w:color="auto"/>
        <w:left w:val="none" w:sz="0" w:space="0" w:color="auto"/>
        <w:bottom w:val="none" w:sz="0" w:space="0" w:color="auto"/>
        <w:right w:val="none" w:sz="0" w:space="0" w:color="auto"/>
      </w:divBdr>
    </w:div>
    <w:div w:id="1838694998">
      <w:bodyDiv w:val="1"/>
      <w:marLeft w:val="0"/>
      <w:marRight w:val="0"/>
      <w:marTop w:val="0"/>
      <w:marBottom w:val="0"/>
      <w:divBdr>
        <w:top w:val="none" w:sz="0" w:space="0" w:color="auto"/>
        <w:left w:val="none" w:sz="0" w:space="0" w:color="auto"/>
        <w:bottom w:val="none" w:sz="0" w:space="0" w:color="auto"/>
        <w:right w:val="none" w:sz="0" w:space="0" w:color="auto"/>
      </w:divBdr>
    </w:div>
    <w:div w:id="1954167893">
      <w:bodyDiv w:val="1"/>
      <w:marLeft w:val="0"/>
      <w:marRight w:val="0"/>
      <w:marTop w:val="0"/>
      <w:marBottom w:val="0"/>
      <w:divBdr>
        <w:top w:val="none" w:sz="0" w:space="0" w:color="auto"/>
        <w:left w:val="none" w:sz="0" w:space="0" w:color="auto"/>
        <w:bottom w:val="none" w:sz="0" w:space="0" w:color="auto"/>
        <w:right w:val="none" w:sz="0" w:space="0" w:color="auto"/>
      </w:divBdr>
    </w:div>
    <w:div w:id="1962296256">
      <w:bodyDiv w:val="1"/>
      <w:marLeft w:val="0"/>
      <w:marRight w:val="0"/>
      <w:marTop w:val="0"/>
      <w:marBottom w:val="0"/>
      <w:divBdr>
        <w:top w:val="none" w:sz="0" w:space="0" w:color="auto"/>
        <w:left w:val="none" w:sz="0" w:space="0" w:color="auto"/>
        <w:bottom w:val="none" w:sz="0" w:space="0" w:color="auto"/>
        <w:right w:val="none" w:sz="0" w:space="0" w:color="auto"/>
      </w:divBdr>
    </w:div>
    <w:div w:id="2004964068">
      <w:bodyDiv w:val="1"/>
      <w:marLeft w:val="0"/>
      <w:marRight w:val="0"/>
      <w:marTop w:val="0"/>
      <w:marBottom w:val="0"/>
      <w:divBdr>
        <w:top w:val="none" w:sz="0" w:space="0" w:color="auto"/>
        <w:left w:val="none" w:sz="0" w:space="0" w:color="auto"/>
        <w:bottom w:val="none" w:sz="0" w:space="0" w:color="auto"/>
        <w:right w:val="none" w:sz="0" w:space="0" w:color="auto"/>
      </w:divBdr>
    </w:div>
    <w:div w:id="207639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4/relationships/chartEx" Target="charts/chartEx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Uni\assessment3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ni\assessment3stats.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E:\Uni\assessment3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[assessment3stats.xlsx]Suggestion2!PivotTable2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Suggestion2!$B$2</c:f>
              <c:strCache>
                <c:ptCount val="1"/>
                <c:pt idx="0">
                  <c:v>Total</c:v>
                </c:pt>
              </c:strCache>
            </c:strRef>
          </c:tx>
          <c:spPr>
            <a:solidFill>
              <a:schemeClr val="accent1"/>
            </a:solidFill>
            <a:ln>
              <a:noFill/>
            </a:ln>
            <a:effectLst/>
          </c:spPr>
          <c:invertIfNegative val="0"/>
          <c:cat>
            <c:strRef>
              <c:f>Suggestion2!$A$3:$A$26</c:f>
              <c:strCache>
                <c:ptCount val="23"/>
                <c:pt idx="0">
                  <c:v>Russia</c:v>
                </c:pt>
                <c:pt idx="1">
                  <c:v>Canada</c:v>
                </c:pt>
                <c:pt idx="2">
                  <c:v>United States</c:v>
                </c:pt>
                <c:pt idx="3">
                  <c:v>Argentina</c:v>
                </c:pt>
                <c:pt idx="4">
                  <c:v>Mauritania</c:v>
                </c:pt>
                <c:pt idx="5">
                  <c:v>Zambia</c:v>
                </c:pt>
                <c:pt idx="6">
                  <c:v>Republic of the Congo</c:v>
                </c:pt>
                <c:pt idx="7">
                  <c:v>Finland</c:v>
                </c:pt>
                <c:pt idx="8">
                  <c:v>Kyrgyzstan</c:v>
                </c:pt>
                <c:pt idx="9">
                  <c:v>Senegal</c:v>
                </c:pt>
                <c:pt idx="10">
                  <c:v>Uruguay</c:v>
                </c:pt>
                <c:pt idx="11">
                  <c:v>Republic of Ireland</c:v>
                </c:pt>
                <c:pt idx="12">
                  <c:v>Kuwait</c:v>
                </c:pt>
                <c:pt idx="13">
                  <c:v>Eswatini</c:v>
                </c:pt>
                <c:pt idx="14">
                  <c:v>Trinidad and Tobago</c:v>
                </c:pt>
                <c:pt idx="15">
                  <c:v>Mauritius</c:v>
                </c:pt>
                <c:pt idx="16">
                  <c:v>Tonga</c:v>
                </c:pt>
                <c:pt idx="17">
                  <c:v>Seychelles</c:v>
                </c:pt>
                <c:pt idx="18">
                  <c:v>Grenada</c:v>
                </c:pt>
                <c:pt idx="19">
                  <c:v>Tuvalu</c:v>
                </c:pt>
                <c:pt idx="20">
                  <c:v>Nauru</c:v>
                </c:pt>
                <c:pt idx="21">
                  <c:v>Monaco</c:v>
                </c:pt>
                <c:pt idx="22">
                  <c:v>Vatican City</c:v>
                </c:pt>
              </c:strCache>
            </c:strRef>
          </c:cat>
          <c:val>
            <c:numRef>
              <c:f>Suggestion2!$B$3:$B$26</c:f>
              <c:numCache>
                <c:formatCode>#,##0</c:formatCode>
                <c:ptCount val="23"/>
                <c:pt idx="0">
                  <c:v>17098240</c:v>
                </c:pt>
                <c:pt idx="1">
                  <c:v>9984670</c:v>
                </c:pt>
                <c:pt idx="2">
                  <c:v>9833517</c:v>
                </c:pt>
                <c:pt idx="3">
                  <c:v>2780400</c:v>
                </c:pt>
                <c:pt idx="4">
                  <c:v>1030700</c:v>
                </c:pt>
                <c:pt idx="5">
                  <c:v>752618</c:v>
                </c:pt>
                <c:pt idx="6">
                  <c:v>342000</c:v>
                </c:pt>
                <c:pt idx="7">
                  <c:v>338145</c:v>
                </c:pt>
                <c:pt idx="8">
                  <c:v>199951</c:v>
                </c:pt>
                <c:pt idx="9">
                  <c:v>196722</c:v>
                </c:pt>
                <c:pt idx="10">
                  <c:v>176215</c:v>
                </c:pt>
                <c:pt idx="11">
                  <c:v>70273</c:v>
                </c:pt>
                <c:pt idx="12">
                  <c:v>17818</c:v>
                </c:pt>
                <c:pt idx="13">
                  <c:v>17364</c:v>
                </c:pt>
                <c:pt idx="14">
                  <c:v>5128</c:v>
                </c:pt>
                <c:pt idx="15">
                  <c:v>2040</c:v>
                </c:pt>
                <c:pt idx="16">
                  <c:v>747</c:v>
                </c:pt>
                <c:pt idx="17">
                  <c:v>455</c:v>
                </c:pt>
                <c:pt idx="18">
                  <c:v>349</c:v>
                </c:pt>
                <c:pt idx="19">
                  <c:v>26</c:v>
                </c:pt>
                <c:pt idx="20">
                  <c:v>21</c:v>
                </c:pt>
                <c:pt idx="21">
                  <c:v>2</c:v>
                </c:pt>
                <c:pt idx="22">
                  <c:v>0.4</c:v>
                </c:pt>
              </c:numCache>
            </c:numRef>
          </c:val>
          <c:extLst>
            <c:ext xmlns:c16="http://schemas.microsoft.com/office/drawing/2014/chart" uri="{C3380CC4-5D6E-409C-BE32-E72D297353CC}">
              <c16:uniqueId val="{00000000-FECC-40BC-A215-9833F634C14A}"/>
            </c:ext>
          </c:extLst>
        </c:ser>
        <c:dLbls>
          <c:showLegendKey val="0"/>
          <c:showVal val="0"/>
          <c:showCatName val="0"/>
          <c:showSerName val="0"/>
          <c:showPercent val="0"/>
          <c:showBubbleSize val="0"/>
        </c:dLbls>
        <c:gapWidth val="219"/>
        <c:overlap val="-27"/>
        <c:axId val="1374648000"/>
        <c:axId val="1145727424"/>
      </c:barChart>
      <c:catAx>
        <c:axId val="1374648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Sample Countries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727424"/>
        <c:crosses val="autoZero"/>
        <c:auto val="1"/>
        <c:lblAlgn val="ctr"/>
        <c:lblOffset val="100"/>
        <c:noMultiLvlLbl val="0"/>
      </c:catAx>
      <c:valAx>
        <c:axId val="1145727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Area in KM2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648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Field: </a:t>
            </a:r>
            <a:r>
              <a:rPr lang="en-US">
                <a:solidFill>
                  <a:srgbClr val="DD5A13"/>
                </a:solidFill>
              </a:rPr>
              <a:t>Infant mortality</a:t>
            </a:r>
            <a:r>
              <a:rPr lang="en-US"/>
              <a:t> and Field: </a:t>
            </a:r>
            <a:r>
              <a:rPr lang="en-US">
                <a:solidFill>
                  <a:srgbClr val="DD5A13"/>
                </a:solidFill>
              </a:rPr>
              <a:t>Life expectancy</a:t>
            </a:r>
            <a:r>
              <a:rPr lang="en-US"/>
              <a:t> appear highly correlated.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'Bivariate Analysis'!$C$1</c:f>
              <c:strCache>
                <c:ptCount val="1"/>
                <c:pt idx="0">
                  <c:v>Life expectancy</c:v>
                </c:pt>
              </c:strCache>
            </c:strRef>
          </c:tx>
          <c:spPr>
            <a:ln w="25400" cap="rnd">
              <a:noFill/>
              <a:round/>
            </a:ln>
            <a:effectLst/>
          </c:spPr>
          <c:marker>
            <c:symbol val="circle"/>
            <c:size val="7"/>
            <c:spPr>
              <a:solidFill>
                <a:srgbClr val="ED7331"/>
              </a:solidFill>
              <a:ln w="9525">
                <a:solidFill>
                  <a:srgbClr val="FFFFFF"/>
                </a:solidFill>
                <a:prstDash val="solid"/>
              </a:ln>
              <a:effectLst/>
            </c:spPr>
          </c:marker>
          <c:trendline>
            <c:spPr>
              <a:ln w="19050" cap="rnd">
                <a:solidFill>
                  <a:srgbClr val="ED7331"/>
                </a:solidFill>
                <a:prstDash val="sysDot"/>
              </a:ln>
              <a:effectLst/>
            </c:spPr>
            <c:trendlineType val="linear"/>
            <c:dispRSqr val="0"/>
            <c:dispEq val="0"/>
          </c:trendline>
          <c:xVal>
            <c:numRef>
              <c:f>'Bivariate Analysis'!$B$2:$B$196</c:f>
              <c:numCache>
                <c:formatCode>General</c:formatCode>
                <c:ptCount val="195"/>
                <c:pt idx="0">
                  <c:v>47.9</c:v>
                </c:pt>
                <c:pt idx="1">
                  <c:v>7.8</c:v>
                </c:pt>
                <c:pt idx="2">
                  <c:v>20.100000000000001</c:v>
                </c:pt>
                <c:pt idx="3">
                  <c:v>2.7</c:v>
                </c:pt>
                <c:pt idx="4">
                  <c:v>51.6</c:v>
                </c:pt>
                <c:pt idx="5">
                  <c:v>5</c:v>
                </c:pt>
                <c:pt idx="6">
                  <c:v>8.8000000000000007</c:v>
                </c:pt>
                <c:pt idx="7">
                  <c:v>11</c:v>
                </c:pt>
                <c:pt idx="8">
                  <c:v>3.1</c:v>
                </c:pt>
                <c:pt idx="9">
                  <c:v>2.9</c:v>
                </c:pt>
                <c:pt idx="10">
                  <c:v>19.2</c:v>
                </c:pt>
                <c:pt idx="11">
                  <c:v>8.3000000000000007</c:v>
                </c:pt>
                <c:pt idx="12">
                  <c:v>6.1</c:v>
                </c:pt>
                <c:pt idx="13">
                  <c:v>25.1</c:v>
                </c:pt>
                <c:pt idx="14">
                  <c:v>11.3</c:v>
                </c:pt>
                <c:pt idx="15">
                  <c:v>2.6</c:v>
                </c:pt>
                <c:pt idx="16">
                  <c:v>2.9</c:v>
                </c:pt>
                <c:pt idx="17">
                  <c:v>11.2</c:v>
                </c:pt>
                <c:pt idx="18">
                  <c:v>60.5</c:v>
                </c:pt>
                <c:pt idx="19">
                  <c:v>24.8</c:v>
                </c:pt>
                <c:pt idx="20">
                  <c:v>21.8</c:v>
                </c:pt>
                <c:pt idx="21">
                  <c:v>5</c:v>
                </c:pt>
                <c:pt idx="22">
                  <c:v>30</c:v>
                </c:pt>
                <c:pt idx="23">
                  <c:v>12.8</c:v>
                </c:pt>
                <c:pt idx="24">
                  <c:v>9.8000000000000007</c:v>
                </c:pt>
                <c:pt idx="25">
                  <c:v>5.9</c:v>
                </c:pt>
                <c:pt idx="26">
                  <c:v>49</c:v>
                </c:pt>
                <c:pt idx="27">
                  <c:v>41</c:v>
                </c:pt>
                <c:pt idx="28">
                  <c:v>59.4</c:v>
                </c:pt>
                <c:pt idx="29">
                  <c:v>16.7</c:v>
                </c:pt>
                <c:pt idx="30">
                  <c:v>24</c:v>
                </c:pt>
                <c:pt idx="31">
                  <c:v>50.6</c:v>
                </c:pt>
                <c:pt idx="32">
                  <c:v>4.3</c:v>
                </c:pt>
                <c:pt idx="33">
                  <c:v>84.5</c:v>
                </c:pt>
                <c:pt idx="34">
                  <c:v>71.400000000000006</c:v>
                </c:pt>
                <c:pt idx="35">
                  <c:v>6.2</c:v>
                </c:pt>
                <c:pt idx="36">
                  <c:v>7.4</c:v>
                </c:pt>
                <c:pt idx="37">
                  <c:v>12.2</c:v>
                </c:pt>
                <c:pt idx="38">
                  <c:v>51.3</c:v>
                </c:pt>
                <c:pt idx="39">
                  <c:v>36.200000000000003</c:v>
                </c:pt>
                <c:pt idx="40">
                  <c:v>7.6</c:v>
                </c:pt>
                <c:pt idx="41">
                  <c:v>4</c:v>
                </c:pt>
                <c:pt idx="42">
                  <c:v>3.7</c:v>
                </c:pt>
                <c:pt idx="43">
                  <c:v>1.9</c:v>
                </c:pt>
                <c:pt idx="44">
                  <c:v>2.7</c:v>
                </c:pt>
                <c:pt idx="45">
                  <c:v>68.2</c:v>
                </c:pt>
                <c:pt idx="46">
                  <c:v>3.6</c:v>
                </c:pt>
                <c:pt idx="47">
                  <c:v>49.8</c:v>
                </c:pt>
                <c:pt idx="48">
                  <c:v>32.9</c:v>
                </c:pt>
                <c:pt idx="49">
                  <c:v>24.1</c:v>
                </c:pt>
                <c:pt idx="50">
                  <c:v>12.2</c:v>
                </c:pt>
                <c:pt idx="51">
                  <c:v>18.100000000000001</c:v>
                </c:pt>
                <c:pt idx="52">
                  <c:v>11.8</c:v>
                </c:pt>
                <c:pt idx="53">
                  <c:v>62.6</c:v>
                </c:pt>
                <c:pt idx="54">
                  <c:v>31.3</c:v>
                </c:pt>
                <c:pt idx="55">
                  <c:v>2.1</c:v>
                </c:pt>
                <c:pt idx="57">
                  <c:v>39.1</c:v>
                </c:pt>
                <c:pt idx="58">
                  <c:v>21.6</c:v>
                </c:pt>
                <c:pt idx="59">
                  <c:v>1.4</c:v>
                </c:pt>
                <c:pt idx="60">
                  <c:v>3.4</c:v>
                </c:pt>
                <c:pt idx="61">
                  <c:v>32.700000000000003</c:v>
                </c:pt>
                <c:pt idx="62">
                  <c:v>39</c:v>
                </c:pt>
                <c:pt idx="63">
                  <c:v>8.6999999999999993</c:v>
                </c:pt>
                <c:pt idx="64">
                  <c:v>3.1</c:v>
                </c:pt>
                <c:pt idx="65">
                  <c:v>34.9</c:v>
                </c:pt>
                <c:pt idx="66">
                  <c:v>3.6</c:v>
                </c:pt>
                <c:pt idx="67">
                  <c:v>13.7</c:v>
                </c:pt>
                <c:pt idx="68">
                  <c:v>22.1</c:v>
                </c:pt>
                <c:pt idx="69">
                  <c:v>64.900000000000006</c:v>
                </c:pt>
                <c:pt idx="70">
                  <c:v>54</c:v>
                </c:pt>
                <c:pt idx="71">
                  <c:v>25.1</c:v>
                </c:pt>
                <c:pt idx="72">
                  <c:v>49.5</c:v>
                </c:pt>
                <c:pt idx="74">
                  <c:v>15.1</c:v>
                </c:pt>
                <c:pt idx="75">
                  <c:v>3.6</c:v>
                </c:pt>
                <c:pt idx="76">
                  <c:v>1.5</c:v>
                </c:pt>
                <c:pt idx="77">
                  <c:v>29.9</c:v>
                </c:pt>
                <c:pt idx="78">
                  <c:v>21.1</c:v>
                </c:pt>
                <c:pt idx="79">
                  <c:v>12.4</c:v>
                </c:pt>
                <c:pt idx="80">
                  <c:v>22.5</c:v>
                </c:pt>
                <c:pt idx="81">
                  <c:v>3.1</c:v>
                </c:pt>
                <c:pt idx="82">
                  <c:v>3</c:v>
                </c:pt>
                <c:pt idx="83">
                  <c:v>2.6</c:v>
                </c:pt>
                <c:pt idx="84">
                  <c:v>12.4</c:v>
                </c:pt>
                <c:pt idx="85">
                  <c:v>1.8</c:v>
                </c:pt>
                <c:pt idx="86">
                  <c:v>13.9</c:v>
                </c:pt>
                <c:pt idx="87">
                  <c:v>8.8000000000000007</c:v>
                </c:pt>
                <c:pt idx="88">
                  <c:v>30.6</c:v>
                </c:pt>
                <c:pt idx="89">
                  <c:v>41.2</c:v>
                </c:pt>
                <c:pt idx="90">
                  <c:v>6.7</c:v>
                </c:pt>
                <c:pt idx="91">
                  <c:v>16.899999999999999</c:v>
                </c:pt>
                <c:pt idx="92">
                  <c:v>37.6</c:v>
                </c:pt>
                <c:pt idx="93">
                  <c:v>3.3</c:v>
                </c:pt>
                <c:pt idx="94">
                  <c:v>6.4</c:v>
                </c:pt>
                <c:pt idx="95">
                  <c:v>65.7</c:v>
                </c:pt>
                <c:pt idx="96">
                  <c:v>53.5</c:v>
                </c:pt>
                <c:pt idx="97">
                  <c:v>10.199999999999999</c:v>
                </c:pt>
                <c:pt idx="99">
                  <c:v>3.3</c:v>
                </c:pt>
                <c:pt idx="100">
                  <c:v>1.9</c:v>
                </c:pt>
                <c:pt idx="101">
                  <c:v>38.200000000000003</c:v>
                </c:pt>
                <c:pt idx="102">
                  <c:v>35.299999999999997</c:v>
                </c:pt>
                <c:pt idx="103">
                  <c:v>6.7</c:v>
                </c:pt>
                <c:pt idx="104">
                  <c:v>7.4</c:v>
                </c:pt>
                <c:pt idx="105">
                  <c:v>62</c:v>
                </c:pt>
                <c:pt idx="106">
                  <c:v>6.1</c:v>
                </c:pt>
                <c:pt idx="107">
                  <c:v>27.4</c:v>
                </c:pt>
                <c:pt idx="108">
                  <c:v>51.5</c:v>
                </c:pt>
                <c:pt idx="109">
                  <c:v>13.6</c:v>
                </c:pt>
                <c:pt idx="110">
                  <c:v>11</c:v>
                </c:pt>
                <c:pt idx="111">
                  <c:v>25.6</c:v>
                </c:pt>
                <c:pt idx="112">
                  <c:v>13.6</c:v>
                </c:pt>
                <c:pt idx="113">
                  <c:v>2.6</c:v>
                </c:pt>
                <c:pt idx="114">
                  <c:v>14</c:v>
                </c:pt>
                <c:pt idx="115">
                  <c:v>2.2999999999999998</c:v>
                </c:pt>
                <c:pt idx="116">
                  <c:v>19.2</c:v>
                </c:pt>
                <c:pt idx="117">
                  <c:v>54</c:v>
                </c:pt>
                <c:pt idx="118">
                  <c:v>36.799999999999997</c:v>
                </c:pt>
                <c:pt idx="119">
                  <c:v>29</c:v>
                </c:pt>
                <c:pt idx="121">
                  <c:v>26.7</c:v>
                </c:pt>
                <c:pt idx="122">
                  <c:v>3.3</c:v>
                </c:pt>
                <c:pt idx="123">
                  <c:v>4.7</c:v>
                </c:pt>
                <c:pt idx="124">
                  <c:v>15.7</c:v>
                </c:pt>
                <c:pt idx="125">
                  <c:v>48</c:v>
                </c:pt>
                <c:pt idx="126">
                  <c:v>75.7</c:v>
                </c:pt>
                <c:pt idx="127">
                  <c:v>13.7</c:v>
                </c:pt>
                <c:pt idx="129">
                  <c:v>2.1</c:v>
                </c:pt>
                <c:pt idx="130">
                  <c:v>9.8000000000000007</c:v>
                </c:pt>
                <c:pt idx="131">
                  <c:v>57.2</c:v>
                </c:pt>
                <c:pt idx="132">
                  <c:v>16.600000000000001</c:v>
                </c:pt>
                <c:pt idx="134">
                  <c:v>13.1</c:v>
                </c:pt>
                <c:pt idx="135">
                  <c:v>38</c:v>
                </c:pt>
                <c:pt idx="136">
                  <c:v>17.2</c:v>
                </c:pt>
                <c:pt idx="137">
                  <c:v>11.1</c:v>
                </c:pt>
                <c:pt idx="138">
                  <c:v>22.5</c:v>
                </c:pt>
                <c:pt idx="139">
                  <c:v>3.8</c:v>
                </c:pt>
                <c:pt idx="140">
                  <c:v>3.1</c:v>
                </c:pt>
                <c:pt idx="141">
                  <c:v>5.8</c:v>
                </c:pt>
                <c:pt idx="142">
                  <c:v>6.1</c:v>
                </c:pt>
                <c:pt idx="143">
                  <c:v>6.1</c:v>
                </c:pt>
                <c:pt idx="144">
                  <c:v>27</c:v>
                </c:pt>
                <c:pt idx="145">
                  <c:v>9.8000000000000007</c:v>
                </c:pt>
                <c:pt idx="146">
                  <c:v>14.9</c:v>
                </c:pt>
                <c:pt idx="147">
                  <c:v>14.8</c:v>
                </c:pt>
                <c:pt idx="148">
                  <c:v>13.6</c:v>
                </c:pt>
                <c:pt idx="149">
                  <c:v>1.7</c:v>
                </c:pt>
                <c:pt idx="150">
                  <c:v>24.4</c:v>
                </c:pt>
                <c:pt idx="151">
                  <c:v>6</c:v>
                </c:pt>
                <c:pt idx="152">
                  <c:v>31.8</c:v>
                </c:pt>
                <c:pt idx="153">
                  <c:v>4.8</c:v>
                </c:pt>
                <c:pt idx="154">
                  <c:v>12.4</c:v>
                </c:pt>
                <c:pt idx="155">
                  <c:v>78.5</c:v>
                </c:pt>
                <c:pt idx="156">
                  <c:v>2.2999999999999998</c:v>
                </c:pt>
                <c:pt idx="157">
                  <c:v>4.5999999999999996</c:v>
                </c:pt>
                <c:pt idx="158">
                  <c:v>1.7</c:v>
                </c:pt>
                <c:pt idx="159">
                  <c:v>17.100000000000001</c:v>
                </c:pt>
                <c:pt idx="160">
                  <c:v>76.599999999999994</c:v>
                </c:pt>
                <c:pt idx="161">
                  <c:v>28.5</c:v>
                </c:pt>
                <c:pt idx="162">
                  <c:v>2.7</c:v>
                </c:pt>
                <c:pt idx="163">
                  <c:v>63.7</c:v>
                </c:pt>
                <c:pt idx="164">
                  <c:v>2.5</c:v>
                </c:pt>
                <c:pt idx="165">
                  <c:v>6.4</c:v>
                </c:pt>
                <c:pt idx="166">
                  <c:v>42.1</c:v>
                </c:pt>
                <c:pt idx="167">
                  <c:v>16.899999999999999</c:v>
                </c:pt>
                <c:pt idx="168">
                  <c:v>2.2000000000000002</c:v>
                </c:pt>
                <c:pt idx="169">
                  <c:v>3.7</c:v>
                </c:pt>
                <c:pt idx="170">
                  <c:v>14</c:v>
                </c:pt>
                <c:pt idx="171">
                  <c:v>30.4</c:v>
                </c:pt>
                <c:pt idx="172">
                  <c:v>37.6</c:v>
                </c:pt>
                <c:pt idx="173">
                  <c:v>7.8</c:v>
                </c:pt>
                <c:pt idx="174">
                  <c:v>39.299999999999997</c:v>
                </c:pt>
                <c:pt idx="175">
                  <c:v>47.4</c:v>
                </c:pt>
                <c:pt idx="176">
                  <c:v>13.4</c:v>
                </c:pt>
                <c:pt idx="177">
                  <c:v>16.399999999999999</c:v>
                </c:pt>
                <c:pt idx="178">
                  <c:v>14.6</c:v>
                </c:pt>
                <c:pt idx="179">
                  <c:v>9.1</c:v>
                </c:pt>
                <c:pt idx="180">
                  <c:v>39.299999999999997</c:v>
                </c:pt>
                <c:pt idx="181">
                  <c:v>20.6</c:v>
                </c:pt>
                <c:pt idx="182">
                  <c:v>33.799999999999997</c:v>
                </c:pt>
                <c:pt idx="183">
                  <c:v>7.5</c:v>
                </c:pt>
                <c:pt idx="184">
                  <c:v>6.5</c:v>
                </c:pt>
                <c:pt idx="185">
                  <c:v>3.6</c:v>
                </c:pt>
                <c:pt idx="186">
                  <c:v>5.6</c:v>
                </c:pt>
                <c:pt idx="187">
                  <c:v>6.4</c:v>
                </c:pt>
                <c:pt idx="188">
                  <c:v>19.100000000000001</c:v>
                </c:pt>
                <c:pt idx="189">
                  <c:v>22.3</c:v>
                </c:pt>
                <c:pt idx="190">
                  <c:v>21.4</c:v>
                </c:pt>
                <c:pt idx="191">
                  <c:v>16.5</c:v>
                </c:pt>
                <c:pt idx="192">
                  <c:v>42.9</c:v>
                </c:pt>
                <c:pt idx="193">
                  <c:v>40.4</c:v>
                </c:pt>
                <c:pt idx="194">
                  <c:v>33.9</c:v>
                </c:pt>
              </c:numCache>
            </c:numRef>
          </c:xVal>
          <c:yVal>
            <c:numRef>
              <c:f>'Bivariate Analysis'!$C$2:$C$196</c:f>
              <c:numCache>
                <c:formatCode>General</c:formatCode>
                <c:ptCount val="195"/>
                <c:pt idx="0">
                  <c:v>64.5</c:v>
                </c:pt>
                <c:pt idx="1">
                  <c:v>78.5</c:v>
                </c:pt>
                <c:pt idx="2">
                  <c:v>76.7</c:v>
                </c:pt>
                <c:pt idx="4">
                  <c:v>60.8</c:v>
                </c:pt>
                <c:pt idx="5">
                  <c:v>76.900000000000006</c:v>
                </c:pt>
                <c:pt idx="6">
                  <c:v>76.5</c:v>
                </c:pt>
                <c:pt idx="7">
                  <c:v>74.900000000000006</c:v>
                </c:pt>
                <c:pt idx="8">
                  <c:v>82.7</c:v>
                </c:pt>
                <c:pt idx="9">
                  <c:v>81.599999999999994</c:v>
                </c:pt>
                <c:pt idx="10">
                  <c:v>72.900000000000006</c:v>
                </c:pt>
                <c:pt idx="11">
                  <c:v>73.8</c:v>
                </c:pt>
                <c:pt idx="12">
                  <c:v>77.2</c:v>
                </c:pt>
                <c:pt idx="13">
                  <c:v>72.3</c:v>
                </c:pt>
                <c:pt idx="14">
                  <c:v>79.099999999999994</c:v>
                </c:pt>
                <c:pt idx="15">
                  <c:v>74.2</c:v>
                </c:pt>
                <c:pt idx="16">
                  <c:v>81.599999999999994</c:v>
                </c:pt>
                <c:pt idx="17">
                  <c:v>74.5</c:v>
                </c:pt>
                <c:pt idx="18">
                  <c:v>61.5</c:v>
                </c:pt>
                <c:pt idx="19">
                  <c:v>71.5</c:v>
                </c:pt>
                <c:pt idx="20">
                  <c:v>71.2</c:v>
                </c:pt>
                <c:pt idx="21">
                  <c:v>77.3</c:v>
                </c:pt>
                <c:pt idx="22">
                  <c:v>69.3</c:v>
                </c:pt>
                <c:pt idx="23">
                  <c:v>75.7</c:v>
                </c:pt>
                <c:pt idx="24">
                  <c:v>75.7</c:v>
                </c:pt>
                <c:pt idx="25">
                  <c:v>74.900000000000006</c:v>
                </c:pt>
                <c:pt idx="26">
                  <c:v>61.2</c:v>
                </c:pt>
                <c:pt idx="27">
                  <c:v>61.2</c:v>
                </c:pt>
                <c:pt idx="28">
                  <c:v>57.4</c:v>
                </c:pt>
                <c:pt idx="29">
                  <c:v>72.8</c:v>
                </c:pt>
                <c:pt idx="30">
                  <c:v>69.599999999999994</c:v>
                </c:pt>
                <c:pt idx="31">
                  <c:v>58.9</c:v>
                </c:pt>
                <c:pt idx="32">
                  <c:v>81.900000000000006</c:v>
                </c:pt>
                <c:pt idx="33">
                  <c:v>52.8</c:v>
                </c:pt>
                <c:pt idx="34">
                  <c:v>54</c:v>
                </c:pt>
                <c:pt idx="35">
                  <c:v>80</c:v>
                </c:pt>
                <c:pt idx="36">
                  <c:v>77</c:v>
                </c:pt>
                <c:pt idx="37">
                  <c:v>77.099999999999994</c:v>
                </c:pt>
                <c:pt idx="38">
                  <c:v>64.099999999999994</c:v>
                </c:pt>
                <c:pt idx="39">
                  <c:v>64.3</c:v>
                </c:pt>
                <c:pt idx="40">
                  <c:v>80.099999999999994</c:v>
                </c:pt>
                <c:pt idx="41">
                  <c:v>78.099999999999994</c:v>
                </c:pt>
                <c:pt idx="42">
                  <c:v>78.7</c:v>
                </c:pt>
                <c:pt idx="43">
                  <c:v>80.8</c:v>
                </c:pt>
                <c:pt idx="44">
                  <c:v>79</c:v>
                </c:pt>
                <c:pt idx="45">
                  <c:v>60.4</c:v>
                </c:pt>
                <c:pt idx="46">
                  <c:v>81</c:v>
                </c:pt>
                <c:pt idx="47">
                  <c:v>66.599999999999994</c:v>
                </c:pt>
                <c:pt idx="48">
                  <c:v>76.599999999999994</c:v>
                </c:pt>
                <c:pt idx="49">
                  <c:v>73.900000000000006</c:v>
                </c:pt>
                <c:pt idx="50">
                  <c:v>76.8</c:v>
                </c:pt>
                <c:pt idx="51">
                  <c:v>71.8</c:v>
                </c:pt>
                <c:pt idx="52">
                  <c:v>73.099999999999994</c:v>
                </c:pt>
                <c:pt idx="53">
                  <c:v>58.4</c:v>
                </c:pt>
                <c:pt idx="54">
                  <c:v>65.900000000000006</c:v>
                </c:pt>
                <c:pt idx="55">
                  <c:v>78.2</c:v>
                </c:pt>
                <c:pt idx="57">
                  <c:v>66.2</c:v>
                </c:pt>
                <c:pt idx="58">
                  <c:v>67.3</c:v>
                </c:pt>
                <c:pt idx="59">
                  <c:v>81.7</c:v>
                </c:pt>
                <c:pt idx="60">
                  <c:v>82.5</c:v>
                </c:pt>
                <c:pt idx="61">
                  <c:v>66.2</c:v>
                </c:pt>
                <c:pt idx="62">
                  <c:v>61.7</c:v>
                </c:pt>
                <c:pt idx="63">
                  <c:v>73.599999999999994</c:v>
                </c:pt>
                <c:pt idx="64">
                  <c:v>80.900000000000006</c:v>
                </c:pt>
                <c:pt idx="65">
                  <c:v>63.8</c:v>
                </c:pt>
                <c:pt idx="66">
                  <c:v>81.3</c:v>
                </c:pt>
                <c:pt idx="67">
                  <c:v>72.400000000000006</c:v>
                </c:pt>
                <c:pt idx="68">
                  <c:v>74.099999999999994</c:v>
                </c:pt>
                <c:pt idx="69">
                  <c:v>61.2</c:v>
                </c:pt>
                <c:pt idx="70">
                  <c:v>58</c:v>
                </c:pt>
                <c:pt idx="71">
                  <c:v>69.8</c:v>
                </c:pt>
                <c:pt idx="72">
                  <c:v>63.7</c:v>
                </c:pt>
                <c:pt idx="74">
                  <c:v>75.099999999999994</c:v>
                </c:pt>
                <c:pt idx="75">
                  <c:v>75.8</c:v>
                </c:pt>
                <c:pt idx="76">
                  <c:v>82.7</c:v>
                </c:pt>
                <c:pt idx="77">
                  <c:v>69.400000000000006</c:v>
                </c:pt>
                <c:pt idx="78">
                  <c:v>71.5</c:v>
                </c:pt>
                <c:pt idx="79">
                  <c:v>76.5</c:v>
                </c:pt>
                <c:pt idx="80">
                  <c:v>70.5</c:v>
                </c:pt>
                <c:pt idx="81">
                  <c:v>82.3</c:v>
                </c:pt>
                <c:pt idx="82">
                  <c:v>82.8</c:v>
                </c:pt>
                <c:pt idx="83">
                  <c:v>82.9</c:v>
                </c:pt>
                <c:pt idx="84">
                  <c:v>74.400000000000006</c:v>
                </c:pt>
                <c:pt idx="85">
                  <c:v>84.2</c:v>
                </c:pt>
                <c:pt idx="86">
                  <c:v>74.400000000000006</c:v>
                </c:pt>
                <c:pt idx="87">
                  <c:v>73.2</c:v>
                </c:pt>
                <c:pt idx="88">
                  <c:v>66.3</c:v>
                </c:pt>
                <c:pt idx="89">
                  <c:v>68.099999999999994</c:v>
                </c:pt>
                <c:pt idx="90">
                  <c:v>75.400000000000006</c:v>
                </c:pt>
                <c:pt idx="91">
                  <c:v>71.400000000000006</c:v>
                </c:pt>
                <c:pt idx="92">
                  <c:v>67.599999999999994</c:v>
                </c:pt>
                <c:pt idx="93">
                  <c:v>74.7</c:v>
                </c:pt>
                <c:pt idx="94">
                  <c:v>78.900000000000006</c:v>
                </c:pt>
                <c:pt idx="95">
                  <c:v>53.7</c:v>
                </c:pt>
                <c:pt idx="96">
                  <c:v>63.7</c:v>
                </c:pt>
                <c:pt idx="97">
                  <c:v>72.7</c:v>
                </c:pt>
                <c:pt idx="98">
                  <c:v>83</c:v>
                </c:pt>
                <c:pt idx="99">
                  <c:v>75.7</c:v>
                </c:pt>
                <c:pt idx="100">
                  <c:v>82.1</c:v>
                </c:pt>
                <c:pt idx="101">
                  <c:v>66.7</c:v>
                </c:pt>
                <c:pt idx="102">
                  <c:v>63.8</c:v>
                </c:pt>
                <c:pt idx="103">
                  <c:v>76</c:v>
                </c:pt>
                <c:pt idx="104">
                  <c:v>78.599999999999994</c:v>
                </c:pt>
                <c:pt idx="105">
                  <c:v>58.9</c:v>
                </c:pt>
                <c:pt idx="106">
                  <c:v>82.3</c:v>
                </c:pt>
                <c:pt idx="107">
                  <c:v>65.2</c:v>
                </c:pt>
                <c:pt idx="108">
                  <c:v>64.7</c:v>
                </c:pt>
                <c:pt idx="109">
                  <c:v>74.400000000000006</c:v>
                </c:pt>
                <c:pt idx="110">
                  <c:v>75</c:v>
                </c:pt>
                <c:pt idx="111">
                  <c:v>67.8</c:v>
                </c:pt>
                <c:pt idx="112">
                  <c:v>71.8</c:v>
                </c:pt>
                <c:pt idx="114">
                  <c:v>69.7</c:v>
                </c:pt>
                <c:pt idx="115">
                  <c:v>76.8</c:v>
                </c:pt>
                <c:pt idx="116">
                  <c:v>76.5</c:v>
                </c:pt>
                <c:pt idx="117">
                  <c:v>60.2</c:v>
                </c:pt>
                <c:pt idx="118">
                  <c:v>66.900000000000006</c:v>
                </c:pt>
                <c:pt idx="119">
                  <c:v>63.4</c:v>
                </c:pt>
                <c:pt idx="121">
                  <c:v>70.5</c:v>
                </c:pt>
                <c:pt idx="122">
                  <c:v>81.8</c:v>
                </c:pt>
                <c:pt idx="123">
                  <c:v>81.900000000000006</c:v>
                </c:pt>
                <c:pt idx="124">
                  <c:v>74.3</c:v>
                </c:pt>
                <c:pt idx="125">
                  <c:v>62</c:v>
                </c:pt>
                <c:pt idx="126">
                  <c:v>54.3</c:v>
                </c:pt>
                <c:pt idx="127">
                  <c:v>72.099999999999994</c:v>
                </c:pt>
                <c:pt idx="129">
                  <c:v>82.8</c:v>
                </c:pt>
                <c:pt idx="130">
                  <c:v>77.599999999999994</c:v>
                </c:pt>
                <c:pt idx="131">
                  <c:v>67.099999999999994</c:v>
                </c:pt>
                <c:pt idx="132">
                  <c:v>69.099999999999994</c:v>
                </c:pt>
                <c:pt idx="134">
                  <c:v>78.3</c:v>
                </c:pt>
                <c:pt idx="135">
                  <c:v>64.3</c:v>
                </c:pt>
                <c:pt idx="136">
                  <c:v>74.099999999999994</c:v>
                </c:pt>
                <c:pt idx="137">
                  <c:v>76.5</c:v>
                </c:pt>
                <c:pt idx="138">
                  <c:v>71.099999999999994</c:v>
                </c:pt>
                <c:pt idx="139">
                  <c:v>77.599999999999994</c:v>
                </c:pt>
                <c:pt idx="140">
                  <c:v>81.3</c:v>
                </c:pt>
                <c:pt idx="141">
                  <c:v>80.099999999999994</c:v>
                </c:pt>
                <c:pt idx="142">
                  <c:v>75.400000000000006</c:v>
                </c:pt>
                <c:pt idx="143">
                  <c:v>72.7</c:v>
                </c:pt>
                <c:pt idx="144">
                  <c:v>68.7</c:v>
                </c:pt>
                <c:pt idx="145">
                  <c:v>71.3</c:v>
                </c:pt>
                <c:pt idx="146">
                  <c:v>76.099999999999994</c:v>
                </c:pt>
                <c:pt idx="147">
                  <c:v>72.400000000000006</c:v>
                </c:pt>
                <c:pt idx="148">
                  <c:v>73.2</c:v>
                </c:pt>
                <c:pt idx="149">
                  <c:v>85.4</c:v>
                </c:pt>
                <c:pt idx="150">
                  <c:v>70.2</c:v>
                </c:pt>
                <c:pt idx="151">
                  <c:v>75</c:v>
                </c:pt>
                <c:pt idx="152">
                  <c:v>67.7</c:v>
                </c:pt>
                <c:pt idx="153">
                  <c:v>75.5</c:v>
                </c:pt>
                <c:pt idx="154">
                  <c:v>72.8</c:v>
                </c:pt>
                <c:pt idx="155">
                  <c:v>54.3</c:v>
                </c:pt>
                <c:pt idx="156">
                  <c:v>83.1</c:v>
                </c:pt>
                <c:pt idx="157">
                  <c:v>77.2</c:v>
                </c:pt>
                <c:pt idx="158">
                  <c:v>81</c:v>
                </c:pt>
                <c:pt idx="159">
                  <c:v>72.8</c:v>
                </c:pt>
                <c:pt idx="160">
                  <c:v>57.1</c:v>
                </c:pt>
                <c:pt idx="161">
                  <c:v>63.9</c:v>
                </c:pt>
                <c:pt idx="162">
                  <c:v>82.6</c:v>
                </c:pt>
                <c:pt idx="163">
                  <c:v>57.6</c:v>
                </c:pt>
                <c:pt idx="164">
                  <c:v>83.3</c:v>
                </c:pt>
                <c:pt idx="165">
                  <c:v>76.8</c:v>
                </c:pt>
                <c:pt idx="166">
                  <c:v>65.099999999999994</c:v>
                </c:pt>
                <c:pt idx="167">
                  <c:v>71.599999999999994</c:v>
                </c:pt>
                <c:pt idx="168">
                  <c:v>82.5</c:v>
                </c:pt>
                <c:pt idx="169">
                  <c:v>83.6</c:v>
                </c:pt>
                <c:pt idx="170">
                  <c:v>71.8</c:v>
                </c:pt>
                <c:pt idx="171">
                  <c:v>70.900000000000006</c:v>
                </c:pt>
                <c:pt idx="172">
                  <c:v>65</c:v>
                </c:pt>
                <c:pt idx="173">
                  <c:v>76.900000000000006</c:v>
                </c:pt>
                <c:pt idx="174">
                  <c:v>69.3</c:v>
                </c:pt>
                <c:pt idx="175">
                  <c:v>60.8</c:v>
                </c:pt>
                <c:pt idx="176">
                  <c:v>70.8</c:v>
                </c:pt>
                <c:pt idx="177">
                  <c:v>73.400000000000006</c:v>
                </c:pt>
                <c:pt idx="178">
                  <c:v>76.5</c:v>
                </c:pt>
                <c:pt idx="179">
                  <c:v>77.400000000000006</c:v>
                </c:pt>
                <c:pt idx="180">
                  <c:v>68.099999999999994</c:v>
                </c:pt>
                <c:pt idx="182">
                  <c:v>63</c:v>
                </c:pt>
                <c:pt idx="183">
                  <c:v>71.599999999999994</c:v>
                </c:pt>
                <c:pt idx="184">
                  <c:v>77.8</c:v>
                </c:pt>
                <c:pt idx="185">
                  <c:v>81.3</c:v>
                </c:pt>
                <c:pt idx="186">
                  <c:v>78.5</c:v>
                </c:pt>
                <c:pt idx="187">
                  <c:v>77.8</c:v>
                </c:pt>
                <c:pt idx="188">
                  <c:v>71.599999999999994</c:v>
                </c:pt>
                <c:pt idx="189">
                  <c:v>70.3</c:v>
                </c:pt>
                <c:pt idx="190">
                  <c:v>72.099999999999994</c:v>
                </c:pt>
                <c:pt idx="191">
                  <c:v>75.3</c:v>
                </c:pt>
                <c:pt idx="192">
                  <c:v>66.099999999999994</c:v>
                </c:pt>
                <c:pt idx="193">
                  <c:v>63.5</c:v>
                </c:pt>
                <c:pt idx="194">
                  <c:v>61.2</c:v>
                </c:pt>
              </c:numCache>
            </c:numRef>
          </c:yVal>
          <c:smooth val="0"/>
          <c:extLst>
            <c:ext xmlns:c16="http://schemas.microsoft.com/office/drawing/2014/chart" uri="{C3380CC4-5D6E-409C-BE32-E72D297353CC}">
              <c16:uniqueId val="{00000001-1194-493F-A8B5-AFF105B902A8}"/>
            </c:ext>
          </c:extLst>
        </c:ser>
        <c:dLbls>
          <c:showLegendKey val="0"/>
          <c:showVal val="0"/>
          <c:showCatName val="0"/>
          <c:showSerName val="0"/>
          <c:showPercent val="0"/>
          <c:showBubbleSize val="0"/>
        </c:dLbls>
        <c:axId val="285373359"/>
        <c:axId val="1375647535"/>
      </c:scatterChart>
      <c:valAx>
        <c:axId val="2853733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Infant mortality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647535"/>
        <c:crosses val="autoZero"/>
        <c:crossBetween val="midCat"/>
      </c:valAx>
      <c:valAx>
        <c:axId val="1375647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Life expectancy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3733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'Bivariate Analysis'!$B$2:$B$196</cx:f>
        <cx:lvl ptCount="195" formatCode="General">
          <cx:pt idx="0">47.899999999999999</cx:pt>
          <cx:pt idx="1">7.7999999999999998</cx:pt>
          <cx:pt idx="2">20.100000000000001</cx:pt>
          <cx:pt idx="3">2.7000000000000002</cx:pt>
          <cx:pt idx="4">51.600000000000001</cx:pt>
          <cx:pt idx="5">5</cx:pt>
          <cx:pt idx="6">8.8000000000000007</cx:pt>
          <cx:pt idx="7">11</cx:pt>
          <cx:pt idx="8">3.1000000000000001</cx:pt>
          <cx:pt idx="9">2.8999999999999999</cx:pt>
          <cx:pt idx="10">19.199999999999999</cx:pt>
          <cx:pt idx="11">8.3000000000000007</cx:pt>
          <cx:pt idx="12">6.0999999999999996</cx:pt>
          <cx:pt idx="13">25.100000000000001</cx:pt>
          <cx:pt idx="14">11.300000000000001</cx:pt>
          <cx:pt idx="15">2.6000000000000001</cx:pt>
          <cx:pt idx="16">2.8999999999999999</cx:pt>
          <cx:pt idx="17">11.199999999999999</cx:pt>
          <cx:pt idx="18">60.5</cx:pt>
          <cx:pt idx="19">24.800000000000001</cx:pt>
          <cx:pt idx="20">21.800000000000001</cx:pt>
          <cx:pt idx="21">5</cx:pt>
          <cx:pt idx="22">30</cx:pt>
          <cx:pt idx="23">12.800000000000001</cx:pt>
          <cx:pt idx="24">9.8000000000000007</cx:pt>
          <cx:pt idx="25">5.9000000000000004</cx:pt>
          <cx:pt idx="26">49</cx:pt>
          <cx:pt idx="27">41</cx:pt>
          <cx:pt idx="28">59.399999999999999</cx:pt>
          <cx:pt idx="29">16.699999999999999</cx:pt>
          <cx:pt idx="30">24</cx:pt>
          <cx:pt idx="31">50.600000000000001</cx:pt>
          <cx:pt idx="32">4.2999999999999998</cx:pt>
          <cx:pt idx="33">84.5</cx:pt>
          <cx:pt idx="34">71.400000000000006</cx:pt>
          <cx:pt idx="35">6.2000000000000002</cx:pt>
          <cx:pt idx="36">7.4000000000000004</cx:pt>
          <cx:pt idx="37">12.199999999999999</cx:pt>
          <cx:pt idx="38">51.299999999999997</cx:pt>
          <cx:pt idx="39">36.200000000000003</cx:pt>
          <cx:pt idx="40">7.5999999999999996</cx:pt>
          <cx:pt idx="41">4</cx:pt>
          <cx:pt idx="42">3.7000000000000002</cx:pt>
          <cx:pt idx="43">1.8999999999999999</cx:pt>
          <cx:pt idx="44">2.7000000000000002</cx:pt>
          <cx:pt idx="45">68.200000000000003</cx:pt>
          <cx:pt idx="46">3.6000000000000001</cx:pt>
          <cx:pt idx="47">49.799999999999997</cx:pt>
          <cx:pt idx="48">32.899999999999999</cx:pt>
          <cx:pt idx="49">24.100000000000001</cx:pt>
          <cx:pt idx="50">12.199999999999999</cx:pt>
          <cx:pt idx="51">18.100000000000001</cx:pt>
          <cx:pt idx="52">11.800000000000001</cx:pt>
          <cx:pt idx="53">62.600000000000001</cx:pt>
          <cx:pt idx="54">31.300000000000001</cx:pt>
          <cx:pt idx="55">2.1000000000000001</cx:pt>
          <cx:pt idx="57">39.100000000000001</cx:pt>
          <cx:pt idx="58">21.600000000000001</cx:pt>
          <cx:pt idx="59">1.3999999999999999</cx:pt>
          <cx:pt idx="60">3.3999999999999999</cx:pt>
          <cx:pt idx="61">32.700000000000003</cx:pt>
          <cx:pt idx="62">39</cx:pt>
          <cx:pt idx="63">8.6999999999999993</cx:pt>
          <cx:pt idx="64">3.1000000000000001</cx:pt>
          <cx:pt idx="65">34.899999999999999</cx:pt>
          <cx:pt idx="66">3.6000000000000001</cx:pt>
          <cx:pt idx="67">13.699999999999999</cx:pt>
          <cx:pt idx="68">22.100000000000001</cx:pt>
          <cx:pt idx="69">64.900000000000006</cx:pt>
          <cx:pt idx="70">54</cx:pt>
          <cx:pt idx="71">25.100000000000001</cx:pt>
          <cx:pt idx="72">49.5</cx:pt>
          <cx:pt idx="74">15.1</cx:pt>
          <cx:pt idx="75">3.6000000000000001</cx:pt>
          <cx:pt idx="76">1.5</cx:pt>
          <cx:pt idx="77">29.899999999999999</cx:pt>
          <cx:pt idx="78">21.100000000000001</cx:pt>
          <cx:pt idx="79">12.4</cx:pt>
          <cx:pt idx="80">22.5</cx:pt>
          <cx:pt idx="81">3.1000000000000001</cx:pt>
          <cx:pt idx="82">3</cx:pt>
          <cx:pt idx="83">2.6000000000000001</cx:pt>
          <cx:pt idx="84">12.4</cx:pt>
          <cx:pt idx="85">1.8</cx:pt>
          <cx:pt idx="86">13.9</cx:pt>
          <cx:pt idx="87">8.8000000000000007</cx:pt>
          <cx:pt idx="88">30.600000000000001</cx:pt>
          <cx:pt idx="89">41.200000000000003</cx:pt>
          <cx:pt idx="90">6.7000000000000002</cx:pt>
          <cx:pt idx="91">16.899999999999999</cx:pt>
          <cx:pt idx="92">37.600000000000001</cx:pt>
          <cx:pt idx="93">3.2999999999999998</cx:pt>
          <cx:pt idx="94">6.4000000000000004</cx:pt>
          <cx:pt idx="95">65.700000000000003</cx:pt>
          <cx:pt idx="96">53.5</cx:pt>
          <cx:pt idx="97">10.199999999999999</cx:pt>
          <cx:pt idx="99">3.2999999999999998</cx:pt>
          <cx:pt idx="100">1.8999999999999999</cx:pt>
          <cx:pt idx="101">38.200000000000003</cx:pt>
          <cx:pt idx="102">35.299999999999997</cx:pt>
          <cx:pt idx="103">6.7000000000000002</cx:pt>
          <cx:pt idx="104">7.4000000000000004</cx:pt>
          <cx:pt idx="105">62</cx:pt>
          <cx:pt idx="106">6.0999999999999996</cx:pt>
          <cx:pt idx="107">27.399999999999999</cx:pt>
          <cx:pt idx="108">51.5</cx:pt>
          <cx:pt idx="109">13.6</cx:pt>
          <cx:pt idx="110">11</cx:pt>
          <cx:pt idx="111">25.600000000000001</cx:pt>
          <cx:pt idx="112">13.6</cx:pt>
          <cx:pt idx="113">2.6000000000000001</cx:pt>
          <cx:pt idx="114">14</cx:pt>
          <cx:pt idx="115">2.2999999999999998</cx:pt>
          <cx:pt idx="116">19.199999999999999</cx:pt>
          <cx:pt idx="117">54</cx:pt>
          <cx:pt idx="118">36.799999999999997</cx:pt>
          <cx:pt idx="119">29</cx:pt>
          <cx:pt idx="121">26.699999999999999</cx:pt>
          <cx:pt idx="122">3.2999999999999998</cx:pt>
          <cx:pt idx="123">4.7000000000000002</cx:pt>
          <cx:pt idx="124">15.699999999999999</cx:pt>
          <cx:pt idx="125">48</cx:pt>
          <cx:pt idx="126">75.700000000000003</cx:pt>
          <cx:pt idx="127">13.699999999999999</cx:pt>
          <cx:pt idx="129">2.1000000000000001</cx:pt>
          <cx:pt idx="130">9.8000000000000007</cx:pt>
          <cx:pt idx="131">57.200000000000003</cx:pt>
          <cx:pt idx="132">16.600000000000001</cx:pt>
          <cx:pt idx="134">13.1</cx:pt>
          <cx:pt idx="135">38</cx:pt>
          <cx:pt idx="136">17.199999999999999</cx:pt>
          <cx:pt idx="137">11.1</cx:pt>
          <cx:pt idx="138">22.5</cx:pt>
          <cx:pt idx="139">3.7999999999999998</cx:pt>
          <cx:pt idx="140">3.1000000000000001</cx:pt>
          <cx:pt idx="141">5.7999999999999998</cx:pt>
          <cx:pt idx="142">6.0999999999999996</cx:pt>
          <cx:pt idx="143">6.0999999999999996</cx:pt>
          <cx:pt idx="144">27</cx:pt>
          <cx:pt idx="145">9.8000000000000007</cx:pt>
          <cx:pt idx="146">14.9</cx:pt>
          <cx:pt idx="147">14.800000000000001</cx:pt>
          <cx:pt idx="148">13.6</cx:pt>
          <cx:pt idx="149">1.7</cx:pt>
          <cx:pt idx="150">24.399999999999999</cx:pt>
          <cx:pt idx="151">6</cx:pt>
          <cx:pt idx="152">31.800000000000001</cx:pt>
          <cx:pt idx="153">4.7999999999999998</cx:pt>
          <cx:pt idx="154">12.4</cx:pt>
          <cx:pt idx="155">78.5</cx:pt>
          <cx:pt idx="156">2.2999999999999998</cx:pt>
          <cx:pt idx="157">4.5999999999999996</cx:pt>
          <cx:pt idx="158">1.7</cx:pt>
          <cx:pt idx="159">17.100000000000001</cx:pt>
          <cx:pt idx="160">76.599999999999994</cx:pt>
          <cx:pt idx="161">28.5</cx:pt>
          <cx:pt idx="162">2.7000000000000002</cx:pt>
          <cx:pt idx="163">63.700000000000003</cx:pt>
          <cx:pt idx="164">2.5</cx:pt>
          <cx:pt idx="165">6.4000000000000004</cx:pt>
          <cx:pt idx="166">42.100000000000001</cx:pt>
          <cx:pt idx="167">16.899999999999999</cx:pt>
          <cx:pt idx="168">2.2000000000000002</cx:pt>
          <cx:pt idx="169">3.7000000000000002</cx:pt>
          <cx:pt idx="170">14</cx:pt>
          <cx:pt idx="171">30.399999999999999</cx:pt>
          <cx:pt idx="172">37.600000000000001</cx:pt>
          <cx:pt idx="173">7.7999999999999998</cx:pt>
          <cx:pt idx="174">39.299999999999997</cx:pt>
          <cx:pt idx="175">47.399999999999999</cx:pt>
          <cx:pt idx="176">13.4</cx:pt>
          <cx:pt idx="177">16.399999999999999</cx:pt>
          <cx:pt idx="178">14.6</cx:pt>
          <cx:pt idx="179">9.0999999999999996</cx:pt>
          <cx:pt idx="180">39.299999999999997</cx:pt>
          <cx:pt idx="181">20.600000000000001</cx:pt>
          <cx:pt idx="182">33.799999999999997</cx:pt>
          <cx:pt idx="183">7.5</cx:pt>
          <cx:pt idx="184">6.5</cx:pt>
          <cx:pt idx="185">3.6000000000000001</cx:pt>
          <cx:pt idx="186">5.5999999999999996</cx:pt>
          <cx:pt idx="187">6.4000000000000004</cx:pt>
          <cx:pt idx="188">19.100000000000001</cx:pt>
          <cx:pt idx="189">22.300000000000001</cx:pt>
          <cx:pt idx="190">21.399999999999999</cx:pt>
          <cx:pt idx="191">16.5</cx:pt>
          <cx:pt idx="192">42.899999999999999</cx:pt>
          <cx:pt idx="193">40.399999999999999</cx:pt>
          <cx:pt idx="194">33.899999999999999</cx:pt>
        </cx:lvl>
      </cx:numDim>
    </cx:data>
    <cx:data id="1">
      <cx:numDim type="val">
        <cx:f>'Bivariate Analysis'!$C$2:$C$196</cx:f>
        <cx:lvl ptCount="195" formatCode="General">
          <cx:pt idx="0">64.5</cx:pt>
          <cx:pt idx="1">78.5</cx:pt>
          <cx:pt idx="2">76.700000000000003</cx:pt>
          <cx:pt idx="4">60.799999999999997</cx:pt>
          <cx:pt idx="5">76.900000000000006</cx:pt>
          <cx:pt idx="6">76.5</cx:pt>
          <cx:pt idx="7">74.900000000000006</cx:pt>
          <cx:pt idx="8">82.700000000000003</cx:pt>
          <cx:pt idx="9">81.599999999999994</cx:pt>
          <cx:pt idx="10">72.900000000000006</cx:pt>
          <cx:pt idx="11">73.799999999999997</cx:pt>
          <cx:pt idx="12">77.200000000000003</cx:pt>
          <cx:pt idx="13">72.299999999999997</cx:pt>
          <cx:pt idx="14">79.099999999999994</cx:pt>
          <cx:pt idx="15">74.200000000000003</cx:pt>
          <cx:pt idx="16">81.599999999999994</cx:pt>
          <cx:pt idx="17">74.5</cx:pt>
          <cx:pt idx="18">61.5</cx:pt>
          <cx:pt idx="19">71.5</cx:pt>
          <cx:pt idx="20">71.200000000000003</cx:pt>
          <cx:pt idx="21">77.299999999999997</cx:pt>
          <cx:pt idx="22">69.299999999999997</cx:pt>
          <cx:pt idx="23">75.700000000000003</cx:pt>
          <cx:pt idx="24">75.700000000000003</cx:pt>
          <cx:pt idx="25">74.900000000000006</cx:pt>
          <cx:pt idx="26">61.200000000000003</cx:pt>
          <cx:pt idx="27">61.200000000000003</cx:pt>
          <cx:pt idx="28">57.399999999999999</cx:pt>
          <cx:pt idx="29">72.799999999999997</cx:pt>
          <cx:pt idx="30">69.599999999999994</cx:pt>
          <cx:pt idx="31">58.899999999999999</cx:pt>
          <cx:pt idx="32">81.900000000000006</cx:pt>
          <cx:pt idx="33">52.799999999999997</cx:pt>
          <cx:pt idx="34">54</cx:pt>
          <cx:pt idx="35">80</cx:pt>
          <cx:pt idx="36">77</cx:pt>
          <cx:pt idx="37">77.099999999999994</cx:pt>
          <cx:pt idx="38">64.099999999999994</cx:pt>
          <cx:pt idx="39">64.299999999999997</cx:pt>
          <cx:pt idx="40">80.099999999999994</cx:pt>
          <cx:pt idx="41">78.099999999999994</cx:pt>
          <cx:pt idx="42">78.700000000000003</cx:pt>
          <cx:pt idx="43">80.799999999999997</cx:pt>
          <cx:pt idx="44">79</cx:pt>
          <cx:pt idx="45">60.399999999999999</cx:pt>
          <cx:pt idx="46">81</cx:pt>
          <cx:pt idx="47">66.599999999999994</cx:pt>
          <cx:pt idx="48">76.599999999999994</cx:pt>
          <cx:pt idx="49">73.900000000000006</cx:pt>
          <cx:pt idx="50">76.799999999999997</cx:pt>
          <cx:pt idx="51">71.799999999999997</cx:pt>
          <cx:pt idx="52">73.099999999999994</cx:pt>
          <cx:pt idx="53">58.399999999999999</cx:pt>
          <cx:pt idx="54">65.900000000000006</cx:pt>
          <cx:pt idx="55">78.200000000000003</cx:pt>
          <cx:pt idx="57">66.200000000000003</cx:pt>
          <cx:pt idx="58">67.299999999999997</cx:pt>
          <cx:pt idx="59">81.700000000000003</cx:pt>
          <cx:pt idx="60">82.5</cx:pt>
          <cx:pt idx="61">66.200000000000003</cx:pt>
          <cx:pt idx="62">61.700000000000003</cx:pt>
          <cx:pt idx="63">73.599999999999994</cx:pt>
          <cx:pt idx="64">80.900000000000006</cx:pt>
          <cx:pt idx="65">63.799999999999997</cx:pt>
          <cx:pt idx="66">81.299999999999997</cx:pt>
          <cx:pt idx="67">72.400000000000006</cx:pt>
          <cx:pt idx="68">74.099999999999994</cx:pt>
          <cx:pt idx="69">61.200000000000003</cx:pt>
          <cx:pt idx="70">58</cx:pt>
          <cx:pt idx="71">69.799999999999997</cx:pt>
          <cx:pt idx="72">63.700000000000003</cx:pt>
          <cx:pt idx="74">75.099999999999994</cx:pt>
          <cx:pt idx="75">75.799999999999997</cx:pt>
          <cx:pt idx="76">82.700000000000003</cx:pt>
          <cx:pt idx="77">69.400000000000006</cx:pt>
          <cx:pt idx="78">71.5</cx:pt>
          <cx:pt idx="79">76.5</cx:pt>
          <cx:pt idx="80">70.5</cx:pt>
          <cx:pt idx="81">82.299999999999997</cx:pt>
          <cx:pt idx="82">82.799999999999997</cx:pt>
          <cx:pt idx="83">82.900000000000006</cx:pt>
          <cx:pt idx="84">74.400000000000006</cx:pt>
          <cx:pt idx="85">84.200000000000003</cx:pt>
          <cx:pt idx="86">74.400000000000006</cx:pt>
          <cx:pt idx="87">73.200000000000003</cx:pt>
          <cx:pt idx="88">66.299999999999997</cx:pt>
          <cx:pt idx="89">68.099999999999994</cx:pt>
          <cx:pt idx="90">75.400000000000006</cx:pt>
          <cx:pt idx="91">71.400000000000006</cx:pt>
          <cx:pt idx="92">67.599999999999994</cx:pt>
          <cx:pt idx="93">74.700000000000003</cx:pt>
          <cx:pt idx="94">78.900000000000006</cx:pt>
          <cx:pt idx="95">53.700000000000003</cx:pt>
          <cx:pt idx="96">63.700000000000003</cx:pt>
          <cx:pt idx="97">72.700000000000003</cx:pt>
          <cx:pt idx="98">83</cx:pt>
          <cx:pt idx="99">75.700000000000003</cx:pt>
          <cx:pt idx="100">82.099999999999994</cx:pt>
          <cx:pt idx="101">66.700000000000003</cx:pt>
          <cx:pt idx="102">63.799999999999997</cx:pt>
          <cx:pt idx="103">76</cx:pt>
          <cx:pt idx="104">78.599999999999994</cx:pt>
          <cx:pt idx="105">58.899999999999999</cx:pt>
          <cx:pt idx="106">82.299999999999997</cx:pt>
          <cx:pt idx="107">65.200000000000003</cx:pt>
          <cx:pt idx="108">64.700000000000003</cx:pt>
          <cx:pt idx="109">74.400000000000006</cx:pt>
          <cx:pt idx="110">75</cx:pt>
          <cx:pt idx="111">67.799999999999997</cx:pt>
          <cx:pt idx="112">71.799999999999997</cx:pt>
          <cx:pt idx="114">69.700000000000003</cx:pt>
          <cx:pt idx="115">76.799999999999997</cx:pt>
          <cx:pt idx="116">76.5</cx:pt>
          <cx:pt idx="117">60.200000000000003</cx:pt>
          <cx:pt idx="118">66.900000000000006</cx:pt>
          <cx:pt idx="119">63.399999999999999</cx:pt>
          <cx:pt idx="121">70.5</cx:pt>
          <cx:pt idx="122">81.799999999999997</cx:pt>
          <cx:pt idx="123">81.900000000000006</cx:pt>
          <cx:pt idx="124">74.299999999999997</cx:pt>
          <cx:pt idx="125">62</cx:pt>
          <cx:pt idx="126">54.299999999999997</cx:pt>
          <cx:pt idx="127">72.099999999999994</cx:pt>
          <cx:pt idx="129">82.799999999999997</cx:pt>
          <cx:pt idx="130">77.599999999999994</cx:pt>
          <cx:pt idx="131">67.099999999999994</cx:pt>
          <cx:pt idx="132">69.099999999999994</cx:pt>
          <cx:pt idx="134">78.299999999999997</cx:pt>
          <cx:pt idx="135">64.299999999999997</cx:pt>
          <cx:pt idx="136">74.099999999999994</cx:pt>
          <cx:pt idx="137">76.5</cx:pt>
          <cx:pt idx="138">71.099999999999994</cx:pt>
          <cx:pt idx="139">77.599999999999994</cx:pt>
          <cx:pt idx="140">81.299999999999997</cx:pt>
          <cx:pt idx="141">80.099999999999994</cx:pt>
          <cx:pt idx="142">75.400000000000006</cx:pt>
          <cx:pt idx="143">72.700000000000003</cx:pt>
          <cx:pt idx="144">68.700000000000003</cx:pt>
          <cx:pt idx="145">71.299999999999997</cx:pt>
          <cx:pt idx="146">76.099999999999994</cx:pt>
          <cx:pt idx="147">72.400000000000006</cx:pt>
          <cx:pt idx="148">73.200000000000003</cx:pt>
          <cx:pt idx="149">85.400000000000006</cx:pt>
          <cx:pt idx="150">70.200000000000003</cx:pt>
          <cx:pt idx="151">75</cx:pt>
          <cx:pt idx="152">67.700000000000003</cx:pt>
          <cx:pt idx="153">75.5</cx:pt>
          <cx:pt idx="154">72.799999999999997</cx:pt>
          <cx:pt idx="155">54.299999999999997</cx:pt>
          <cx:pt idx="156">83.099999999999994</cx:pt>
          <cx:pt idx="157">77.200000000000003</cx:pt>
          <cx:pt idx="158">81</cx:pt>
          <cx:pt idx="159">72.799999999999997</cx:pt>
          <cx:pt idx="160">57.100000000000001</cx:pt>
          <cx:pt idx="161">63.899999999999999</cx:pt>
          <cx:pt idx="162">82.599999999999994</cx:pt>
          <cx:pt idx="163">57.600000000000001</cx:pt>
          <cx:pt idx="164">83.299999999999997</cx:pt>
          <cx:pt idx="165">76.799999999999997</cx:pt>
          <cx:pt idx="166">65.099999999999994</cx:pt>
          <cx:pt idx="167">71.599999999999994</cx:pt>
          <cx:pt idx="168">82.5</cx:pt>
          <cx:pt idx="169">83.599999999999994</cx:pt>
          <cx:pt idx="170">71.799999999999997</cx:pt>
          <cx:pt idx="171">70.900000000000006</cx:pt>
          <cx:pt idx="172">65</cx:pt>
          <cx:pt idx="173">76.900000000000006</cx:pt>
          <cx:pt idx="174">69.299999999999997</cx:pt>
          <cx:pt idx="175">60.799999999999997</cx:pt>
          <cx:pt idx="176">70.799999999999997</cx:pt>
          <cx:pt idx="177">73.400000000000006</cx:pt>
          <cx:pt idx="178">76.5</cx:pt>
          <cx:pt idx="179">77.400000000000006</cx:pt>
          <cx:pt idx="180">68.099999999999994</cx:pt>
          <cx:pt idx="182">63</cx:pt>
          <cx:pt idx="183">71.599999999999994</cx:pt>
          <cx:pt idx="184">77.799999999999997</cx:pt>
          <cx:pt idx="185">81.299999999999997</cx:pt>
          <cx:pt idx="186">78.5</cx:pt>
          <cx:pt idx="187">77.799999999999997</cx:pt>
          <cx:pt idx="188">71.599999999999994</cx:pt>
          <cx:pt idx="189">70.299999999999997</cx:pt>
          <cx:pt idx="190">72.099999999999994</cx:pt>
          <cx:pt idx="191">75.299999999999997</cx:pt>
          <cx:pt idx="192">66.099999999999994</cx:pt>
          <cx:pt idx="193">63.5</cx:pt>
          <cx:pt idx="194">61.200000000000003</cx:pt>
        </cx:lvl>
      </cx:numDim>
    </cx:data>
  </cx:chartData>
  <cx:chart>
    <cx:title pos="t" align="ctr" overlay="0">
      <cx:tx>
        <cx:txData>
          <cx:v>Box Plot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Box Plot</a:t>
          </a:r>
        </a:p>
      </cx:txPr>
    </cx:title>
    <cx:plotArea>
      <cx:plotAreaRegion>
        <cx:series layoutId="boxWhisker" uniqueId="{2C2F6DF4-3FB6-46BC-8010-9295EB0CCC55}">
          <cx:tx>
            <cx:txData>
              <cx:f>'Bivariate Analysis'!$B$1</cx:f>
              <cx:v>Infant mortality</cx:v>
            </cx:txData>
          </cx:tx>
          <cx:dataId val="0"/>
          <cx:layoutPr>
            <cx:visibility meanLine="0" meanMarker="1" nonoutliers="0" outliers="1"/>
            <cx:statistics quartileMethod="exclusive"/>
          </cx:layoutPr>
        </cx:series>
        <cx:series layoutId="boxWhisker" uniqueId="{51E76108-1629-4D82-B0E5-A9A87A87A4ED}">
          <cx:tx>
            <cx:txData>
              <cx:f>'Bivariate Analysis'!$C$1</cx:f>
              <cx:v>Life expectancy</cx:v>
            </cx:txData>
          </cx:tx>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D10C02-E363-4B04-9311-A969704C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World data</dc:title>
  <dc:subject>An indepth research oN VARIOUS WORLD DATA RELATIONS.</dc:subject>
  <dc:creator>Arnav Tamrakar</dc:creator>
  <cp:keywords/>
  <dc:description/>
  <cp:lastModifiedBy>Arnav Tamrakar</cp:lastModifiedBy>
  <cp:revision>9</cp:revision>
  <dcterms:created xsi:type="dcterms:W3CDTF">2023-08-26T05:46:00Z</dcterms:created>
  <dcterms:modified xsi:type="dcterms:W3CDTF">2023-12-20T12:10:00Z</dcterms:modified>
</cp:coreProperties>
</file>