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2A4A"/>
        <w:spacing w:before="0" w:after="0"/>
        <w:jc w:val="center"/>
        <w:rPr/>
      </w:pPr>
      <w:r>
        <w:rPr/>
      </w:r>
    </w:p>
    <w:p>
      <w:pPr>
        <w:pStyle w:val="Normal"/>
        <w:shd w:val="clear" w:fill="1B2A4A"/>
        <w:spacing w:before="200" w:after="0"/>
        <w:jc w:val="center"/>
        <w:rPr/>
      </w:pPr>
      <w:r>
        <w:rPr>
          <w:rFonts w:eastAsia="Arial" w:cs="Arial"/>
          <w:b/>
          <w:bCs/>
          <w:color w:val="9AC4E8"/>
          <w:sz w:val="20"/>
          <w:szCs w:val="20"/>
        </w:rPr>
        <w:t>TECHNICAL REPORT</w:t>
      </w:r>
    </w:p>
    <w:p>
      <w:pPr>
        <w:pStyle w:val="Normal"/>
        <w:shd w:val="clear" w:fill="1B2A4A"/>
        <w:spacing w:before="120" w:after="0"/>
        <w:jc w:val="center"/>
        <w:rPr/>
      </w:pPr>
      <w:r>
        <w:rPr>
          <w:rFonts w:eastAsia="Arial" w:cs="Arial"/>
          <w:b/>
          <w:bCs/>
          <w:color w:val="FFFFFF"/>
          <w:sz w:val="48"/>
          <w:szCs w:val="48"/>
        </w:rPr>
        <w:t>RT-DETR Detection of Vehicles</w:t>
      </w:r>
    </w:p>
    <w:p>
      <w:pPr>
        <w:pStyle w:val="Normal"/>
        <w:shd w:val="clear" w:fill="1B2A4A"/>
        <w:spacing w:before="60" w:after="0"/>
        <w:jc w:val="center"/>
        <w:rPr/>
      </w:pPr>
      <w:r>
        <w:rPr>
          <w:rFonts w:eastAsia="Arial" w:cs="Arial"/>
          <w:b/>
          <w:bCs/>
          <w:color w:val="9AC4E8"/>
          <w:sz w:val="40"/>
          <w:szCs w:val="40"/>
        </w:rPr>
        <w:t>with a Drone Video from YouTube</w:t>
      </w:r>
    </w:p>
    <w:p>
      <w:pPr>
        <w:pStyle w:val="Normal"/>
        <w:shd w:val="clear" w:fill="1B2A4A"/>
        <w:spacing w:before="0" w:after="0"/>
        <w:jc w:val="center"/>
        <w:rPr/>
      </w:pPr>
      <w:r>
        <w:rPr/>
      </w:r>
    </w:p>
    <w:p>
      <w:pPr>
        <w:pStyle w:val="Normal"/>
        <w:shd w:val="clear" w:fill="1B2A4A"/>
        <w:spacing w:before="80" w:after="0"/>
        <w:jc w:val="center"/>
        <w:rPr/>
      </w:pPr>
      <w:r>
        <w:rPr>
          <w:rFonts w:eastAsia="Arial" w:cs="Arial"/>
          <w:i/>
          <w:iCs/>
          <w:color w:val="7AADD4"/>
          <w:sz w:val="19"/>
          <w:szCs w:val="19"/>
        </w:rPr>
        <w:t>Real-Time Detection Transformer  ·  COCO Pretrained  ·  NWD-NMS Pipeline  ·  Aerial ISR Simulation</w:t>
      </w:r>
    </w:p>
    <w:p>
      <w:pPr>
        <w:pStyle w:val="Normal"/>
        <w:shd w:val="clear" w:fill="1B2A4A"/>
        <w:spacing w:before="0" w:after="240"/>
        <w:jc w:val="center"/>
        <w:rPr/>
      </w:pPr>
      <w:r>
        <w:rPr/>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2481"/>
        <w:gridCol w:w="40"/>
        <w:gridCol w:w="2199"/>
        <w:gridCol w:w="2441"/>
      </w:tblGrid>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Model</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RT-DETR-L (66M params)</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Video Source</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YouTube — Aerial Traffic</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Resolution</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1280 × 720 px (HD 720p)</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Frame Rate</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29.97 fps</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Total Frames</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302 (~10.1 seconds)</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Frames Processed</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~151 (every 2nd frame)</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Avg Detections/Frame</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E6B3C"/>
                <w:sz w:val="19"/>
                <w:szCs w:val="19"/>
              </w:rPr>
              <w:t>~15 objects</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Max Detections</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2563A8"/>
                <w:sz w:val="19"/>
                <w:szCs w:val="19"/>
              </w:rPr>
              <w:t>28 (frame 180)</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Primary Class</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B2A4A"/>
                <w:sz w:val="19"/>
                <w:szCs w:val="19"/>
              </w:rPr>
              <w:t>car (70–75%)</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Confidence Range</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0.25 – 0.95</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Inference Size</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640 × 640 px</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NMS Variants</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IoU-NMS + NWD-NMS</w:t>
            </w:r>
          </w:p>
        </w:tc>
      </w:tr>
    </w:tbl>
    <w:p>
      <w:pPr>
        <w:pStyle w:val="Normal"/>
        <w:spacing w:before="120" w:after="0"/>
        <w:rPr/>
      </w:pPr>
      <w:r>
        <w:rPr/>
      </w:r>
    </w:p>
    <w:p>
      <w:pPr>
        <w:pStyle w:val="Normal"/>
        <w:shd w:val="clear" w:fill="1B2A4A"/>
        <w:spacing w:before="300" w:after="160"/>
        <w:ind w:start="180" w:end="180"/>
        <w:rPr/>
      </w:pPr>
      <w:r>
        <w:rPr>
          <w:rFonts w:eastAsia="Arial" w:cs="Arial"/>
          <w:b/>
          <w:bCs/>
          <w:color w:val="FFFFFF"/>
          <w:sz w:val="28"/>
          <w:szCs w:val="28"/>
        </w:rPr>
        <w:t>1.  PROJECT OVERVIEW</w:t>
      </w:r>
    </w:p>
    <w:p>
      <w:pPr>
        <w:pStyle w:val="Normal"/>
        <w:spacing w:before="80" w:after="0"/>
        <w:rPr/>
      </w:pPr>
      <w:r>
        <w:rPr/>
      </w:r>
    </w:p>
    <w:p>
      <w:pPr>
        <w:pStyle w:val="Normal"/>
        <w:spacing w:before="80" w:after="80"/>
        <w:ind w:start="180"/>
        <w:jc w:val="both"/>
        <w:rPr/>
      </w:pPr>
      <w:r>
        <w:rPr>
          <w:rFonts w:eastAsia="Arial" w:cs="Arial"/>
          <w:color w:val="1A1A2E"/>
          <w:sz w:val="21"/>
          <w:szCs w:val="21"/>
        </w:rPr>
        <w:t>This report documents the end-to-end deployment of RT-DETR (Real-Time Detection Transformer) on a drone surveillance video sourced from YouTube. The primary objective was to detect vehicles — cars, trucks, buses, motorcycles — and other road actors from an aerial perspective that simulates UAV-based Intelligence, Surveillance, and Reconnaissance (ISR) operations over highway infrastructure.</w:t>
      </w:r>
    </w:p>
    <w:p>
      <w:pPr>
        <w:pStyle w:val="Normal"/>
        <w:spacing w:before="80" w:after="0"/>
        <w:rPr/>
      </w:pPr>
      <w:r>
        <w:rPr/>
      </w:r>
    </w:p>
    <w:p>
      <w:pPr>
        <w:pStyle w:val="Normal"/>
        <w:spacing w:before="80" w:after="80"/>
        <w:ind w:start="180"/>
        <w:jc w:val="both"/>
        <w:rPr/>
      </w:pPr>
      <w:r>
        <w:rPr>
          <w:rFonts w:eastAsia="Arial" w:cs="Arial"/>
          <w:color w:val="1A1A2E"/>
          <w:sz w:val="21"/>
          <w:szCs w:val="21"/>
        </w:rPr>
        <w:t>The project also served as a practical testbed for comparing standard IoU-based Non-Maximum Suppression (IoU-NMS) against a Normalized Wasserstein Distance NMS (NWD-NMS) implementation, following the theoretical groundwork laid in the accompanying joint ESRGAN + RT-DETR + NWD training report. In addition, a real-world class-naming bug encountered during inference is documented in detail as a cautionary engineering case study.</w:t>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3200"/>
        <w:gridCol w:w="6160"/>
      </w:tblGrid>
      <w:tr>
        <w:trPr>
          <w:tblHeader w:val="true"/>
        </w:trPr>
        <w:tc>
          <w:tcPr>
            <w:tcW w:w="32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Component</w:t>
            </w:r>
          </w:p>
        </w:tc>
        <w:tc>
          <w:tcPr>
            <w:tcW w:w="61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Detail</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Model architecture</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RT-DETR-L — Real-Time Detection Transformer (Large)</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Weights</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COCO pretrained (rtdetr-l.pt) — 80 class detection</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Video source</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YouTube — aerial / drone traffic footage</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Video resolution</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1280 × 720 pixels (HD 720p)</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Video frame rate</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29.97 fps</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Total frames</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302 frames (~10.1 seconds)</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Platform</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Kaggle (T4 GPU)</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Inference image size</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640 × 640 pixels</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Confidence threshold</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0.25 (lower to catch small / partial vehicles)</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NMS variant A</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IoU-NMS — standard Ultralytics default (iou=0.45)</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NMS variant B</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NWD-NMS — Wasserstein Gaussian suppression (iou=0.99 bypass)</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Frame skip</w:t>
            </w:r>
          </w:p>
        </w:tc>
        <w:tc>
          <w:tcPr>
            <w:tcW w:w="6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Every 2nd frame processed for compute efficiency</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Output artefacts</w:t>
            </w:r>
          </w:p>
        </w:tc>
        <w:tc>
          <w:tcPr>
            <w:tcW w:w="6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Annotated MP4 video + sample frame grid PNG + stat charts</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2.  WHY RT-DETR FOR DRONE VIDEO SURVEILLANCE</w:t>
      </w:r>
    </w:p>
    <w:p>
      <w:pPr>
        <w:pStyle w:val="Normal"/>
        <w:spacing w:before="80" w:after="0"/>
        <w:rPr/>
      </w:pPr>
      <w:r>
        <w:rPr/>
      </w:r>
    </w:p>
    <w:p>
      <w:pPr>
        <w:pStyle w:val="Normal"/>
        <w:spacing w:before="80" w:after="80"/>
        <w:ind w:start="180"/>
        <w:jc w:val="both"/>
        <w:rPr/>
      </w:pPr>
      <w:r>
        <w:rPr>
          <w:rFonts w:eastAsia="Arial" w:cs="Arial"/>
          <w:color w:val="1A1A2E"/>
          <w:sz w:val="21"/>
          <w:szCs w:val="21"/>
        </w:rPr>
        <w:t>RT-DETR (Real-Time DEtection TRansformer) represents a paradigm shift in real-time object detection by replacing CNN-based anchor boxes with a transformer encoder-decoder that generates object queries. This architecture offers concrete advantages for the aerial surveillance use case that standard YOLO-family detectors cannot easily replicate.</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2.1  Architecture Comparison</w:t>
      </w:r>
    </w:p>
    <w:tbl>
      <w:tblPr>
        <w:tblW w:w="9360" w:type="dxa"/>
        <w:jc w:val="start"/>
        <w:tblInd w:w="0" w:type="dxa"/>
        <w:tblLayout w:type="fixed"/>
        <w:tblCellMar>
          <w:top w:w="90" w:type="dxa"/>
          <w:start w:w="140" w:type="dxa"/>
          <w:bottom w:w="90" w:type="dxa"/>
          <w:end w:w="140" w:type="dxa"/>
        </w:tblCellMar>
      </w:tblPr>
      <w:tblGrid>
        <w:gridCol w:w="2999"/>
        <w:gridCol w:w="3181"/>
        <w:gridCol w:w="3180"/>
      </w:tblGrid>
      <w:tr>
        <w:trPr>
          <w:tblHeader w:val="true"/>
        </w:trPr>
        <w:tc>
          <w:tcPr>
            <w:tcW w:w="29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Feature</w:t>
            </w:r>
          </w:p>
        </w:tc>
        <w:tc>
          <w:tcPr>
            <w:tcW w:w="318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RT-DETR-L</w:t>
            </w:r>
          </w:p>
        </w:tc>
        <w:tc>
          <w:tcPr>
            <w:tcW w:w="318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YOLOv8-L</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Core architecture</w:t>
            </w:r>
          </w:p>
        </w:tc>
        <w:tc>
          <w:tcPr>
            <w:tcW w:w="318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Transformer encoder + decoder</w:t>
            </w:r>
          </w:p>
        </w:tc>
        <w:tc>
          <w:tcPr>
            <w:tcW w:w="31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CNN backbone + detection head</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Detection paradigm</w:t>
            </w:r>
          </w:p>
        </w:tc>
        <w:tc>
          <w:tcPr>
            <w:tcW w:w="318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Set-based query predictions</w:t>
            </w:r>
          </w:p>
        </w:tc>
        <w:tc>
          <w:tcPr>
            <w:tcW w:w="31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Anchor-based / anchor-free grid</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Receptive field</w:t>
            </w:r>
          </w:p>
        </w:tc>
        <w:tc>
          <w:tcPr>
            <w:tcW w:w="318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Global — full-image attention</w:t>
            </w:r>
          </w:p>
        </w:tc>
        <w:tc>
          <w:tcPr>
            <w:tcW w:w="31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Local — limited by kernel size</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Small object recall</w:t>
            </w:r>
          </w:p>
        </w:tc>
        <w:tc>
          <w:tcPr>
            <w:tcW w:w="318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 — attention spans full scene</w:t>
            </w:r>
          </w:p>
        </w:tc>
        <w:tc>
          <w:tcPr>
            <w:tcW w:w="31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Lower — relies on FPN multi-scale</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NMS requirement</w:t>
            </w:r>
          </w:p>
        </w:tc>
        <w:tc>
          <w:tcPr>
            <w:tcW w:w="318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Not required in pure form</w:t>
            </w:r>
          </w:p>
        </w:tc>
        <w:tc>
          <w:tcPr>
            <w:tcW w:w="31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Required post-processing step</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Clustered object handling</w:t>
            </w:r>
          </w:p>
        </w:tc>
        <w:tc>
          <w:tcPr>
            <w:tcW w:w="318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Strong — query independence</w:t>
            </w:r>
          </w:p>
        </w:tc>
        <w:tc>
          <w:tcPr>
            <w:tcW w:w="31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Moderate — NMS may merge</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Inference speed (T4 GPU)</w:t>
            </w:r>
          </w:p>
        </w:tc>
        <w:tc>
          <w:tcPr>
            <w:tcW w:w="318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Real-time (≥ 30 FPS at 640)</w:t>
            </w:r>
          </w:p>
        </w:tc>
        <w:tc>
          <w:tcPr>
            <w:tcW w:w="31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Real-time (≥ 35 FPS at 640)</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Parameter count</w:t>
            </w:r>
          </w:p>
        </w:tc>
        <w:tc>
          <w:tcPr>
            <w:tcW w:w="318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66M (RT-DETR-L)</w:t>
            </w:r>
          </w:p>
        </w:tc>
        <w:tc>
          <w:tcPr>
            <w:tcW w:w="31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43M (YOLOv8-L)</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Best suited for</w:t>
            </w:r>
          </w:p>
        </w:tc>
        <w:tc>
          <w:tcPr>
            <w:tcW w:w="318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Aerial, dense, clustered scenes</w:t>
            </w:r>
          </w:p>
        </w:tc>
        <w:tc>
          <w:tcPr>
            <w:tcW w:w="31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Close-range, clear separation</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2.2  Why the Transformer Advantage Matters for Drones</w:t>
      </w:r>
    </w:p>
    <w:p>
      <w:pPr>
        <w:pStyle w:val="Normal"/>
        <w:spacing w:before="80" w:after="80"/>
        <w:ind w:start="180"/>
        <w:jc w:val="both"/>
        <w:rPr/>
      </w:pPr>
      <w:r>
        <w:rPr>
          <w:rFonts w:eastAsia="Arial" w:cs="Arial"/>
          <w:color w:val="1A1A2E"/>
          <w:sz w:val="21"/>
          <w:szCs w:val="21"/>
        </w:rPr>
        <w:t>In aerial drone footage, vehicles appear in structured patterns — lanes, convoys, parking clusters — rather than as isolated objects. The key advantage of RT-DETR's attention mechanism in this context is:</w:t>
      </w:r>
    </w:p>
    <w:p>
      <w:pPr>
        <w:pStyle w:val="Normal"/>
        <w:spacing w:before="60" w:after="0"/>
        <w:rPr/>
      </w:pPr>
      <w:r>
        <w:rPr/>
      </w:r>
    </w:p>
    <w:p>
      <w:pPr>
        <w:pStyle w:val="ListParagraph"/>
        <w:numPr>
          <w:ilvl w:val="0"/>
          <w:numId w:val="4"/>
        </w:numPr>
        <w:spacing w:before="50" w:after="50"/>
        <w:rPr/>
      </w:pPr>
      <w:r>
        <w:rPr>
          <w:rFonts w:eastAsia="Arial" w:cs="Arial"/>
          <w:color w:val="1A1A2E"/>
          <w:sz w:val="21"/>
          <w:szCs w:val="21"/>
        </w:rPr>
        <w:t>Global context integration: when one car is detected in the left lane, the attention map can leverage that detection to actively search for similarly-sized objects in adjacent lanes, improving recall for partially occluded or distant vehicles.</w:t>
      </w:r>
    </w:p>
    <w:p>
      <w:pPr>
        <w:pStyle w:val="ListParagraph"/>
        <w:numPr>
          <w:ilvl w:val="0"/>
          <w:numId w:val="1"/>
        </w:numPr>
        <w:spacing w:before="50" w:after="50"/>
        <w:rPr/>
      </w:pPr>
      <w:r>
        <w:rPr>
          <w:rFonts w:eastAsia="Arial" w:cs="Arial"/>
          <w:color w:val="1A1A2E"/>
          <w:sz w:val="21"/>
          <w:szCs w:val="21"/>
        </w:rPr>
        <w:t>No anchor box scale tuning: YOLO-family detectors require careful anchor size calibration per dataset. RT-DETR's query-based approach adapts to any object scale present in the scene without re-anchoring.</w:t>
      </w:r>
    </w:p>
    <w:p>
      <w:pPr>
        <w:pStyle w:val="ListParagraph"/>
        <w:numPr>
          <w:ilvl w:val="0"/>
          <w:numId w:val="1"/>
        </w:numPr>
        <w:spacing w:before="50" w:after="50"/>
        <w:rPr/>
      </w:pPr>
      <w:r>
        <w:rPr>
          <w:rFonts w:eastAsia="Arial" w:cs="Arial"/>
          <w:color w:val="1A1A2E"/>
          <w:sz w:val="21"/>
          <w:szCs w:val="21"/>
        </w:rPr>
        <w:t>Parallel prediction: all 100+ object queries are evaluated simultaneously in a single decoder pass, making RT-DETR's speed advantages over two-stage detectors (Faster R-CNN, Deformable DETR) structurally guaranteed.</w:t>
      </w:r>
    </w:p>
    <w:p>
      <w:pPr>
        <w:pStyle w:val="ListParagraph"/>
        <w:numPr>
          <w:ilvl w:val="0"/>
          <w:numId w:val="1"/>
        </w:numPr>
        <w:spacing w:before="50" w:after="50"/>
        <w:rPr/>
      </w:pPr>
      <w:r>
        <w:rPr>
          <w:rFonts w:eastAsia="Arial" w:cs="Arial"/>
          <w:color w:val="1A1A2E"/>
          <w:sz w:val="21"/>
          <w:szCs w:val="21"/>
        </w:rPr>
        <w:t>Tolerance for atypical viewpoints: aerial viewpoints present vehicles at orientations and scales not common in ground-level datasets. RT-DETR's attention-based feature extraction is more robust to these distribution shifts than convolution kernels.</w:t>
      </w:r>
    </w:p>
    <w:p>
      <w:pPr>
        <w:pStyle w:val="Normal"/>
        <w:spacing w:before="120" w:after="0"/>
        <w:rPr/>
      </w:pPr>
      <w:r>
        <w:rPr/>
      </w:r>
    </w:p>
    <w:p>
      <w:pPr>
        <w:pStyle w:val="Normal"/>
        <w:shd w:val="clear" w:fill="1B2A4A"/>
        <w:spacing w:before="300" w:after="160"/>
        <w:ind w:start="180" w:end="180"/>
        <w:rPr/>
      </w:pPr>
      <w:r>
        <w:rPr>
          <w:rFonts w:eastAsia="Arial" w:cs="Arial"/>
          <w:b/>
          <w:bCs/>
          <w:color w:val="FFFFFF"/>
          <w:sz w:val="28"/>
          <w:szCs w:val="28"/>
        </w:rPr>
        <w:t>3.  INPUT VIDEO — SOURCE &amp; CHARACTERISTICS</w:t>
      </w:r>
    </w:p>
    <w:p>
      <w:pPr>
        <w:pStyle w:val="Normal"/>
        <w:spacing w:before="80" w:after="0"/>
        <w:rPr/>
      </w:pPr>
      <w:r>
        <w:rPr/>
      </w:r>
    </w:p>
    <w:p>
      <w:pPr>
        <w:pStyle w:val="Normal"/>
        <w:spacing w:before="80" w:after="80"/>
        <w:ind w:start="180"/>
        <w:jc w:val="both"/>
        <w:rPr/>
      </w:pPr>
      <w:r>
        <w:rPr>
          <w:rFonts w:eastAsia="Arial" w:cs="Arial"/>
          <w:color w:val="1A1A2E"/>
          <w:sz w:val="21"/>
          <w:szCs w:val="21"/>
        </w:rPr>
        <w:t>The test video was sourced from YouTube and features drone footage over a multi-lane highway with moderate traffic. The viewpoint is near-overhead with vehicles visible as small objects relative to the total scene area. This represents a realistic ISR scenario where the camera platform is stationary-hovering and observing road infrastructure from altitude.</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3.1  Video Technical Specification</w:t>
      </w:r>
    </w:p>
    <w:tbl>
      <w:tblPr>
        <w:tblW w:w="9360" w:type="dxa"/>
        <w:jc w:val="start"/>
        <w:tblInd w:w="0" w:type="dxa"/>
        <w:tblLayout w:type="fixed"/>
        <w:tblCellMar>
          <w:top w:w="90" w:type="dxa"/>
          <w:start w:w="140" w:type="dxa"/>
          <w:bottom w:w="90" w:type="dxa"/>
          <w:end w:w="140" w:type="dxa"/>
        </w:tblCellMar>
      </w:tblPr>
      <w:tblGrid>
        <w:gridCol w:w="2600"/>
        <w:gridCol w:w="2799"/>
        <w:gridCol w:w="3961"/>
      </w:tblGrid>
      <w:tr>
        <w:trPr>
          <w:tblHeader w:val="true"/>
        </w:trPr>
        <w:tc>
          <w:tcPr>
            <w:tcW w:w="26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Property</w:t>
            </w:r>
          </w:p>
        </w:tc>
        <w:tc>
          <w:tcPr>
            <w:tcW w:w="27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Value</w:t>
            </w:r>
          </w:p>
        </w:tc>
        <w:tc>
          <w:tcPr>
            <w:tcW w:w="396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Notes</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Source platform</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YouTube</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Downloaded via yt-dlp at 720p MP4</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Resolution</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1280 × 720 px</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HD 720p — standard drone footage quality</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Frame rate</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29.97 fps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NTSC standard — smooth temporal sampling</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Duration</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~10.1 seconds (302 frames)</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Short clip — sufficient for detection proof-of-concept</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Scene type</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Multi-lane highway, overhead view</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Near-nadir camera angle</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Vehicle density</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Low–moderate: 5–30 per frame</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Varies as traffic moves through scene</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Camera motion</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Stationary drone hover</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Minimal translational / rotational motion</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Lighting conditions</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Daytime, natural, clear visibility</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No shadows, glare, or HDR artifacts</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Download method</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yt-dlp --format mp4 -720</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Active fork of youtube-dl, Kaggle compatible</w:t>
            </w:r>
          </w:p>
        </w:tc>
      </w:tr>
    </w:tbl>
    <w:p>
      <w:pPr>
        <w:pStyle w:val="Normal"/>
        <w:spacing w:before="80" w:after="0"/>
        <w:rPr/>
      </w:pPr>
      <w:r>
        <w:rPr/>
        <w:drawing>
          <wp:anchor distT="0" distB="0" distL="0" distR="0" simplePos="0" relativeHeight="2" behindDoc="0" locked="0" layoutInCell="0" allowOverlap="1">
            <wp:simplePos x="0" y="0"/>
            <wp:positionH relativeFrom="column">
              <wp:posOffset>-54610</wp:posOffset>
            </wp:positionH>
            <wp:positionV relativeFrom="paragraph">
              <wp:posOffset>321945</wp:posOffset>
            </wp:positionV>
            <wp:extent cx="6400800" cy="37642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3764280"/>
                    </a:xfrm>
                    <a:prstGeom prst="rect">
                      <a:avLst/>
                    </a:prstGeom>
                    <a:noFill/>
                  </pic:spPr>
                </pic:pic>
              </a:graphicData>
            </a:graphic>
          </wp:anchor>
        </w:drawing>
      </w:r>
    </w:p>
    <w:p>
      <w:pPr>
        <w:pStyle w:val="Heading2"/>
        <w:pBdr>
          <w:bottom w:val="single" w:sz="6" w:space="2" w:color="2563A8"/>
        </w:pBdr>
        <w:spacing w:before="220" w:after="100"/>
        <w:ind w:start="180"/>
        <w:rPr>
          <w:rFonts w:ascii="Arial" w:hAnsi="Arial" w:eastAsia="Arial" w:cs="Arial"/>
          <w:b/>
          <w:bCs/>
          <w:color w:val="2563A8"/>
          <w:sz w:val="24"/>
          <w:szCs w:val="24"/>
        </w:rPr>
      </w:pPr>
      <w:r>
        <w:rPr>
          <w:rFonts w:eastAsia="Arial" w:cs="Arial" w:ascii="Arial" w:hAnsi="Arial"/>
          <w:b/>
          <w:bCs/>
          <w:color w:val="2563A8"/>
          <w:sz w:val="24"/>
          <w:szCs w:val="24"/>
        </w:rPr>
      </w:r>
    </w:p>
    <w:p>
      <w:pPr>
        <w:pStyle w:val="Heading2"/>
        <w:pBdr>
          <w:bottom w:val="single" w:sz="6" w:space="2" w:color="2563A8"/>
        </w:pBdr>
        <w:spacing w:before="220" w:after="100"/>
        <w:ind w:hanging="0" w:start="0"/>
        <w:rPr>
          <w:rFonts w:ascii="Arial" w:hAnsi="Arial" w:eastAsia="Arial" w:cs="Arial"/>
          <w:b/>
          <w:bCs/>
          <w:color w:val="2563A8"/>
          <w:sz w:val="24"/>
          <w:szCs w:val="24"/>
        </w:rPr>
      </w:pPr>
      <w:r>
        <w:rPr>
          <w:rFonts w:eastAsia="Arial" w:cs="Arial" w:ascii="Arial" w:hAnsi="Arial"/>
          <w:b/>
          <w:bCs/>
          <w:color w:val="2563A8"/>
          <w:sz w:val="24"/>
          <w:szCs w:val="24"/>
        </w:rPr>
      </w:r>
    </w:p>
    <w:p>
      <w:pPr>
        <w:pStyle w:val="Heading2"/>
        <w:pBdr>
          <w:bottom w:val="single" w:sz="6" w:space="2" w:color="2563A8"/>
        </w:pBdr>
        <w:spacing w:before="220" w:after="100"/>
        <w:ind w:hanging="0" w:start="0"/>
        <w:rPr>
          <w:rFonts w:ascii="Arial" w:hAnsi="Arial" w:eastAsia="Arial" w:cs="Arial"/>
          <w:b/>
          <w:bCs/>
          <w:color w:val="2563A8"/>
          <w:sz w:val="24"/>
          <w:szCs w:val="24"/>
        </w:rPr>
      </w:pPr>
      <w:r>
        <w:rPr>
          <w:rFonts w:eastAsia="Arial" w:cs="Arial" w:ascii="Arial" w:hAnsi="Arial"/>
          <w:b/>
          <w:bCs/>
          <w:color w:val="2563A8"/>
          <w:sz w:val="24"/>
          <w:szCs w:val="24"/>
        </w:rPr>
        <w:t>3.2  Scene Analysis</w:t>
      </w:r>
    </w:p>
    <w:p>
      <w:pPr>
        <w:pStyle w:val="Normal"/>
        <w:spacing w:before="80" w:after="80"/>
        <w:ind w:start="180"/>
        <w:jc w:val="both"/>
        <w:rPr/>
      </w:pPr>
      <w:r>
        <w:rPr>
          <w:rFonts w:eastAsia="Arial" w:cs="Arial"/>
          <w:color w:val="1A1A2E"/>
          <w:sz w:val="21"/>
          <w:szCs w:val="21"/>
        </w:rPr>
        <w:t>The selected YouTube clip was chosen for several properties that make it an ideal RT-DETR evaluation scenario:</w:t>
      </w:r>
    </w:p>
    <w:p>
      <w:pPr>
        <w:pStyle w:val="Normal"/>
        <w:spacing w:before="60" w:after="0"/>
        <w:rPr/>
      </w:pPr>
      <w:r>
        <w:rPr/>
      </w:r>
    </w:p>
    <w:p>
      <w:pPr>
        <w:pStyle w:val="ListParagraph"/>
        <w:numPr>
          <w:ilvl w:val="0"/>
          <w:numId w:val="1"/>
        </w:numPr>
        <w:spacing w:before="50" w:after="50"/>
        <w:rPr/>
      </w:pPr>
      <w:r>
        <w:rPr>
          <w:rFonts w:eastAsia="Arial" w:cs="Arial"/>
          <w:color w:val="1A1A2E"/>
          <w:sz w:val="21"/>
          <w:szCs w:val="21"/>
        </w:rPr>
        <w:t>Traffic variety: the scene includes cars, trucks, and occasional buses giving multi-class detection opportunity.</w:t>
      </w:r>
    </w:p>
    <w:p>
      <w:pPr>
        <w:pStyle w:val="ListParagraph"/>
        <w:numPr>
          <w:ilvl w:val="0"/>
          <w:numId w:val="1"/>
        </w:numPr>
        <w:spacing w:before="50" w:after="50"/>
        <w:rPr/>
      </w:pPr>
      <w:r>
        <w:rPr>
          <w:rFonts w:eastAsia="Arial" w:cs="Arial"/>
          <w:color w:val="1A1A2E"/>
          <w:sz w:val="21"/>
          <w:szCs w:val="21"/>
        </w:rPr>
        <w:t>Consistent altitude: the camera maintains a stable hover, allowing fair frame-by-frame comparison of detection counts.</w:t>
      </w:r>
    </w:p>
    <w:p>
      <w:pPr>
        <w:pStyle w:val="ListParagraph"/>
        <w:numPr>
          <w:ilvl w:val="0"/>
          <w:numId w:val="1"/>
        </w:numPr>
        <w:spacing w:before="50" w:after="50"/>
        <w:rPr/>
      </w:pPr>
      <w:r>
        <w:rPr>
          <w:rFonts w:eastAsia="Arial" w:cs="Arial"/>
          <w:color w:val="1A1A2E"/>
          <w:sz w:val="21"/>
          <w:szCs w:val="21"/>
        </w:rPr>
        <w:t>Clear lane markings: ground-truth vehicle positions can be visually verified against lane structure in the absence of formal annotations.</w:t>
      </w:r>
    </w:p>
    <w:p>
      <w:pPr>
        <w:pStyle w:val="ListParagraph"/>
        <w:numPr>
          <w:ilvl w:val="0"/>
          <w:numId w:val="1"/>
        </w:numPr>
        <w:spacing w:before="50" w:after="50"/>
        <w:rPr/>
      </w:pPr>
      <w:r>
        <w:rPr>
          <w:rFonts w:eastAsia="Arial" w:cs="Arial"/>
          <w:color w:val="1A1A2E"/>
          <w:sz w:val="21"/>
          <w:szCs w:val="21"/>
        </w:rPr>
        <w:t>Temporal density variation: vehicles enter and exit the frame, providing a dynamic range of detection counts (8–28) that stresses both the detector and the NMS pipeline.</w:t>
      </w:r>
    </w:p>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4.  INFERENCE PIPELINE</w:t>
      </w:r>
    </w:p>
    <w:p>
      <w:pPr>
        <w:pStyle w:val="Normal"/>
        <w:spacing w:before="80" w:after="0"/>
        <w:rPr/>
      </w:pPr>
      <w:r>
        <w:rPr/>
      </w:r>
    </w:p>
    <w:p>
      <w:pPr>
        <w:pStyle w:val="Normal"/>
        <w:spacing w:before="80" w:after="80"/>
        <w:ind w:start="180"/>
        <w:jc w:val="both"/>
        <w:rPr/>
      </w:pPr>
      <w:r>
        <w:rPr>
          <w:rFonts w:eastAsia="Arial" w:cs="Arial"/>
          <w:color w:val="1A1A2E"/>
          <w:sz w:val="21"/>
          <w:szCs w:val="21"/>
        </w:rPr>
        <w:t>The inference pipeline consists of four sequential stages: video ingestion, model loading, per-frame detection (with both NMS variants), and output rendering. Each stage is described below with its implementation rationale.</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4.1  Stage 1 — Video Download (yt-dlp)</w:t>
      </w:r>
    </w:p>
    <w:p>
      <w:pPr>
        <w:pStyle w:val="Normal"/>
        <w:spacing w:before="80" w:after="80"/>
        <w:ind w:start="180"/>
        <w:jc w:val="both"/>
        <w:rPr/>
      </w:pPr>
      <w:r>
        <w:rPr>
          <w:rFonts w:eastAsia="Arial" w:cs="Arial"/>
          <w:color w:val="1A1A2E"/>
          <w:sz w:val="21"/>
          <w:szCs w:val="21"/>
        </w:rPr>
        <w:t>yt-dlp was selected over youtube-dl for its active maintenance, superior format selector API, and reliable performance on Kaggle's network. The download command targets 720p MP4 to balance resolution (sufficient for RT-DETR) with file size (critical on Kaggle's 20 GB disk limit).</w:t>
      </w:r>
    </w:p>
    <w:p>
      <w:pPr>
        <w:pStyle w:val="Normal"/>
        <w:spacing w:before="60" w:after="0"/>
        <w:rPr/>
      </w:pPr>
      <w:r>
        <w:rPr/>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yt-dlp -f "bestvideo[height&lt;=720][ext=mp4]" &lt;URL&gt; -o drone_video.mp4</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4.2  Stage 2 — Model Loading</w:t>
      </w:r>
    </w:p>
    <w:p>
      <w:pPr>
        <w:pStyle w:val="Normal"/>
        <w:spacing w:before="80" w:after="80"/>
        <w:ind w:start="180"/>
        <w:jc w:val="both"/>
        <w:rPr/>
      </w:pPr>
      <w:r>
        <w:rPr>
          <w:rFonts w:eastAsia="Arial" w:cs="Arial"/>
          <w:color w:val="1A1A2E"/>
          <w:sz w:val="21"/>
          <w:szCs w:val="21"/>
        </w:rPr>
        <w:t>RT-DETR-L is loaded via the Ultralytics model hub. The COCO-pretrained weights (rtdetr-l.pt) provide reliable out-of-the-box car, truck, bus, motorcycle, person detection without any domain-specific fine-tuning. The model is tested on GPU 0 (T4) in FP32 mode.</w:t>
      </w:r>
    </w:p>
    <w:p>
      <w:pPr>
        <w:pStyle w:val="Normal"/>
        <w:spacing w:before="60" w:after="0"/>
        <w:rPr/>
      </w:pPr>
      <w:r>
        <w:rPr/>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from ultralytics import RTDETR</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model = RTDETR('rtdetr-l.pt')   # downloads 66M param weights</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model.names → COCO 80-class dictionary</w:t>
      </w:r>
    </w:p>
    <w:p>
      <w:pPr>
        <w:pStyle w:val="Normal"/>
        <w:spacing w:before="80" w:after="0"/>
        <w:rPr/>
      </w:pPr>
      <w:r>
        <w:rPr/>
      </w:r>
    </w:p>
    <w:p>
      <w:pPr>
        <w:pStyle w:val="Normal"/>
        <w:spacing w:before="80" w:after="80"/>
        <w:ind w:start="180"/>
        <w:jc w:val="both"/>
        <w:rPr/>
      </w:pPr>
      <w:r>
        <w:rPr>
          <w:rFonts w:eastAsia="Arial" w:cs="Arial"/>
          <w:color w:val="1A1A2E"/>
          <w:sz w:val="21"/>
          <w:szCs w:val="21"/>
        </w:rPr>
        <w:t>The joint-trained ESRGAN + RT-DETR + NWD weights (from the companion training notebook) were also tested as an alternative weight source. However, COCO pretrained weights were used for the primary output video since the joint-trained model was optimised for VisDrone/AI-TOD tile distributions and showed reduced generalisation on the YouTube footage without fine-tuning.</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4.3  Stage 3 — Per-Frame Detection</w:t>
      </w:r>
    </w:p>
    <w:tbl>
      <w:tblPr>
        <w:tblW w:w="9360" w:type="dxa"/>
        <w:jc w:val="start"/>
        <w:tblInd w:w="0" w:type="dxa"/>
        <w:tblLayout w:type="fixed"/>
        <w:tblCellMar>
          <w:top w:w="90" w:type="dxa"/>
          <w:start w:w="140" w:type="dxa"/>
          <w:bottom w:w="90" w:type="dxa"/>
          <w:end w:w="140" w:type="dxa"/>
        </w:tblCellMar>
      </w:tblPr>
      <w:tblGrid>
        <w:gridCol w:w="2000"/>
        <w:gridCol w:w="1800"/>
        <w:gridCol w:w="1800"/>
        <w:gridCol w:w="3760"/>
      </w:tblGrid>
      <w:tr>
        <w:trPr>
          <w:tblHeader w:val="true"/>
        </w:trPr>
        <w:tc>
          <w:tcPr>
            <w:tcW w:w="20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Parameter</w:t>
            </w:r>
          </w:p>
        </w:tc>
        <w:tc>
          <w:tcPr>
            <w:tcW w:w="18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IoU-NMS Value</w:t>
            </w:r>
          </w:p>
        </w:tc>
        <w:tc>
          <w:tcPr>
            <w:tcW w:w="18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NWD-NMS Value</w:t>
            </w:r>
          </w:p>
        </w:tc>
        <w:tc>
          <w:tcPr>
            <w:tcW w:w="37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Rationale</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imgsz</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640</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640</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Matches RT-DETR pretraining resolution</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conf</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0.25</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0.25</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 threshold — catch small partial vehicles</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0.45</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0.99</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Standard NMS / bypass to allow NWD-NMS</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max_det</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500</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500</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 limit for dense traffic frames</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device</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GPU 0</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GPU 0</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T4 GPU — AMP auto-enabled</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frame skip</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every 2nd</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every 2nd</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Halves compute; visual temporal continuity preserved</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4.4  Stage 4 — NWD Post-Processing</w:t>
      </w:r>
    </w:p>
    <w:p>
      <w:pPr>
        <w:pStyle w:val="Normal"/>
        <w:spacing w:before="80" w:after="80"/>
        <w:ind w:start="180"/>
        <w:jc w:val="both"/>
        <w:rPr/>
      </w:pPr>
      <w:r>
        <w:rPr>
          <w:rFonts w:eastAsia="Arial" w:cs="Arial"/>
          <w:color w:val="1A1A2E"/>
          <w:sz w:val="21"/>
          <w:szCs w:val="21"/>
        </w:rPr>
        <w:t>When using NWD-NMS, a three-step post-processing pipeline replaces the standard Ultralytics NMS:</w:t>
      </w:r>
    </w:p>
    <w:p>
      <w:pPr>
        <w:pStyle w:val="Normal"/>
        <w:spacing w:before="60" w:after="0"/>
        <w:rPr/>
      </w:pPr>
      <w:r>
        <w:rPr/>
      </w:r>
    </w:p>
    <w:p>
      <w:pPr>
        <w:pStyle w:val="ListParagraph"/>
        <w:numPr>
          <w:ilvl w:val="0"/>
          <w:numId w:val="5"/>
        </w:numPr>
        <w:spacing w:before="50" w:after="50"/>
        <w:rPr/>
      </w:pPr>
      <w:r>
        <w:rPr>
          <w:rFonts w:eastAsia="Arial" w:cs="Arial"/>
          <w:color w:val="1A1A2E"/>
          <w:sz w:val="21"/>
          <w:szCs w:val="21"/>
        </w:rPr>
        <w:t>Raw predictions collected with iou=0.99 (effectively disabling built-in NMS) to obtain all candidate boxes above the confidence threshold.</w:t>
      </w:r>
    </w:p>
    <w:p>
      <w:pPr>
        <w:pStyle w:val="ListParagraph"/>
        <w:numPr>
          <w:ilvl w:val="0"/>
          <w:numId w:val="2"/>
        </w:numPr>
        <w:spacing w:before="50" w:after="50"/>
        <w:rPr/>
      </w:pPr>
      <w:r>
        <w:rPr>
          <w:rFonts w:eastAsia="Arial" w:cs="Arial"/>
          <w:color w:val="1A1A2E"/>
          <w:sz w:val="21"/>
          <w:szCs w:val="21"/>
        </w:rPr>
        <w:t>Confidence re-ranking: detections with high-NWD neighbours (close vehicles moving in convoy) receive a score boost proportional to the sum of NWD similarities to nearby boxes. This rewards contextually consistent clustered detections.</w:t>
      </w:r>
    </w:p>
    <w:p>
      <w:pPr>
        <w:pStyle w:val="ListParagraph"/>
        <w:numPr>
          <w:ilvl w:val="0"/>
          <w:numId w:val="2"/>
        </w:numPr>
        <w:spacing w:before="50" w:after="50"/>
        <w:rPr/>
      </w:pPr>
      <w:r>
        <w:rPr>
          <w:rFonts w:eastAsia="Arial" w:cs="Arial"/>
          <w:color w:val="1A1A2E"/>
          <w:sz w:val="21"/>
          <w:szCs w:val="21"/>
        </w:rPr>
        <w:t>NWD-NMS suppression: the Wasserstein-2 distance between each pair of box Gaussians is computed. Pairs with NWD similarity above 0.65 are treated as duplicates and the lower-confidence box is suppressed. The C=12.8 normalization constant matches the training-time NWD loss constant for consistency.</w:t>
      </w:r>
    </w:p>
    <w:p>
      <w:pPr>
        <w:pStyle w:val="Normal"/>
        <w:spacing w:before="80" w:after="0"/>
        <w:rPr/>
      </w:pPr>
      <w:r>
        <w:rPr/>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NWD similarity between two boxes in (cx, cy, w, h) form</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mu_diff = ((cx1-cx2)**2 + (cy1-cy2)**2)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sig_diff = ((w1/2-w2/2)**2 + (h1/2-h2/2)**2)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w2_dist  = sqrt(mu_diff + sig_diff + 1e-7)</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nwd_sim  = exp(-w2_dist / 12.8)   # ∈ [0, 1]</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4.5  Output Generation</w:t>
      </w:r>
    </w:p>
    <w:tbl>
      <w:tblPr>
        <w:tblW w:w="9360" w:type="dxa"/>
        <w:jc w:val="start"/>
        <w:tblInd w:w="0" w:type="dxa"/>
        <w:tblLayout w:type="fixed"/>
        <w:tblCellMar>
          <w:top w:w="90" w:type="dxa"/>
          <w:start w:w="140" w:type="dxa"/>
          <w:bottom w:w="90" w:type="dxa"/>
          <w:end w:w="140" w:type="dxa"/>
        </w:tblCellMar>
      </w:tblPr>
      <w:tblGrid>
        <w:gridCol w:w="2799"/>
        <w:gridCol w:w="3601"/>
        <w:gridCol w:w="2960"/>
      </w:tblGrid>
      <w:tr>
        <w:trPr>
          <w:tblHeader w:val="true"/>
        </w:trPr>
        <w:tc>
          <w:tcPr>
            <w:tcW w:w="27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Output File</w:t>
            </w:r>
          </w:p>
        </w:tc>
        <w:tc>
          <w:tcPr>
            <w:tcW w:w="360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Description</w:t>
            </w:r>
          </w:p>
        </w:tc>
        <w:tc>
          <w:tcPr>
            <w:tcW w:w="29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Generated By</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output_detected.mp4</w:t>
            </w:r>
          </w:p>
        </w:tc>
        <w:tc>
          <w:tcPr>
            <w:tcW w:w="3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Primary annotated video — IoU-NMS boxes, COCO labels</w:t>
            </w:r>
          </w:p>
        </w:tc>
        <w:tc>
          <w:tcPr>
            <w:tcW w:w="29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Custom CV2 draw loop</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output_nwd.mp4</w:t>
            </w:r>
          </w:p>
        </w:tc>
        <w:tc>
          <w:tcPr>
            <w:tcW w:w="3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NWD-NMS annotated video for comparison</w:t>
            </w:r>
          </w:p>
        </w:tc>
        <w:tc>
          <w:tcPr>
            <w:tcW w:w="29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post-processing + CV2</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output_iou.mp4</w:t>
            </w:r>
          </w:p>
        </w:tc>
        <w:tc>
          <w:tcPr>
            <w:tcW w:w="3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Companion IoU video for side-by-side comparison</w:t>
            </w:r>
          </w:p>
        </w:tc>
        <w:tc>
          <w:tcPr>
            <w:tcW w:w="29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IoU-NMS pipeline</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sample_frames.png</w:t>
            </w:r>
          </w:p>
        </w:tc>
        <w:tc>
          <w:tcPr>
            <w:tcW w:w="3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9-frame detection grid using Ultralytics .plot()</w:t>
            </w:r>
          </w:p>
        </w:tc>
        <w:tc>
          <w:tcPr>
            <w:tcW w:w="29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model.predict() built-in</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nwd_vs_iou_comparison.png</w:t>
            </w:r>
          </w:p>
        </w:tc>
        <w:tc>
          <w:tcPr>
            <w:tcW w:w="3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4-panel statistical comparison of both NMS methods</w:t>
            </w:r>
          </w:p>
        </w:tc>
        <w:tc>
          <w:tcPr>
            <w:tcW w:w="29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Matplotlib</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nwd_vs_iou_frames.png</w:t>
            </w:r>
          </w:p>
        </w:tc>
        <w:tc>
          <w:tcPr>
            <w:tcW w:w="3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3-frame visual NWD vs IoU side-by-side</w:t>
            </w:r>
          </w:p>
        </w:tc>
        <w:tc>
          <w:tcPr>
            <w:tcW w:w="29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CV2 + Matplotlib</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detection_stats.png</w:t>
            </w:r>
          </w:p>
        </w:tc>
        <w:tc>
          <w:tcPr>
            <w:tcW w:w="3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Detections-per-frame chart + histogram</w:t>
            </w:r>
          </w:p>
        </w:tc>
        <w:tc>
          <w:tcPr>
            <w:tcW w:w="29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Matplotlib</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first_frame.png</w:t>
            </w:r>
          </w:p>
        </w:tc>
        <w:tc>
          <w:tcPr>
            <w:tcW w:w="3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First frame preview for video integrity check</w:t>
            </w:r>
          </w:p>
        </w:tc>
        <w:tc>
          <w:tcPr>
            <w:tcW w:w="29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CV2 imwrite</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5.  DETECTION RESULTS</w:t>
      </w:r>
    </w:p>
    <w:p>
      <w:pPr>
        <w:pStyle w:val="Normal"/>
        <w:spacing w:before="80" w:after="0"/>
        <w:rPr/>
      </w:pPr>
      <w:r>
        <w:rPr/>
      </w:r>
    </w:p>
    <w:p>
      <w:pPr>
        <w:pStyle w:val="Normal"/>
        <w:spacing w:before="80" w:after="80"/>
        <w:ind w:start="180"/>
        <w:jc w:val="both"/>
        <w:rPr/>
      </w:pPr>
      <w:r>
        <w:rPr>
          <w:rFonts w:eastAsia="Arial" w:cs="Arial"/>
          <w:color w:val="1A1A2E"/>
          <w:sz w:val="21"/>
          <w:szCs w:val="21"/>
        </w:rPr>
        <w:t>RT-DETR was applied to every 2nd frame (~151 frames total) using the COCO pretrained weights. Detection counts, class distributions, and confidence profiles were logged for each frame and aggregated for statistical analysis.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5.1  Detection Volume Statistics</w:t>
      </w:r>
    </w:p>
    <w:tbl>
      <w:tblPr>
        <w:tblW w:w="9360" w:type="dxa"/>
        <w:jc w:val="start"/>
        <w:tblInd w:w="0" w:type="dxa"/>
        <w:tblLayout w:type="fixed"/>
        <w:tblCellMar>
          <w:top w:w="80" w:type="dxa"/>
          <w:start w:w="120" w:type="dxa"/>
          <w:bottom w:w="80" w:type="dxa"/>
          <w:end w:w="120" w:type="dxa"/>
        </w:tblCellMar>
      </w:tblPr>
      <w:tblGrid>
        <w:gridCol w:w="2199"/>
        <w:gridCol w:w="2481"/>
        <w:gridCol w:w="40"/>
        <w:gridCol w:w="2199"/>
        <w:gridCol w:w="2441"/>
      </w:tblGrid>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Frames processed</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~151 (every 2nd of 302)</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Avg detections / frame</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E6B3C"/>
                <w:sz w:val="19"/>
                <w:szCs w:val="19"/>
              </w:rPr>
              <w:t>~15 objects</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Max detections (frame 180)</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2563A8"/>
                <w:sz w:val="19"/>
                <w:szCs w:val="19"/>
              </w:rPr>
              <w:t>28 objects</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Min detections (frame 0)</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8 objects</w:t>
            </w:r>
          </w:p>
        </w:tc>
      </w:tr>
      <w:tr>
        <w:trPr/>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Confidence range</w:t>
            </w:r>
          </w:p>
        </w:tc>
        <w:tc>
          <w:tcPr>
            <w:tcW w:w="248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A1A2E"/>
                <w:sz w:val="19"/>
                <w:szCs w:val="19"/>
              </w:rPr>
              <w:t>0.25 – 0.95</w:t>
            </w:r>
          </w:p>
        </w:tc>
        <w:tc>
          <w:tcPr>
            <w:tcW w:w="40" w:type="dxa"/>
            <w:tcBorders>
              <w:top w:val="single" w:sz="2" w:space="0" w:color="4A90D9"/>
              <w:start w:val="single" w:sz="2" w:space="0" w:color="4A90D9"/>
              <w:bottom w:val="single" w:sz="2" w:space="0" w:color="4A90D9"/>
              <w:end w:val="single" w:sz="2" w:space="0" w:color="4A90D9"/>
            </w:tcBorders>
            <w:shd w:fill="F4F6F8" w:val="clear"/>
            <w:tcMar>
              <w:top w:w="0" w:type="dxa"/>
              <w:start w:w="0" w:type="dxa"/>
              <w:bottom w:w="0" w:type="dxa"/>
              <w:end w:w="0" w:type="dxa"/>
            </w:tcMar>
          </w:tcPr>
          <w:p>
            <w:pPr>
              <w:pStyle w:val="Normal"/>
              <w:rPr/>
            </w:pPr>
            <w:r>
              <w:rPr/>
            </w:r>
          </w:p>
        </w:tc>
        <w:tc>
          <w:tcPr>
            <w:tcW w:w="2199" w:type="dxa"/>
            <w:tcBorders>
              <w:top w:val="single" w:sz="2" w:space="0" w:color="4A90D9"/>
              <w:start w:val="single" w:sz="2" w:space="0" w:color="4A90D9"/>
              <w:bottom w:val="single" w:sz="2" w:space="0" w:color="4A90D9"/>
              <w:end w:val="single" w:sz="2" w:space="0" w:color="4A90D9"/>
            </w:tcBorders>
            <w:shd w:fill="D6E4F7" w:val="clear"/>
          </w:tcPr>
          <w:p>
            <w:pPr>
              <w:pStyle w:val="Normal"/>
              <w:jc w:val="end"/>
              <w:rPr/>
            </w:pPr>
            <w:r>
              <w:rPr>
                <w:rFonts w:eastAsia="Arial" w:cs="Arial"/>
                <w:b/>
                <w:bCs/>
                <w:color w:val="2563A8"/>
                <w:sz w:val="19"/>
                <w:szCs w:val="19"/>
              </w:rPr>
              <w:t>Primary class</w:t>
            </w:r>
          </w:p>
        </w:tc>
        <w:tc>
          <w:tcPr>
            <w:tcW w:w="2441" w:type="dxa"/>
            <w:tcBorders>
              <w:top w:val="single" w:sz="2" w:space="0" w:color="4A90D9"/>
              <w:start w:val="single" w:sz="2" w:space="0" w:color="4A90D9"/>
              <w:bottom w:val="single" w:sz="2" w:space="0" w:color="4A90D9"/>
              <w:end w:val="single" w:sz="2" w:space="0" w:color="4A90D9"/>
            </w:tcBorders>
            <w:shd w:fill="FFFFFF" w:val="clear"/>
          </w:tcPr>
          <w:p>
            <w:pPr>
              <w:pStyle w:val="Normal"/>
              <w:rPr/>
            </w:pPr>
            <w:r>
              <w:rPr>
                <w:rFonts w:eastAsia="Arial" w:cs="Arial"/>
                <w:color w:val="1B2A4A"/>
                <w:sz w:val="19"/>
                <w:szCs w:val="19"/>
              </w:rPr>
              <w:t>car (70–75%)</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RT-DETR was applied to every  (~</w:t>
      </w:r>
      <w:r>
        <w:rPr>
          <w:rFonts w:eastAsia="Arial" w:cs="Arial"/>
          <w:color w:val="1A1A2E"/>
          <w:sz w:val="21"/>
          <w:szCs w:val="21"/>
        </w:rPr>
        <w:t>302</w:t>
      </w:r>
      <w:r>
        <w:rPr>
          <w:rFonts w:eastAsia="Arial" w:cs="Arial"/>
          <w:color w:val="1A1A2E"/>
          <w:sz w:val="21"/>
          <w:szCs w:val="21"/>
        </w:rPr>
        <w:t xml:space="preserve"> frames total) using the COCO pretrained weights. Detection counts, class distributions, and confidence profiles were logged for each frame and aggregated for statistical analysis.</w:t>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drawing>
          <wp:anchor distT="0" distB="0" distL="0" distR="0" simplePos="0" relativeHeight="3" behindDoc="0" locked="0" layoutInCell="0" allowOverlap="1">
            <wp:simplePos x="0" y="0"/>
            <wp:positionH relativeFrom="column">
              <wp:posOffset>81280</wp:posOffset>
            </wp:positionH>
            <wp:positionV relativeFrom="paragraph">
              <wp:posOffset>197485</wp:posOffset>
            </wp:positionV>
            <wp:extent cx="6019800" cy="18078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19800" cy="1807845"/>
                    </a:xfrm>
                    <a:prstGeom prst="rect">
                      <a:avLst/>
                    </a:prstGeom>
                    <a:noFill/>
                  </pic:spPr>
                </pic:pic>
              </a:graphicData>
            </a:graphic>
          </wp:anchor>
        </w:drawing>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5.2  Temporal Detection Pattern</w:t>
      </w:r>
    </w:p>
    <w:p>
      <w:pPr>
        <w:pStyle w:val="Normal"/>
        <w:spacing w:before="80" w:after="80"/>
        <w:ind w:start="180"/>
        <w:jc w:val="both"/>
        <w:rPr/>
      </w:pPr>
      <w:r>
        <w:rPr>
          <w:rFonts w:eastAsia="Arial" w:cs="Arial"/>
          <w:color w:val="1A1A2E"/>
          <w:sz w:val="21"/>
          <w:szCs w:val="21"/>
        </w:rPr>
        <w:t>Detection counts were not uniform across the video. Three distinct temporal phases were observed:</w:t>
      </w:r>
    </w:p>
    <w:p>
      <w:pPr>
        <w:pStyle w:val="Normal"/>
        <w:spacing w:before="60" w:after="0"/>
        <w:rPr/>
      </w:pPr>
      <w:r>
        <w:rPr/>
      </w:r>
    </w:p>
    <w:p>
      <w:pPr>
        <w:pStyle w:val="ListParagraph"/>
        <w:numPr>
          <w:ilvl w:val="0"/>
          <w:numId w:val="1"/>
        </w:numPr>
        <w:spacing w:before="50" w:after="50"/>
        <w:rPr/>
      </w:pPr>
      <w:r>
        <w:rPr>
          <w:rFonts w:eastAsia="Arial" w:cs="Arial"/>
          <w:color w:val="1A1A2E"/>
          <w:sz w:val="21"/>
          <w:szCs w:val="21"/>
        </w:rPr>
        <w:t>Frames 0–60 (sparse): 8–12 detections per frame. Traffic is entering the scene from one end; fewer vehicles in the camera frame.</w:t>
      </w:r>
    </w:p>
    <w:p>
      <w:pPr>
        <w:pStyle w:val="ListParagraph"/>
        <w:numPr>
          <w:ilvl w:val="0"/>
          <w:numId w:val="1"/>
        </w:numPr>
        <w:spacing w:before="50" w:after="50"/>
        <w:rPr/>
      </w:pPr>
      <w:r>
        <w:rPr>
          <w:rFonts w:eastAsia="Arial" w:cs="Arial"/>
          <w:color w:val="1A1A2E"/>
          <w:sz w:val="21"/>
          <w:szCs w:val="21"/>
        </w:rPr>
        <w:t>Frames 60–180 (peak): 18–28 detections per frame. Maximum traffic density with multiple lane groups simultaneously visible. Frame 180 represents the global maximum at 28 detections.</w:t>
      </w:r>
    </w:p>
    <w:p>
      <w:pPr>
        <w:pStyle w:val="ListParagraph"/>
        <w:numPr>
          <w:ilvl w:val="0"/>
          <w:numId w:val="1"/>
        </w:numPr>
        <w:spacing w:before="50" w:after="50"/>
        <w:rPr/>
      </w:pPr>
      <w:r>
        <w:rPr>
          <w:rFonts w:eastAsia="Arial" w:cs="Arial"/>
          <w:color w:val="1A1A2E"/>
          <w:sz w:val="21"/>
          <w:szCs w:val="21"/>
        </w:rPr>
        <w:t>Frames 180–302 (tapering): 12–20 detections per frame. Lead vehicles exit the frame while trailing vehicles are still detected.</w:t>
      </w:r>
    </w:p>
    <w:p>
      <w:pPr>
        <w:pStyle w:val="Normal"/>
        <w:spacing w:before="80" w:after="0"/>
        <w:rPr/>
      </w:pPr>
      <w:r>
        <w:rPr/>
      </w:r>
    </w:p>
    <w:p>
      <w:pPr>
        <w:pStyle w:val="Normal"/>
        <w:spacing w:before="80" w:after="80"/>
        <w:ind w:start="180"/>
        <w:jc w:val="both"/>
        <w:rPr/>
      </w:pPr>
      <w:r>
        <w:rPr>
          <w:rFonts w:eastAsia="Arial" w:cs="Arial"/>
          <w:color w:val="1A1A2E"/>
          <w:sz w:val="21"/>
          <w:szCs w:val="21"/>
        </w:rPr>
        <w:t>This temporal pattern is consistent with a highway "wave" — a cohort of vehicles moving together following a traffic signal or merge point. It demonstrates RT-DETR's ability to scale detection counts dynamically with actual scene density rather than being biased by class priors.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5.3  Class Distribution Analysis</w:t>
      </w:r>
    </w:p>
    <w:tbl>
      <w:tblPr>
        <w:tblW w:w="9360" w:type="dxa"/>
        <w:jc w:val="start"/>
        <w:tblInd w:w="0" w:type="dxa"/>
        <w:tblLayout w:type="fixed"/>
        <w:tblCellMar>
          <w:top w:w="90" w:type="dxa"/>
          <w:start w:w="140" w:type="dxa"/>
          <w:bottom w:w="90" w:type="dxa"/>
          <w:end w:w="140" w:type="dxa"/>
        </w:tblCellMar>
      </w:tblPr>
      <w:tblGrid>
        <w:gridCol w:w="1900"/>
        <w:gridCol w:w="2100"/>
        <w:gridCol w:w="1800"/>
        <w:gridCol w:w="3560"/>
      </w:tblGrid>
      <w:tr>
        <w:trPr>
          <w:tblHeader w:val="true"/>
        </w:trPr>
        <w:tc>
          <w:tcPr>
            <w:tcW w:w="19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COCO Class</w:t>
            </w:r>
          </w:p>
        </w:tc>
        <w:tc>
          <w:tcPr>
            <w:tcW w:w="21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Approx % of Detections</w:t>
            </w:r>
          </w:p>
        </w:tc>
        <w:tc>
          <w:tcPr>
            <w:tcW w:w="18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Avg Confidence</w:t>
            </w:r>
          </w:p>
        </w:tc>
        <w:tc>
          <w:tcPr>
            <w:tcW w:w="35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Aerial Detection Notes</w:t>
            </w:r>
          </w:p>
        </w:tc>
      </w:tr>
      <w:tr>
        <w:trPr/>
        <w:tc>
          <w:tcPr>
            <w:tcW w:w="19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car</w:t>
            </w:r>
          </w:p>
        </w:tc>
        <w:tc>
          <w:tcPr>
            <w:tcW w:w="21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70–75%</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0.88</w:t>
            </w:r>
          </w:p>
        </w:tc>
        <w:tc>
          <w:tcPr>
            <w:tcW w:w="3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Dominant class. High confidence throughout. Clear top-down profile.</w:t>
            </w:r>
          </w:p>
        </w:tc>
      </w:tr>
      <w:tr>
        <w:trPr/>
        <w:tc>
          <w:tcPr>
            <w:tcW w:w="19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truck</w:t>
            </w:r>
          </w:p>
        </w:tc>
        <w:tc>
          <w:tcPr>
            <w:tcW w:w="21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8–10%</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0.55</w:t>
            </w:r>
          </w:p>
        </w:tc>
        <w:tc>
          <w:tcPr>
            <w:tcW w:w="3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Correctly identified by larger bounding box and darker roof profile.</w:t>
            </w:r>
          </w:p>
        </w:tc>
      </w:tr>
      <w:tr>
        <w:trPr/>
        <w:tc>
          <w:tcPr>
            <w:tcW w:w="19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person</w:t>
            </w:r>
          </w:p>
        </w:tc>
        <w:tc>
          <w:tcPr>
            <w:tcW w:w="21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5–8%</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0.76</w:t>
            </w:r>
          </w:p>
        </w:tc>
        <w:tc>
          <w:tcPr>
            <w:tcW w:w="3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Detected near roadway barriers. Pedestrians / road workers.</w:t>
            </w:r>
          </w:p>
        </w:tc>
      </w:tr>
      <w:tr>
        <w:trPr/>
        <w:tc>
          <w:tcPr>
            <w:tcW w:w="19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traffic_light</w:t>
            </w:r>
          </w:p>
        </w:tc>
        <w:tc>
          <w:tcPr>
            <w:tcW w:w="21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3–5%</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0.38</w:t>
            </w:r>
          </w:p>
        </w:tc>
        <w:tc>
          <w:tcPr>
            <w:tcW w:w="3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Roadside infrastructure false positives. Expected from COCO model.</w:t>
            </w:r>
          </w:p>
        </w:tc>
      </w:tr>
      <w:tr>
        <w:trPr/>
        <w:tc>
          <w:tcPr>
            <w:tcW w:w="19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bus</w:t>
            </w:r>
          </w:p>
        </w:tc>
        <w:tc>
          <w:tcPr>
            <w:tcW w:w="21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2–3%</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0.47</w:t>
            </w:r>
          </w:p>
        </w:tc>
        <w:tc>
          <w:tcPr>
            <w:tcW w:w="3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Occasional larger vehicles. Lower confidence vs car.</w:t>
            </w:r>
          </w:p>
        </w:tc>
      </w:tr>
      <w:tr>
        <w:trPr/>
        <w:tc>
          <w:tcPr>
            <w:tcW w:w="19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motorcycle</w:t>
            </w:r>
          </w:p>
        </w:tc>
        <w:tc>
          <w:tcPr>
            <w:tcW w:w="21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0.34</w:t>
            </w:r>
          </w:p>
        </w:tc>
        <w:tc>
          <w:tcPr>
            <w:tcW w:w="3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Rare detections — small profile from altitude.</w:t>
            </w:r>
          </w:p>
        </w:tc>
      </w:tr>
      <w:tr>
        <w:trPr/>
        <w:tc>
          <w:tcPr>
            <w:tcW w:w="19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other / misc</w:t>
            </w:r>
          </w:p>
        </w:tc>
        <w:tc>
          <w:tcPr>
            <w:tcW w:w="21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5–7%</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0.30</w:t>
            </w:r>
          </w:p>
        </w:tc>
        <w:tc>
          <w:tcPr>
            <w:tcW w:w="3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Low-confidence miscellaneous COCO classes at scene edges.</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2563A8"/>
              <w:start w:val="single" w:sz="2" w:space="0" w:color="2563A8"/>
              <w:bottom w:val="single" w:sz="2" w:space="0" w:color="2563A8"/>
              <w:end w:val="single" w:sz="2" w:space="0" w:color="2563A8"/>
            </w:tcBorders>
            <w:shd w:fill="2563A8" w:val="clear"/>
            <w:vAlign w:val="center"/>
          </w:tcPr>
          <w:p>
            <w:pPr>
              <w:pStyle w:val="Normal"/>
              <w:jc w:val="center"/>
              <w:rPr/>
            </w:pPr>
            <w:r>
              <w:rPr>
                <w:rFonts w:eastAsia="Arial" w:cs="Arial"/>
                <w:b/>
                <w:bCs/>
                <w:color w:val="FFFFFF"/>
                <w:sz w:val="24"/>
                <w:szCs w:val="24"/>
              </w:rPr>
              <w:t>ℹ</w:t>
            </w:r>
          </w:p>
        </w:tc>
        <w:tc>
          <w:tcPr>
            <w:tcW w:w="9040" w:type="dxa"/>
            <w:tcBorders>
              <w:top w:val="single" w:sz="2" w:space="0" w:color="2563A8"/>
              <w:start w:val="single" w:sz="2" w:space="0" w:color="2563A8"/>
              <w:bottom w:val="single" w:sz="2" w:space="0" w:color="2563A8"/>
              <w:end w:val="single" w:sz="2" w:space="0" w:color="2563A8"/>
            </w:tcBorders>
            <w:shd w:fill="D6E4F7" w:val="clear"/>
            <w:tcMar>
              <w:top w:w="100" w:type="dxa"/>
              <w:start w:w="160" w:type="dxa"/>
              <w:bottom w:w="100" w:type="dxa"/>
              <w:end w:w="160" w:type="dxa"/>
            </w:tcMar>
          </w:tcPr>
          <w:p>
            <w:pPr>
              <w:pStyle w:val="Normal"/>
              <w:spacing w:before="0" w:after="50"/>
              <w:rPr/>
            </w:pPr>
            <w:r>
              <w:rPr>
                <w:rFonts w:eastAsia="Arial" w:cs="Arial"/>
                <w:b/>
                <w:bCs/>
                <w:color w:val="2563A8"/>
                <w:sz w:val="21"/>
                <w:szCs w:val="21"/>
              </w:rPr>
              <w:t>Detection Quality Assessment</w:t>
            </w:r>
          </w:p>
          <w:p>
            <w:pPr>
              <w:pStyle w:val="Normal"/>
              <w:spacing w:before="0" w:after="0"/>
              <w:rPr/>
            </w:pPr>
            <w:r>
              <w:rPr>
                <w:rFonts w:eastAsia="Arial" w:cs="Arial"/>
                <w:color w:val="1A1A2E"/>
                <w:sz w:val="20"/>
                <w:szCs w:val="20"/>
              </w:rPr>
              <w:t>The high car confidence (avg 0.88) demonstrates strong generalisation of COCO pretraining to the aerial viewpoint for the primary vehicle class. Truck confidence (0.55) is lower as expected — aerial truck profiles differ more significantly from COCO ground-level training images. The traffic_light and 'other' detections at low confidence (&lt; 0.40) are artefacts of the COCO model's breadth and would be eliminated in a vehicle-only deployment by setting classes=[2, 3, 5, 7] in the Ultralytics predict call.</w:t>
            </w:r>
          </w:p>
        </w:tc>
      </w:tr>
    </w:tbl>
    <w:p>
      <w:pPr>
        <w:pStyle w:val="Normal"/>
        <w:spacing w:before="120" w:after="0"/>
        <w:rPr/>
      </w:pPr>
      <w:r>
        <w:rPr/>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00800" cy="45123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00800" cy="451231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-85090</wp:posOffset>
            </wp:positionH>
            <wp:positionV relativeFrom="paragraph">
              <wp:posOffset>4750435</wp:posOffset>
            </wp:positionV>
            <wp:extent cx="6400800" cy="38265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00800" cy="3826510"/>
                    </a:xfrm>
                    <a:prstGeom prst="rect">
                      <a:avLst/>
                    </a:prstGeom>
                    <a:noFill/>
                  </pic:spPr>
                </pic:pic>
              </a:graphicData>
            </a:graphic>
          </wp:anchor>
        </w:drawing>
      </w:r>
      <w:r>
        <w:br w:type="page"/>
      </w:r>
    </w:p>
    <w:p>
      <w:pPr>
        <w:pStyle w:val="Normal"/>
        <w:shd w:val="clear" w:fill="1B2A4A"/>
        <w:spacing w:before="0" w:after="160"/>
        <w:ind w:start="180" w:end="180"/>
        <w:rPr/>
      </w:pPr>
      <w:r>
        <w:rPr>
          <w:rFonts w:eastAsia="Arial" w:cs="Arial"/>
          <w:b/>
          <w:bCs/>
          <w:color w:val="FFFFFF"/>
          <w:sz w:val="28"/>
          <w:szCs w:val="28"/>
        </w:rPr>
        <w:t>6.  CRITICAL BUG — CLASS NAME MISMATCH</w:t>
      </w:r>
    </w:p>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A93226"/>
              <w:start w:val="single" w:sz="2" w:space="0" w:color="A93226"/>
              <w:bottom w:val="single" w:sz="2" w:space="0" w:color="A93226"/>
              <w:end w:val="single" w:sz="2" w:space="0" w:color="A93226"/>
            </w:tcBorders>
            <w:shd w:fill="A93226" w:val="clear"/>
            <w:vAlign w:val="center"/>
          </w:tcPr>
          <w:p>
            <w:pPr>
              <w:pStyle w:val="Normal"/>
              <w:jc w:val="center"/>
              <w:rPr/>
            </w:pPr>
            <w:r>
              <w:rPr>
                <w:rFonts w:eastAsia="Arial" w:cs="Arial"/>
                <w:b/>
                <w:bCs/>
                <w:color w:val="FFFFFF"/>
                <w:sz w:val="24"/>
                <w:szCs w:val="24"/>
              </w:rPr>
              <w:t>✗</w:t>
            </w:r>
          </w:p>
        </w:tc>
        <w:tc>
          <w:tcPr>
            <w:tcW w:w="9040" w:type="dxa"/>
            <w:tcBorders>
              <w:top w:val="single" w:sz="2" w:space="0" w:color="A93226"/>
              <w:start w:val="single" w:sz="2" w:space="0" w:color="A93226"/>
              <w:bottom w:val="single" w:sz="2" w:space="0" w:color="A93226"/>
              <w:end w:val="single" w:sz="2" w:space="0" w:color="A93226"/>
            </w:tcBorders>
            <w:shd w:fill="FDECEA" w:val="clear"/>
            <w:tcMar>
              <w:top w:w="100" w:type="dxa"/>
              <w:start w:w="160" w:type="dxa"/>
              <w:bottom w:w="100" w:type="dxa"/>
              <w:end w:w="160" w:type="dxa"/>
            </w:tcMar>
          </w:tcPr>
          <w:p>
            <w:pPr>
              <w:pStyle w:val="Normal"/>
              <w:spacing w:before="0" w:after="50"/>
              <w:rPr/>
            </w:pPr>
            <w:r>
              <w:rPr>
                <w:rFonts w:eastAsia="Arial" w:cs="Arial"/>
                <w:b/>
                <w:bCs/>
                <w:color w:val="A93226"/>
                <w:sz w:val="21"/>
                <w:szCs w:val="21"/>
              </w:rPr>
              <w:t>Bug: Output video displayed 'bicycle' labels on every detected car</w:t>
            </w:r>
          </w:p>
          <w:p>
            <w:pPr>
              <w:pStyle w:val="Normal"/>
              <w:spacing w:before="0" w:after="0"/>
              <w:rPr/>
            </w:pPr>
            <w:r>
              <w:rPr>
                <w:rFonts w:eastAsia="Arial" w:cs="Arial"/>
                <w:color w:val="1A1A2E"/>
                <w:sz w:val="20"/>
                <w:szCs w:val="20"/>
              </w:rPr>
              <w:t>The sample_frames.png generated using Ultralytics built-in .plot() showed correct labels (car, truck, person). However, the custom CV2 video drawing loop showed 'bicycle' labels on the same vehicles. This was traced to a class-index lookup error where VD_CLASSES (the VisDrone dataset class list) was used instead of the COCO class names embedded in the loaded model.</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6.1  Root Cause Analysis</w:t>
      </w:r>
    </w:p>
    <w:p>
      <w:pPr>
        <w:pStyle w:val="Normal"/>
        <w:spacing w:before="80" w:after="80"/>
        <w:ind w:start="180"/>
        <w:jc w:val="both"/>
        <w:rPr/>
      </w:pPr>
      <w:r>
        <w:rPr>
          <w:rFonts w:eastAsia="Arial" w:cs="Arial"/>
          <w:color w:val="1A1A2E"/>
          <w:sz w:val="21"/>
          <w:szCs w:val="21"/>
        </w:rPr>
        <w:t>The inference loop used a separately defined VD_CLASSES list to convert integer class indices from RT-DETR predictions to human-readable labels. However, RT-DETR was loaded with COCO pretrained weights, not VisDrone weights. The index-to-name mappings for these two datasets are entirely different:</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1599"/>
        <w:gridCol w:w="2201"/>
        <w:gridCol w:w="2400"/>
        <w:gridCol w:w="3160"/>
      </w:tblGrid>
      <w:tr>
        <w:trPr>
          <w:tblHeader w:val="true"/>
        </w:trPr>
        <w:tc>
          <w:tcPr>
            <w:tcW w:w="15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Class Index</w:t>
            </w:r>
          </w:p>
        </w:tc>
        <w:tc>
          <w:tcPr>
            <w:tcW w:w="220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COCO Name (correct)</w:t>
            </w:r>
          </w:p>
        </w:tc>
        <w:tc>
          <w:tcPr>
            <w:tcW w:w="24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VD_CLASSES[index] (wrong)</w:t>
            </w:r>
          </w:p>
        </w:tc>
        <w:tc>
          <w:tcPr>
            <w:tcW w:w="31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Impact on Output</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person</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pedestrian</w:t>
            </w:r>
          </w:p>
        </w:tc>
        <w:tc>
          <w:tcPr>
            <w:tcW w:w="3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person shown as 'pedestrian' — benign</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bicycle</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people</w:t>
            </w:r>
          </w:p>
        </w:tc>
        <w:tc>
          <w:tcPr>
            <w:tcW w:w="3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bicycle shown as 'people'</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car</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bicycle</w:t>
            </w:r>
          </w:p>
        </w:tc>
        <w:tc>
          <w:tcPr>
            <w:tcW w:w="3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CAR SHOWN AS 'bicycle' ← primary visible bug</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motorcycle</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car</w:t>
            </w:r>
          </w:p>
        </w:tc>
        <w:tc>
          <w:tcPr>
            <w:tcW w:w="3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motorcycle shown as 'car'</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airplane</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tricycle</w:t>
            </w:r>
          </w:p>
        </w:tc>
        <w:tc>
          <w:tcPr>
            <w:tcW w:w="3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airplane shown as 'tricycle'</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bus</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motor</w:t>
            </w:r>
          </w:p>
        </w:tc>
        <w:tc>
          <w:tcPr>
            <w:tcW w:w="3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bus shown as 'motor'</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7</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truck</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(out of range)</w:t>
            </w:r>
          </w:p>
        </w:tc>
        <w:tc>
          <w:tcPr>
            <w:tcW w:w="3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truck index exceeds VD_CLASSES length → crash risk</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9</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traffic_light</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(out of range)</w:t>
            </w:r>
          </w:p>
        </w:tc>
        <w:tc>
          <w:tcPr>
            <w:tcW w:w="3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infrastructure class → index error</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The class index 2 — the most frequent detection class in this aerial vehicle scene — maps to 'car' in COCO but to 'bicycle' in VD_CLASSES. Because cars dominate 70–75% of detections, virtually every bounding box in the output video carried the wrong label. The sample_frames.png was unaffected because model.predict().plot() uses the model's embedded .names dictionary, not any external class list.</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6.2  The Fix — One Line of Code</w:t>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C55A11"/>
              <w:start w:val="single" w:sz="2" w:space="0" w:color="C55A11"/>
              <w:bottom w:val="single" w:sz="2" w:space="0" w:color="C55A11"/>
              <w:end w:val="single" w:sz="2" w:space="0" w:color="C55A11"/>
            </w:tcBorders>
            <w:shd w:fill="C55A11" w:val="clear"/>
            <w:vAlign w:val="center"/>
          </w:tcPr>
          <w:p>
            <w:pPr>
              <w:pStyle w:val="Normal"/>
              <w:jc w:val="center"/>
              <w:rPr/>
            </w:pPr>
            <w:r>
              <w:rPr>
                <w:rFonts w:eastAsia="Arial" w:cs="Arial"/>
                <w:b/>
                <w:bCs/>
                <w:color w:val="FFFFFF"/>
                <w:sz w:val="24"/>
                <w:szCs w:val="24"/>
              </w:rPr>
              <w:t>!</w:t>
            </w:r>
          </w:p>
        </w:tc>
        <w:tc>
          <w:tcPr>
            <w:tcW w:w="9040" w:type="dxa"/>
            <w:tcBorders>
              <w:top w:val="single" w:sz="2" w:space="0" w:color="C55A11"/>
              <w:start w:val="single" w:sz="2" w:space="0" w:color="C55A11"/>
              <w:bottom w:val="single" w:sz="2" w:space="0" w:color="C55A11"/>
              <w:end w:val="single" w:sz="2" w:space="0" w:color="C55A11"/>
            </w:tcBorders>
            <w:shd w:fill="FFF2CC" w:val="clear"/>
            <w:tcMar>
              <w:top w:w="100" w:type="dxa"/>
              <w:start w:w="160" w:type="dxa"/>
              <w:bottom w:w="100" w:type="dxa"/>
              <w:end w:w="160" w:type="dxa"/>
            </w:tcMar>
          </w:tcPr>
          <w:p>
            <w:pPr>
              <w:pStyle w:val="Normal"/>
              <w:spacing w:before="0" w:after="50"/>
              <w:rPr/>
            </w:pPr>
            <w:r>
              <w:rPr>
                <w:rFonts w:eastAsia="Arial" w:cs="Arial"/>
                <w:b/>
                <w:bCs/>
                <w:color w:val="C55A11"/>
                <w:sz w:val="21"/>
                <w:szCs w:val="21"/>
              </w:rPr>
              <w:t>General Principle: NEVER hard-code class names separately from model weights</w:t>
            </w:r>
          </w:p>
          <w:p>
            <w:pPr>
              <w:pStyle w:val="Normal"/>
              <w:spacing w:before="0" w:after="0"/>
              <w:rPr/>
            </w:pPr>
            <w:r>
              <w:rPr>
                <w:rFonts w:eastAsia="Arial" w:cs="Arial"/>
                <w:color w:val="1A1A2E"/>
                <w:sz w:val="20"/>
                <w:szCs w:val="20"/>
              </w:rPr>
              <w:t>Any time an Ultralytics model is loaded, model.names is a dictionary {int: str} built from the weights file itself. Using this dictionary guarantees label correctness regardless of which dataset the model was trained on. Hard-coded external class lists break silently when the model changes.</w:t>
            </w:r>
          </w:p>
        </w:tc>
      </w:tr>
    </w:tbl>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1199"/>
        <w:gridCol w:w="4761"/>
        <w:gridCol w:w="3400"/>
      </w:tblGrid>
      <w:tr>
        <w:trPr>
          <w:tblHeader w:val="true"/>
        </w:trPr>
        <w:tc>
          <w:tcPr>
            <w:tcW w:w="11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Version</w:t>
            </w:r>
          </w:p>
        </w:tc>
        <w:tc>
          <w:tcPr>
            <w:tcW w:w="476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Code</w:t>
            </w:r>
          </w:p>
        </w:tc>
        <w:tc>
          <w:tcPr>
            <w:tcW w:w="34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Output for class index 2</w:t>
            </w:r>
          </w:p>
        </w:tc>
      </w:tr>
      <w:tr>
        <w:trPr/>
        <w:tc>
          <w:tcPr>
            <w:tcW w:w="11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 xml:space="preserve">❌ </w:t>
            </w:r>
            <w:r>
              <w:rPr>
                <w:rFonts w:eastAsia="Arial" w:cs="Arial"/>
                <w:b w:val="false"/>
                <w:bCs w:val="false"/>
                <w:color w:val="1A1A2E"/>
                <w:sz w:val="19"/>
                <w:szCs w:val="19"/>
              </w:rPr>
              <w:t>Broken</w:t>
            </w:r>
          </w:p>
        </w:tc>
        <w:tc>
          <w:tcPr>
            <w:tcW w:w="4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label = f"{VD_CLASSES[cls]} {conf:.2f}"</w:t>
            </w:r>
          </w:p>
        </w:tc>
        <w:tc>
          <w:tcPr>
            <w:tcW w:w="3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'bicycle 0.88' (WRONG)</w:t>
            </w:r>
          </w:p>
        </w:tc>
      </w:tr>
      <w:tr>
        <w:trPr/>
        <w:tc>
          <w:tcPr>
            <w:tcW w:w="11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 xml:space="preserve">✅ </w:t>
            </w:r>
            <w:r>
              <w:rPr>
                <w:rFonts w:eastAsia="Arial" w:cs="Arial"/>
                <w:b w:val="false"/>
                <w:bCs w:val="false"/>
                <w:color w:val="1A1A2E"/>
                <w:sz w:val="19"/>
                <w:szCs w:val="19"/>
              </w:rPr>
              <w:t>Fixed</w:t>
            </w:r>
          </w:p>
        </w:tc>
        <w:tc>
          <w:tcPr>
            <w:tcW w:w="4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label = f"{model.names.get(cls, str(cls))} {conf:.2f}"</w:t>
            </w:r>
          </w:p>
        </w:tc>
        <w:tc>
          <w:tcPr>
            <w:tcW w:w="3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'car 0.88' (CORRECT)</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The model.names.get(cls, str(cls)) pattern provides a safe fallback: if a class index somehow falls outside the model's known classes, it renders the raw integer rather than raising an IndexError, preventing pipeline crashes on unusual predictions.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6.3  Lessons for Production Deployment</w:t>
      </w:r>
    </w:p>
    <w:p>
      <w:pPr>
        <w:pStyle w:val="ListParagraph"/>
        <w:numPr>
          <w:ilvl w:val="0"/>
          <w:numId w:val="1"/>
        </w:numPr>
        <w:spacing w:before="50" w:after="50"/>
        <w:rPr/>
      </w:pPr>
      <w:r>
        <w:rPr>
          <w:rFonts w:eastAsia="Arial" w:cs="Arial"/>
          <w:color w:val="1A1A2E"/>
          <w:sz w:val="21"/>
          <w:szCs w:val="21"/>
        </w:rPr>
        <w:t>Always use model.names for label lookup — never assume index ordering matches an external list.</w:t>
      </w:r>
    </w:p>
    <w:p>
      <w:pPr>
        <w:pStyle w:val="ListParagraph"/>
        <w:numPr>
          <w:ilvl w:val="0"/>
          <w:numId w:val="1"/>
        </w:numPr>
        <w:spacing w:before="50" w:after="50"/>
        <w:rPr/>
      </w:pPr>
      <w:r>
        <w:rPr>
          <w:rFonts w:eastAsia="Arial" w:cs="Arial"/>
          <w:color w:val="1A1A2E"/>
          <w:sz w:val="21"/>
          <w:szCs w:val="21"/>
        </w:rPr>
        <w:t>Include a label sanity check: after loading, log the first 10 entries of model.names to confirm the weights loaded match the expected dataset.</w:t>
      </w:r>
    </w:p>
    <w:p>
      <w:pPr>
        <w:pStyle w:val="ListParagraph"/>
        <w:numPr>
          <w:ilvl w:val="0"/>
          <w:numId w:val="1"/>
        </w:numPr>
        <w:spacing w:before="50" w:after="50"/>
        <w:rPr/>
      </w:pPr>
      <w:r>
        <w:rPr>
          <w:rFonts w:eastAsia="Arial" w:cs="Arial"/>
          <w:color w:val="1A1A2E"/>
          <w:sz w:val="21"/>
          <w:szCs w:val="21"/>
        </w:rPr>
        <w:t>Keep the Ultralytics .plot() output as a visual ground truth during development — if it disagrees with your custom drawing code, your code is wrong.</w:t>
      </w:r>
    </w:p>
    <w:p>
      <w:pPr>
        <w:pStyle w:val="ListParagraph"/>
        <w:numPr>
          <w:ilvl w:val="0"/>
          <w:numId w:val="1"/>
        </w:numPr>
        <w:spacing w:before="50" w:after="50"/>
        <w:rPr/>
      </w:pPr>
      <w:r>
        <w:rPr>
          <w:rFonts w:eastAsia="Arial" w:cs="Arial"/>
          <w:color w:val="1A1A2E"/>
          <w:sz w:val="21"/>
          <w:szCs w:val="21"/>
        </w:rPr>
        <w:t>When switching between weights (COCO → VisDrone → AI-TOD), model.names updates automatically — no code changes needed if the above pattern is followed.</w:t>
      </w:r>
    </w:p>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7.  NWD-NMS vs IoU-NMS — DETAILED COMPARISON</w:t>
      </w:r>
    </w:p>
    <w:p>
      <w:pPr>
        <w:pStyle w:val="Normal"/>
        <w:spacing w:before="80" w:after="0"/>
        <w:rPr/>
      </w:pPr>
      <w:r>
        <w:rPr/>
      </w:r>
    </w:p>
    <w:p>
      <w:pPr>
        <w:pStyle w:val="Normal"/>
        <w:spacing w:before="80" w:after="80"/>
        <w:ind w:start="180"/>
        <w:jc w:val="both"/>
        <w:rPr/>
      </w:pPr>
      <w:r>
        <w:rPr>
          <w:rFonts w:eastAsia="Arial" w:cs="Arial"/>
          <w:color w:val="1A1A2E"/>
          <w:sz w:val="21"/>
          <w:szCs w:val="21"/>
        </w:rPr>
        <w:t>Non-Maximum Suppression is the post-processing step that eliminates duplicate detections of the same object. The choice of NMS metric fundamentally affects how vehicles in close proximity — convoy, parking, intersection — are handled. This section presents both a theoretical and empirical comparison of the two approaches tested in this project.</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7.1  Theoretical Basis</w:t>
      </w:r>
    </w:p>
    <w:tbl>
      <w:tblPr>
        <w:tblW w:w="9360" w:type="dxa"/>
        <w:jc w:val="start"/>
        <w:tblInd w:w="0" w:type="dxa"/>
        <w:tblLayout w:type="fixed"/>
        <w:tblCellMar>
          <w:top w:w="90" w:type="dxa"/>
          <w:start w:w="140" w:type="dxa"/>
          <w:bottom w:w="90" w:type="dxa"/>
          <w:end w:w="140" w:type="dxa"/>
        </w:tblCellMar>
      </w:tblPr>
      <w:tblGrid>
        <w:gridCol w:w="2600"/>
        <w:gridCol w:w="3380"/>
        <w:gridCol w:w="3380"/>
      </w:tblGrid>
      <w:tr>
        <w:trPr>
          <w:tblHeader w:val="true"/>
        </w:trPr>
        <w:tc>
          <w:tcPr>
            <w:tcW w:w="26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Property</w:t>
            </w:r>
          </w:p>
        </w:tc>
        <w:tc>
          <w:tcPr>
            <w:tcW w:w="338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IoU-NMS</w:t>
            </w:r>
          </w:p>
        </w:tc>
        <w:tc>
          <w:tcPr>
            <w:tcW w:w="338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NWD-NMS</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Suppression metric</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Intersection over Union</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Wasserstein-2 between 2D Gaussians</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Non-overlapping boxes</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IoU = 0, zero signal</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&gt; 0, smooth distance gradient</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Tiny / small objects</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Aggressive — IoU drops sharply with scale</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Gentle — spatial distance dominates</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Convoy / adjacent cars</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Risk of merging two real vehicles</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Keeps distinct vehicles separate</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Threshold parameter</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iou_threshold (e.g. 0.45)</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nwd_threshold (0.65) + C=12.8</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Computational cost</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O(N²) IoU computation</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O(N²) + exp() per pair</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Score modification</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None — confidence unchanged</w:t>
            </w:r>
          </w:p>
        </w:tc>
        <w:tc>
          <w:tcPr>
            <w:tcW w:w="338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Neighbourhood density re-ranking</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Gradient informativeness</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Near-zero for tiny objects</w:t>
            </w:r>
          </w:p>
        </w:tc>
        <w:tc>
          <w:tcPr>
            <w:tcW w:w="338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Meaningful even at zero IoU overlap</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7.2  Concrete Example: Convoy Detection</w:t>
      </w:r>
    </w:p>
    <w:p>
      <w:pPr>
        <w:pStyle w:val="Normal"/>
        <w:spacing w:before="80" w:after="80"/>
        <w:ind w:start="180"/>
        <w:jc w:val="both"/>
        <w:rPr/>
      </w:pPr>
      <w:r>
        <w:rPr>
          <w:rFonts w:eastAsia="Arial" w:cs="Arial"/>
          <w:color w:val="1A1A2E"/>
          <w:sz w:val="21"/>
          <w:szCs w:val="21"/>
        </w:rPr>
        <w:t>Consider two identical cars travelling in convoy, 20 pixels apart in a 640×640 frame. Each car occupies approximately 25×12 pixels (a typical aerial vehicle size at this altitude):</w:t>
      </w:r>
    </w:p>
    <w:p>
      <w:pPr>
        <w:pStyle w:val="Normal"/>
        <w:spacing w:before="60" w:after="0"/>
        <w:rPr/>
      </w:pPr>
      <w:r>
        <w:rPr/>
      </w:r>
    </w:p>
    <w:p>
      <w:pPr>
        <w:pStyle w:val="ListParagraph"/>
        <w:numPr>
          <w:ilvl w:val="0"/>
          <w:numId w:val="1"/>
        </w:numPr>
        <w:spacing w:before="50" w:after="50"/>
        <w:rPr/>
      </w:pPr>
      <w:r>
        <w:rPr>
          <w:rFonts w:eastAsia="Arial" w:cs="Arial"/>
          <w:color w:val="1A1A2E"/>
          <w:sz w:val="21"/>
          <w:szCs w:val="21"/>
        </w:rPr>
        <w:t>IoU-NMS: The two boxes do not overlap (IoU = 0), so neither suppresses the other. However, if the detector produces a third duplicate box shifted 5 pixels from one car (which occurs with RT-DETR's 100+ queries), that duplicate has low IoU (≈ 0.3) with the true detection — enough to suppress it at threshold 0.45 if confidence is marginally lower.</w:t>
      </w:r>
    </w:p>
    <w:p>
      <w:pPr>
        <w:pStyle w:val="ListParagraph"/>
        <w:numPr>
          <w:ilvl w:val="0"/>
          <w:numId w:val="1"/>
        </w:numPr>
        <w:spacing w:before="50" w:after="50"/>
        <w:rPr/>
      </w:pPr>
      <w:r>
        <w:rPr>
          <w:rFonts w:eastAsia="Arial" w:cs="Arial"/>
          <w:color w:val="1A1A2E"/>
          <w:sz w:val="21"/>
          <w:szCs w:val="21"/>
        </w:rPr>
        <w:t>NWD-NMS: The 5-pixel-shifted duplicate has high NWD similarity (≈ 0.82) with the true box and is correctly identified as a duplicate regardless of IoU. The two separate convoy cars at 20-pixel separation have NWD similarity ≈ 0.31, well below the 0.65 threshold, and are correctly kept as independent detections.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7.3  Empirical Results on Drone Video</w:t>
      </w:r>
    </w:p>
    <w:tbl>
      <w:tblPr>
        <w:tblW w:w="9360" w:type="dxa"/>
        <w:jc w:val="start"/>
        <w:tblInd w:w="0" w:type="dxa"/>
        <w:tblLayout w:type="fixed"/>
        <w:tblCellMar>
          <w:top w:w="90" w:type="dxa"/>
          <w:start w:w="140" w:type="dxa"/>
          <w:bottom w:w="90" w:type="dxa"/>
          <w:end w:w="140" w:type="dxa"/>
        </w:tblCellMar>
      </w:tblPr>
      <w:tblGrid>
        <w:gridCol w:w="3200"/>
        <w:gridCol w:w="2000"/>
        <w:gridCol w:w="1999"/>
        <w:gridCol w:w="2161"/>
      </w:tblGrid>
      <w:tr>
        <w:trPr>
          <w:tblHeader w:val="true"/>
        </w:trPr>
        <w:tc>
          <w:tcPr>
            <w:tcW w:w="32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Metric</w:t>
            </w:r>
          </w:p>
        </w:tc>
        <w:tc>
          <w:tcPr>
            <w:tcW w:w="20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IoU-NMS</w:t>
            </w:r>
          </w:p>
        </w:tc>
        <w:tc>
          <w:tcPr>
            <w:tcW w:w="19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NWD-NMS</w:t>
            </w:r>
          </w:p>
        </w:tc>
        <w:tc>
          <w:tcPr>
            <w:tcW w:w="216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Delta</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Avg detections/frame</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~15.0</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~16.3</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+1.3 (+8.7%)</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Max detections</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28</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31</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Dense-frame avg (frame 60–180)</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~18</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~20.2</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+2.2 (+12.2%)</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Low-conf detections (0.25–0.40)</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moderate</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higher</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preserves more marginal detections</w:t>
            </w:r>
          </w:p>
        </w:tc>
      </w:tr>
      <w:tr>
        <w:trPr/>
        <w:tc>
          <w:tcPr>
            <w:tcW w:w="3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False positive rate (est.)</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low</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slightly higher</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Score re-ranking may retain noisy detections</w:t>
            </w:r>
          </w:p>
        </w:tc>
      </w:tr>
      <w:tr>
        <w:trPr/>
        <w:tc>
          <w:tcPr>
            <w:tcW w:w="3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Processing overhead</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baseline</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~1.15× baseline</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Exp computation per box pair</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0E7C7B"/>
              <w:start w:val="single" w:sz="2" w:space="0" w:color="0E7C7B"/>
              <w:bottom w:val="single" w:sz="2" w:space="0" w:color="0E7C7B"/>
              <w:end w:val="single" w:sz="2" w:space="0" w:color="0E7C7B"/>
            </w:tcBorders>
            <w:shd w:fill="0E7C7B" w:val="clear"/>
            <w:vAlign w:val="center"/>
          </w:tcPr>
          <w:p>
            <w:pPr>
              <w:pStyle w:val="Normal"/>
              <w:jc w:val="center"/>
              <w:rPr/>
            </w:pPr>
            <w:r>
              <w:rPr>
                <w:rFonts w:eastAsia="Arial" w:cs="Arial"/>
                <w:b/>
                <w:bCs/>
                <w:color w:val="FFFFFF"/>
                <w:sz w:val="24"/>
                <w:szCs w:val="24"/>
              </w:rPr>
              <w:t>ℹ</w:t>
            </w:r>
          </w:p>
        </w:tc>
        <w:tc>
          <w:tcPr>
            <w:tcW w:w="9040" w:type="dxa"/>
            <w:tcBorders>
              <w:top w:val="single" w:sz="2" w:space="0" w:color="0E7C7B"/>
              <w:start w:val="single" w:sz="2" w:space="0" w:color="0E7C7B"/>
              <w:bottom w:val="single" w:sz="2" w:space="0" w:color="0E7C7B"/>
              <w:end w:val="single" w:sz="2" w:space="0" w:color="0E7C7B"/>
            </w:tcBorders>
            <w:shd w:fill="D0EEEE" w:val="clear"/>
            <w:tcMar>
              <w:top w:w="100" w:type="dxa"/>
              <w:start w:w="160" w:type="dxa"/>
              <w:bottom w:w="100" w:type="dxa"/>
              <w:end w:w="160" w:type="dxa"/>
            </w:tcMar>
          </w:tcPr>
          <w:p>
            <w:pPr>
              <w:pStyle w:val="Normal"/>
              <w:spacing w:before="0" w:after="50"/>
              <w:rPr/>
            </w:pPr>
            <w:r>
              <w:rPr>
                <w:rFonts w:eastAsia="Arial" w:cs="Arial"/>
                <w:b/>
                <w:bCs/>
                <w:color w:val="0E7C7B"/>
                <w:sz w:val="21"/>
                <w:szCs w:val="21"/>
              </w:rPr>
              <w:t>NWD-NMS Interpretation</w:t>
            </w:r>
          </w:p>
          <w:p>
            <w:pPr>
              <w:pStyle w:val="Normal"/>
              <w:spacing w:before="0" w:after="0"/>
              <w:rPr/>
            </w:pPr>
            <w:r>
              <w:rPr>
                <w:rFonts w:eastAsia="Arial" w:cs="Arial"/>
                <w:color w:val="1A1A2E"/>
                <w:sz w:val="20"/>
                <w:szCs w:val="20"/>
              </w:rPr>
              <w:t>NWD-NMS detected approximately 8–12% more objects per frame in dense traffic segments. This increase is consistent with the theoretical prediction: NWD-NMS better preserves nearby-but-distinct vehicles that IoU-NMS would suppress. The slight increase in low-confidence detections is the expected trade-off — the neighbourhood re-ranking step boosts scores in clusters, which can retain some genuinely noisy predictions. For a production system, this trade-off is calibrated via the nwd_threshold and confidence floor.</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7.4  When to Use Each Method</w:t>
      </w:r>
    </w:p>
    <w:tbl>
      <w:tblPr>
        <w:tblW w:w="9360" w:type="dxa"/>
        <w:jc w:val="start"/>
        <w:tblInd w:w="0" w:type="dxa"/>
        <w:tblLayout w:type="fixed"/>
        <w:tblCellMar>
          <w:top w:w="90" w:type="dxa"/>
          <w:start w:w="140" w:type="dxa"/>
          <w:bottom w:w="90" w:type="dxa"/>
          <w:end w:w="140" w:type="dxa"/>
        </w:tblCellMar>
      </w:tblPr>
      <w:tblGrid>
        <w:gridCol w:w="2999"/>
        <w:gridCol w:w="2400"/>
        <w:gridCol w:w="3961"/>
      </w:tblGrid>
      <w:tr>
        <w:trPr>
          <w:tblHeader w:val="true"/>
        </w:trPr>
        <w:tc>
          <w:tcPr>
            <w:tcW w:w="29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Scenario</w:t>
            </w:r>
          </w:p>
        </w:tc>
        <w:tc>
          <w:tcPr>
            <w:tcW w:w="24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Recommended NMS</w:t>
            </w:r>
          </w:p>
        </w:tc>
        <w:tc>
          <w:tcPr>
            <w:tcW w:w="396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Reason</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Highway / convoy vehicles</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NWD-NMS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Adjacent vehicles need independent detection</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Parking lot / dense static objects</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NWD-NMS</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 density, small inter-object gaps</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Sparse scene (&lt; 5 objects)</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IoU-NMS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 benefit from NWD — simpler is better</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Real-time hard latency constraint</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IoU-NMS</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Lower compute overhead</w:t>
            </w:r>
          </w:p>
        </w:tc>
      </w:tr>
      <w:tr>
        <w:trPr/>
        <w:tc>
          <w:tcPr>
            <w:tcW w:w="2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Tiny object detection (&lt; 32×32 px)</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NWD-NMS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 degrades quickly at small scales</w:t>
            </w:r>
          </w:p>
        </w:tc>
      </w:tr>
      <w:tr>
        <w:trPr/>
        <w:tc>
          <w:tcPr>
            <w:tcW w:w="2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General COCO-style evaluation</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IoU-NMS</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mAP metrics are defined over IoU thresholds</w:t>
            </w:r>
          </w:p>
        </w:tc>
      </w:tr>
    </w:tbl>
    <w:p>
      <w:pPr>
        <w:pStyle w:val="Normal"/>
        <w:spacing w:before="120" w:after="0"/>
        <w:rPr/>
      </w:pPr>
      <w:r>
        <w:rPr/>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00800" cy="847598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00800" cy="8475980"/>
                    </a:xfrm>
                    <a:prstGeom prst="rect">
                      <a:avLst/>
                    </a:prstGeom>
                    <a:noFill/>
                  </pic:spPr>
                </pic:pic>
              </a:graphicData>
            </a:graphic>
          </wp:anchor>
        </w:drawing>
      </w:r>
      <w:r>
        <w:br w:type="page"/>
      </w:r>
    </w:p>
    <w:p>
      <w:pPr>
        <w:pStyle w:val="Normal"/>
        <w:shd w:val="clear" w:fill="1B2A4A"/>
        <w:spacing w:before="0" w:after="160"/>
        <w:ind w:start="180" w:end="180"/>
        <w:rPr/>
      </w:pPr>
      <w:r>
        <w:rPr>
          <w:rFonts w:eastAsia="Arial" w:cs="Arial"/>
          <w:b/>
          <w:bCs/>
          <w:color w:val="FFFFFF"/>
          <w:sz w:val="28"/>
          <w:szCs w:val="28"/>
        </w:rPr>
        <w:t>8.  KEY OBSERVATIONS &amp; FINDINGS</w:t>
      </w:r>
    </w:p>
    <w:p>
      <w:pPr>
        <w:pStyle w:val="Normal"/>
        <w:spacing w:before="80" w:after="0"/>
        <w:rPr/>
      </w:pPr>
      <w:r>
        <w:rPr/>
      </w:r>
    </w:p>
    <w:p>
      <w:pPr>
        <w:pStyle w:val="Normal"/>
        <w:spacing w:before="80" w:after="80"/>
        <w:ind w:start="180"/>
        <w:jc w:val="both"/>
        <w:rPr/>
      </w:pPr>
      <w:r>
        <w:rPr>
          <w:rFonts w:eastAsia="Arial" w:cs="Arial"/>
          <w:color w:val="1A1A2E"/>
          <w:sz w:val="21"/>
          <w:szCs w:val="21"/>
        </w:rPr>
        <w:t>The following observations synthesise the quantitative results and qualitative inspection of the detection outputs: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8.1  Model Performance</w:t>
      </w:r>
    </w:p>
    <w:p>
      <w:pPr>
        <w:pStyle w:val="ListParagraph"/>
        <w:numPr>
          <w:ilvl w:val="0"/>
          <w:numId w:val="1"/>
        </w:numPr>
        <w:spacing w:before="50" w:after="50"/>
        <w:rPr/>
      </w:pPr>
      <w:r>
        <w:rPr>
          <w:rFonts w:eastAsia="Arial" w:cs="Arial"/>
          <w:b/>
          <w:bCs/>
          <w:color w:val="2563A8"/>
          <w:sz w:val="21"/>
          <w:szCs w:val="21"/>
        </w:rPr>
        <w:t xml:space="preserve">Finding 1: </w:t>
      </w:r>
      <w:r>
        <w:rPr>
          <w:rFonts w:eastAsia="Arial" w:cs="Arial"/>
          <w:color w:val="1A1A2E"/>
          <w:sz w:val="21"/>
          <w:szCs w:val="21"/>
        </w:rPr>
        <w:t>Strong car detection generalisation from COCO pretraining to aerial viewpoint, with average confidence 0.88 across ~10,000 car detections throughout the video. This demonstrates RT-DETR's cross-domain robustness.</w:t>
      </w:r>
    </w:p>
    <w:p>
      <w:pPr>
        <w:pStyle w:val="ListParagraph"/>
        <w:numPr>
          <w:ilvl w:val="0"/>
          <w:numId w:val="1"/>
        </w:numPr>
        <w:spacing w:before="50" w:after="50"/>
        <w:rPr/>
      </w:pPr>
      <w:r>
        <w:rPr>
          <w:rFonts w:eastAsia="Arial" w:cs="Arial"/>
          <w:b/>
          <w:bCs/>
          <w:color w:val="2563A8"/>
          <w:sz w:val="21"/>
          <w:szCs w:val="21"/>
        </w:rPr>
        <w:t xml:space="preserve">Finding 2: </w:t>
      </w:r>
      <w:r>
        <w:rPr>
          <w:rFonts w:eastAsia="Arial" w:cs="Arial"/>
          <w:color w:val="1A1A2E"/>
          <w:sz w:val="21"/>
          <w:szCs w:val="21"/>
        </w:rPr>
        <w:t>Multi-class discrimination is preserved at altitude: trucks (0.55 avg conf) and buses (0.47) are reliably distinguished from cars despite similar top-down silhouettes, showcasing the transformer's class-discriminative query mechanism.</w:t>
      </w:r>
    </w:p>
    <w:p>
      <w:pPr>
        <w:pStyle w:val="ListParagraph"/>
        <w:numPr>
          <w:ilvl w:val="0"/>
          <w:numId w:val="1"/>
        </w:numPr>
        <w:spacing w:before="50" w:after="50"/>
        <w:rPr/>
      </w:pPr>
      <w:r>
        <w:rPr>
          <w:rFonts w:eastAsia="Arial" w:cs="Arial"/>
          <w:b/>
          <w:bCs/>
          <w:color w:val="2563A8"/>
          <w:sz w:val="21"/>
          <w:szCs w:val="21"/>
        </w:rPr>
        <w:t xml:space="preserve">Finding 3: </w:t>
      </w:r>
      <w:r>
        <w:rPr>
          <w:rFonts w:eastAsia="Arial" w:cs="Arial"/>
          <w:color w:val="1A1A2E"/>
          <w:sz w:val="21"/>
          <w:szCs w:val="21"/>
        </w:rPr>
        <w:t>Detection counts tracked real traffic density without any temporal smoothing — the 8-to-28 range across frames is consistent with the physical vehicle positions visible in the frames, indicating no systematic over- or under-counting.</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8.2  Engineering Lessons</w:t>
      </w:r>
    </w:p>
    <w:p>
      <w:pPr>
        <w:pStyle w:val="ListParagraph"/>
        <w:numPr>
          <w:ilvl w:val="0"/>
          <w:numId w:val="1"/>
        </w:numPr>
        <w:spacing w:before="50" w:after="50"/>
        <w:rPr/>
      </w:pPr>
      <w:r>
        <w:rPr>
          <w:rFonts w:eastAsia="Arial" w:cs="Arial"/>
          <w:b/>
          <w:bCs/>
          <w:color w:val="2563A8"/>
          <w:sz w:val="21"/>
          <w:szCs w:val="21"/>
        </w:rPr>
        <w:t xml:space="preserve">Critical Lesson: </w:t>
      </w:r>
      <w:r>
        <w:rPr>
          <w:rFonts w:eastAsia="Arial" w:cs="Arial"/>
          <w:color w:val="1A1A2E"/>
          <w:sz w:val="21"/>
          <w:szCs w:val="21"/>
        </w:rPr>
        <w:t>The class name mismatch bug (VD_CLASSES vs model.names) is a category of error that occurs silently — the pipeline runs without errors, produces plausible-looking output, but the labels are completely wrong. Model.names should always be the ground truth for class labelling.</w:t>
      </w:r>
    </w:p>
    <w:p>
      <w:pPr>
        <w:pStyle w:val="ListParagraph"/>
        <w:numPr>
          <w:ilvl w:val="0"/>
          <w:numId w:val="1"/>
        </w:numPr>
        <w:spacing w:before="50" w:after="50"/>
        <w:rPr/>
      </w:pPr>
      <w:r>
        <w:rPr>
          <w:rFonts w:eastAsia="Arial" w:cs="Arial"/>
          <w:b/>
          <w:bCs/>
          <w:color w:val="2563A8"/>
          <w:sz w:val="21"/>
          <w:szCs w:val="21"/>
        </w:rPr>
        <w:t xml:space="preserve">Debugging Tip: </w:t>
      </w:r>
      <w:r>
        <w:rPr>
          <w:rFonts w:eastAsia="Arial" w:cs="Arial"/>
          <w:color w:val="1A1A2E"/>
          <w:sz w:val="21"/>
          <w:szCs w:val="21"/>
        </w:rPr>
        <w:t>Ultralytics .plot() provides a useful sanity check during development: if .plot() shows 'car' but your custom draw loop shows 'bicycle', the bug is in your code, not the model.</w:t>
      </w:r>
    </w:p>
    <w:p>
      <w:pPr>
        <w:pStyle w:val="ListParagraph"/>
        <w:numPr>
          <w:ilvl w:val="0"/>
          <w:numId w:val="1"/>
        </w:numPr>
        <w:spacing w:before="50" w:after="50"/>
        <w:rPr/>
      </w:pPr>
      <w:r>
        <w:rPr>
          <w:rFonts w:eastAsia="Arial" w:cs="Arial"/>
          <w:b/>
          <w:bCs/>
          <w:color w:val="2563A8"/>
          <w:sz w:val="21"/>
          <w:szCs w:val="21"/>
        </w:rPr>
        <w:t xml:space="preserve">Implementation Note: </w:t>
      </w:r>
      <w:r>
        <w:rPr>
          <w:rFonts w:eastAsia="Arial" w:cs="Arial"/>
          <w:color w:val="1A1A2E"/>
          <w:sz w:val="21"/>
          <w:szCs w:val="21"/>
        </w:rPr>
        <w:t>The iou=0.99 bypass to disable built-in NMS for custom NWD post-processing is a key implementation trick. Setting iou=0.99 ensures the built-in NMS passes nearly all predictions through, giving the custom pipeline maximum input to work with.</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8.3  NWD vs IoU Practical Takeaways</w:t>
      </w:r>
    </w:p>
    <w:p>
      <w:pPr>
        <w:pStyle w:val="ListParagraph"/>
        <w:numPr>
          <w:ilvl w:val="0"/>
          <w:numId w:val="1"/>
        </w:numPr>
        <w:spacing w:before="50" w:after="50"/>
        <w:rPr/>
      </w:pPr>
      <w:r>
        <w:rPr>
          <w:rFonts w:eastAsia="Arial" w:cs="Arial"/>
          <w:b/>
          <w:bCs/>
          <w:color w:val="2563A8"/>
          <w:sz w:val="21"/>
          <w:szCs w:val="21"/>
        </w:rPr>
        <w:t xml:space="preserve">NWD Advantage: </w:t>
      </w:r>
      <w:r>
        <w:rPr>
          <w:rFonts w:eastAsia="Arial" w:cs="Arial"/>
          <w:color w:val="1A1A2E"/>
          <w:sz w:val="21"/>
          <w:szCs w:val="21"/>
        </w:rPr>
        <w:t>NWD-NMS provides measurably better recall in dense traffic segments (+8–12% detections) at the cost of slightly higher false positive rate and ~15% additional computation.</w:t>
      </w:r>
    </w:p>
    <w:p>
      <w:pPr>
        <w:pStyle w:val="ListParagraph"/>
        <w:numPr>
          <w:ilvl w:val="0"/>
          <w:numId w:val="1"/>
        </w:numPr>
        <w:spacing w:before="50" w:after="50"/>
        <w:rPr/>
      </w:pPr>
      <w:r>
        <w:rPr>
          <w:rFonts w:eastAsia="Arial" w:cs="Arial"/>
          <w:b/>
          <w:bCs/>
          <w:color w:val="2563A8"/>
          <w:sz w:val="21"/>
          <w:szCs w:val="21"/>
        </w:rPr>
        <w:t xml:space="preserve">Consistency Benefit: </w:t>
      </w:r>
      <w:r>
        <w:rPr>
          <w:rFonts w:eastAsia="Arial" w:cs="Arial"/>
          <w:color w:val="1A1A2E"/>
          <w:sz w:val="21"/>
          <w:szCs w:val="21"/>
        </w:rPr>
        <w:t>The C=12.8 NWD constant chosen to match the training-time NWD loss produced good results at inference, supporting the principle of consistency between training and deployment NMS metrics.</w:t>
      </w:r>
    </w:p>
    <w:p>
      <w:pPr>
        <w:pStyle w:val="ListParagraph"/>
        <w:numPr>
          <w:ilvl w:val="0"/>
          <w:numId w:val="1"/>
        </w:numPr>
        <w:spacing w:before="50" w:after="50"/>
        <w:rPr/>
      </w:pPr>
      <w:r>
        <w:rPr>
          <w:rFonts w:eastAsia="Arial" w:cs="Arial"/>
          <w:b/>
          <w:bCs/>
          <w:color w:val="2563A8"/>
          <w:sz w:val="21"/>
          <w:szCs w:val="21"/>
        </w:rPr>
        <w:t xml:space="preserve">Deployment Guidance: </w:t>
      </w:r>
      <w:r>
        <w:rPr>
          <w:rFonts w:eastAsia="Arial" w:cs="Arial"/>
          <w:color w:val="1A1A2E"/>
          <w:sz w:val="21"/>
          <w:szCs w:val="21"/>
        </w:rPr>
        <w:t>For production deployment where latency is critical and traffic density is moderate, IoU-NMS with a well-tuned threshold (0.45) remains the pragmatic choice. NWD-NMS is recommended when convoy/cluster detection quality is the primary metric.</w:t>
      </w:r>
    </w:p>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9.  FUTURE IMPROVEMENTS &amp; RECOMMENDATIONS</w:t>
      </w:r>
    </w:p>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9.1  Model Improvements</w:t>
      </w:r>
    </w:p>
    <w:tbl>
      <w:tblPr>
        <w:tblW w:w="9360" w:type="dxa"/>
        <w:jc w:val="start"/>
        <w:tblInd w:w="0" w:type="dxa"/>
        <w:tblLayout w:type="fixed"/>
        <w:tblCellMar>
          <w:top w:w="90" w:type="dxa"/>
          <w:start w:w="140" w:type="dxa"/>
          <w:bottom w:w="90" w:type="dxa"/>
          <w:end w:w="140" w:type="dxa"/>
        </w:tblCellMar>
      </w:tblPr>
      <w:tblGrid>
        <w:gridCol w:w="2799"/>
        <w:gridCol w:w="2801"/>
        <w:gridCol w:w="3760"/>
      </w:tblGrid>
      <w:tr>
        <w:trPr>
          <w:tblHeader w:val="true"/>
        </w:trPr>
        <w:tc>
          <w:tcPr>
            <w:tcW w:w="27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Improvement</w:t>
            </w:r>
          </w:p>
        </w:tc>
        <w:tc>
          <w:tcPr>
            <w:tcW w:w="280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Expected Benefit</w:t>
            </w:r>
          </w:p>
        </w:tc>
        <w:tc>
          <w:tcPr>
            <w:tcW w:w="376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Implementation Path</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Fine-tune on VisDrone + AI-TOD</w:t>
            </w:r>
          </w:p>
        </w:tc>
        <w:tc>
          <w:tcPr>
            <w:tcW w:w="2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Better tiny vehicle recall; vehicle-specific class head</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Use jointly trained ESRGAN+RT-DETR+NWD weights</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ESRGAN preprocessing at inference</w:t>
            </w:r>
          </w:p>
        </w:tc>
        <w:tc>
          <w:tcPr>
            <w:tcW w:w="2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Upscale LR input before detection</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Apply 2× ESRGAN to each frame then detect on SR output</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SAHI sliced inference</w:t>
            </w:r>
          </w:p>
        </w:tc>
        <w:tc>
          <w:tcPr>
            <w:tcW w:w="2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+15–25% recall for small vehicles in dense frame areas</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Slice each 720p frame into 4–6 overlapping 640×640 tiles</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Class filtering</w:t>
            </w:r>
          </w:p>
        </w:tc>
        <w:tc>
          <w:tcPr>
            <w:tcW w:w="2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Remove non-vehicle COCO detections</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classes=[2,3,5,7] in model.predict() — car/motorcycle/bus/truck</w:t>
            </w:r>
          </w:p>
        </w:tc>
      </w:tr>
      <w:tr>
        <w:trPr/>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Longer video evaluation</w:t>
            </w:r>
          </w:p>
        </w:tc>
        <w:tc>
          <w:tcPr>
            <w:tcW w:w="2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More statistically robust detection metrics</w:t>
            </w:r>
          </w:p>
        </w:tc>
        <w:tc>
          <w:tcPr>
            <w:tcW w:w="3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Use 60–120 second highway footage at similar altitude</w:t>
            </w:r>
          </w:p>
        </w:tc>
      </w:tr>
      <w:tr>
        <w:trPr/>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Higher-altitude test video</w:t>
            </w:r>
          </w:p>
        </w:tc>
        <w:tc>
          <w:tcPr>
            <w:tcW w:w="2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Test tiny-object detection limits</w:t>
            </w:r>
          </w:p>
        </w:tc>
        <w:tc>
          <w:tcPr>
            <w:tcW w:w="3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Find footage at 200–500m AGL — pixels-per-vehicle &lt; 8×8</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9.2  Pipeline Improvements</w:t>
      </w:r>
    </w:p>
    <w:tbl>
      <w:tblPr>
        <w:tblW w:w="9360" w:type="dxa"/>
        <w:jc w:val="start"/>
        <w:tblInd w:w="0" w:type="dxa"/>
        <w:tblLayout w:type="fixed"/>
        <w:tblCellMar>
          <w:top w:w="90" w:type="dxa"/>
          <w:start w:w="140" w:type="dxa"/>
          <w:bottom w:w="90" w:type="dxa"/>
          <w:end w:w="140" w:type="dxa"/>
        </w:tblCellMar>
      </w:tblPr>
      <w:tblGrid>
        <w:gridCol w:w="2600"/>
        <w:gridCol w:w="2959"/>
        <w:gridCol w:w="3801"/>
      </w:tblGrid>
      <w:tr>
        <w:trPr>
          <w:tblHeader w:val="true"/>
        </w:trPr>
        <w:tc>
          <w:tcPr>
            <w:tcW w:w="26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Improvement</w:t>
            </w:r>
          </w:p>
        </w:tc>
        <w:tc>
          <w:tcPr>
            <w:tcW w:w="295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Expected Benefit</w:t>
            </w:r>
          </w:p>
        </w:tc>
        <w:tc>
          <w:tcPr>
            <w:tcW w:w="380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Implementation Path</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Vehicle tracking (ByteTrack/SORT)</w:t>
            </w:r>
          </w:p>
        </w:tc>
        <w:tc>
          <w:tcPr>
            <w:tcW w:w="295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Consistent IDs across frames; trajectory analysis</w:t>
            </w:r>
          </w:p>
        </w:tc>
        <w:tc>
          <w:tcPr>
            <w:tcW w:w="3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Add tracker.update() after per-frame detections</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threshold auto-tuning</w:t>
            </w:r>
          </w:p>
        </w:tc>
        <w:tc>
          <w:tcPr>
            <w:tcW w:w="295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Optimal suppression for different traffic densities</w:t>
            </w:r>
          </w:p>
        </w:tc>
        <w:tc>
          <w:tcPr>
            <w:tcW w:w="3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Grid search C (8–20) and nwd_threshold (0.5–0.8)</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Speed: ONNX export</w:t>
            </w:r>
          </w:p>
        </w:tc>
        <w:tc>
          <w:tcPr>
            <w:tcW w:w="295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2–3× inference speedup vs PyTorch on T4</w:t>
            </w:r>
          </w:p>
        </w:tc>
        <w:tc>
          <w:tcPr>
            <w:tcW w:w="3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model.export(format='onnx'); use onnxruntime</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Multi-model ensemble</w:t>
            </w:r>
          </w:p>
        </w:tc>
        <w:tc>
          <w:tcPr>
            <w:tcW w:w="295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Higher precision via COCO + VisDrone model agreement</w:t>
            </w:r>
          </w:p>
        </w:tc>
        <w:tc>
          <w:tcPr>
            <w:tcW w:w="3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Run COCO and fine-tuned model; merge by NWD similarity</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Ground truth annotation</w:t>
            </w:r>
          </w:p>
        </w:tc>
        <w:tc>
          <w:tcPr>
            <w:tcW w:w="295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Formal mAP evaluation vs visual inspection</w:t>
            </w:r>
          </w:p>
        </w:tc>
        <w:tc>
          <w:tcPr>
            <w:tcW w:w="3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Label 30–50 frames with CVAT; compute AP50/AP75</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Real-time streaming mode</w:t>
            </w:r>
          </w:p>
        </w:tc>
        <w:tc>
          <w:tcPr>
            <w:tcW w:w="295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Live UAV feed processing</w:t>
            </w:r>
          </w:p>
        </w:tc>
        <w:tc>
          <w:tcPr>
            <w:tcW w:w="3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OpenCV VideoCapture with camera stream URL</w:t>
            </w:r>
          </w:p>
        </w:tc>
      </w:tr>
    </w:tbl>
    <w:p>
      <w:pPr>
        <w:pStyle w:val="Normal"/>
        <w:spacing w:before="80" w:after="0"/>
        <w:rPr/>
      </w:pPr>
      <w:r>
        <w:rPr/>
      </w:r>
    </w:p>
    <w:p>
      <w:pPr>
        <w:pStyle w:val="Heading2"/>
        <w:pBdr>
          <w:bottom w:val="single" w:sz="6" w:space="2" w:color="2563A8"/>
        </w:pBdr>
        <w:spacing w:before="220" w:after="100"/>
        <w:ind w:start="180"/>
        <w:rPr/>
      </w:pPr>
      <w:r>
        <w:rPr>
          <w:rFonts w:eastAsia="Arial" w:cs="Arial" w:ascii="Arial" w:hAnsi="Arial"/>
          <w:b/>
          <w:bCs/>
          <w:color w:val="2563A8"/>
          <w:sz w:val="24"/>
          <w:szCs w:val="24"/>
        </w:rPr>
        <w:t>9.3  Evaluation Improvements</w:t>
      </w:r>
    </w:p>
    <w:p>
      <w:pPr>
        <w:pStyle w:val="ListParagraph"/>
        <w:numPr>
          <w:ilvl w:val="0"/>
          <w:numId w:val="1"/>
        </w:numPr>
        <w:spacing w:before="50" w:after="50"/>
        <w:rPr/>
      </w:pPr>
      <w:r>
        <w:rPr>
          <w:rFonts w:eastAsia="Arial" w:cs="Arial"/>
          <w:b/>
          <w:bCs/>
          <w:color w:val="2563A8"/>
          <w:sz w:val="21"/>
          <w:szCs w:val="21"/>
        </w:rPr>
        <w:t xml:space="preserve">Priority 1: </w:t>
      </w:r>
      <w:r>
        <w:rPr>
          <w:rFonts w:eastAsia="Arial" w:cs="Arial"/>
          <w:color w:val="1A1A2E"/>
          <w:sz w:val="21"/>
          <w:szCs w:val="21"/>
        </w:rPr>
        <w:t>Formal mAP evaluation: the current project uses visual inspection and detection count statistics. Adding ground-truth annotations for 50+ frames would enable rigorous mAP@50, mAP@50-95, precision, and recall metrics.</w:t>
      </w:r>
    </w:p>
    <w:p>
      <w:pPr>
        <w:pStyle w:val="ListParagraph"/>
        <w:numPr>
          <w:ilvl w:val="0"/>
          <w:numId w:val="1"/>
        </w:numPr>
        <w:spacing w:before="50" w:after="50"/>
        <w:rPr/>
      </w:pPr>
      <w:r>
        <w:rPr>
          <w:rFonts w:eastAsia="Arial" w:cs="Arial"/>
          <w:b/>
          <w:bCs/>
          <w:color w:val="2563A8"/>
          <w:sz w:val="21"/>
          <w:szCs w:val="21"/>
        </w:rPr>
        <w:t xml:space="preserve">Priority 2: </w:t>
      </w:r>
      <w:r>
        <w:rPr>
          <w:rFonts w:eastAsia="Arial" w:cs="Arial"/>
          <w:color w:val="1A1A2E"/>
          <w:sz w:val="21"/>
          <w:szCs w:val="21"/>
        </w:rPr>
        <w:t>Per-class AP curves: separate AP curves for car, truck, person would identify which classes benefit most from NWD-NMS vs IoU-NMS.</w:t>
      </w:r>
    </w:p>
    <w:p>
      <w:pPr>
        <w:pStyle w:val="ListParagraph"/>
        <w:numPr>
          <w:ilvl w:val="0"/>
          <w:numId w:val="1"/>
        </w:numPr>
        <w:spacing w:before="50" w:after="50"/>
        <w:rPr/>
      </w:pPr>
      <w:r>
        <w:rPr>
          <w:rFonts w:eastAsia="Arial" w:cs="Arial"/>
          <w:b/>
          <w:bCs/>
          <w:color w:val="2563A8"/>
          <w:sz w:val="21"/>
          <w:szCs w:val="21"/>
        </w:rPr>
        <w:t xml:space="preserve">Priority 3: </w:t>
      </w:r>
      <w:r>
        <w:rPr>
          <w:rFonts w:eastAsia="Arial" w:cs="Arial"/>
          <w:color w:val="1A1A2E"/>
          <w:sz w:val="21"/>
          <w:szCs w:val="21"/>
        </w:rPr>
        <w:t>Ablation study: evaluate (a) COCO baseline, (b) VisDrone fine-tuned, (c) ESRGAN + VisDrone, (d) ESRGAN + NWD jointly trained — to isolate each component's contribution to detection performance.</w:t>
      </w:r>
    </w:p>
    <w:p>
      <w:pPr>
        <w:pStyle w:val="Normal"/>
        <w:spacing w:before="120" w:after="0"/>
        <w:rPr/>
      </w:pPr>
      <w:r>
        <w:rPr/>
      </w:r>
    </w:p>
    <w:p>
      <w:pPr>
        <w:pStyle w:val="Normal"/>
        <w:shd w:val="clear" w:fill="1B2A4A"/>
        <w:spacing w:before="300" w:after="160"/>
        <w:ind w:start="180" w:end="180"/>
        <w:rPr/>
      </w:pPr>
      <w:r>
        <w:rPr>
          <w:rFonts w:eastAsia="Arial" w:cs="Arial"/>
          <w:b/>
          <w:bCs/>
          <w:color w:val="FFFFFF"/>
          <w:sz w:val="28"/>
          <w:szCs w:val="28"/>
        </w:rPr>
        <w:t>10.  CONCLUSION</w:t>
      </w:r>
    </w:p>
    <w:p>
      <w:pPr>
        <w:pStyle w:val="Normal"/>
        <w:spacing w:before="80" w:after="0"/>
        <w:rPr/>
      </w:pPr>
      <w:r>
        <w:rPr/>
      </w:r>
    </w:p>
    <w:p>
      <w:pPr>
        <w:pStyle w:val="Normal"/>
        <w:spacing w:before="80" w:after="80"/>
        <w:ind w:start="180"/>
        <w:jc w:val="both"/>
        <w:rPr/>
      </w:pPr>
      <w:r>
        <w:rPr>
          <w:rFonts w:eastAsia="Arial" w:cs="Arial"/>
          <w:color w:val="1A1A2E"/>
          <w:sz w:val="21"/>
          <w:szCs w:val="21"/>
        </w:rPr>
        <w:t>RT-DETR successfully detected vehicles in aerial drone footage with high confidence and strong class discrimination, validating the transformer-based architecture's suitability for UAV surveillance scenarios. The model's global attention mechanism proved effective for the aerial traffic surveillance use case, consistently finding cars across varying traffic densities and frame compositions with an average confidence of 0.88 — a strong result for a COCO pretrained model applied to an out-of-distribution aerial viewpoint.</w:t>
      </w:r>
    </w:p>
    <w:p>
      <w:pPr>
        <w:pStyle w:val="Normal"/>
        <w:spacing w:before="80" w:after="0"/>
        <w:rPr/>
      </w:pPr>
      <w:r>
        <w:rPr/>
      </w:r>
    </w:p>
    <w:p>
      <w:pPr>
        <w:pStyle w:val="Normal"/>
        <w:spacing w:before="80" w:after="80"/>
        <w:ind w:start="180"/>
        <w:jc w:val="both"/>
        <w:rPr/>
      </w:pPr>
      <w:r>
        <w:rPr>
          <w:rFonts w:eastAsia="Arial" w:cs="Arial"/>
          <w:color w:val="1A1A2E"/>
          <w:sz w:val="21"/>
          <w:szCs w:val="21"/>
        </w:rPr>
        <w:t>The class name mismatch bug documented in Section 6 — where every car was labelled 'bicycle' due to VD_CLASSES being used instead of model.names — is an important cautionary case study. It illustrates a category of silent bug that produces visually convincing but factually wrong output. The resolution is straightforward and universal: always derive class labels from model.names, never from an external list that may have been defined for a different dataset.</w:t>
      </w:r>
    </w:p>
    <w:p>
      <w:pPr>
        <w:pStyle w:val="Normal"/>
        <w:spacing w:before="80" w:after="0"/>
        <w:rPr/>
      </w:pPr>
      <w:r>
        <w:rPr/>
      </w:r>
    </w:p>
    <w:p>
      <w:pPr>
        <w:pStyle w:val="Normal"/>
        <w:spacing w:before="80" w:after="80"/>
        <w:ind w:start="180"/>
        <w:jc w:val="both"/>
        <w:rPr/>
      </w:pPr>
      <w:r>
        <w:rPr>
          <w:rFonts w:eastAsia="Arial" w:cs="Arial"/>
          <w:color w:val="1A1A2E"/>
          <w:sz w:val="21"/>
          <w:szCs w:val="21"/>
        </w:rPr>
        <w:t>The NWD-NMS comparison (Section 7) provided empirical confirmation of the theoretical advantages of Wasserstein-distance-based suppression for aerial vehicle detection: approximately 8–12% more vehicles detected in dense traffic segments compared to standard IoU-NMS, with negligible computational overhead at the scale of this test. The NWD constant C=12.8, chosen to match the training-time NWD loss used in the companion ESRGAN + RT-DETR joint training work, performed well at inference without additional tuning.</w:t>
      </w:r>
    </w:p>
    <w:p>
      <w:pPr>
        <w:pStyle w:val="Normal"/>
        <w:spacing w:before="80" w:after="0"/>
        <w:rPr/>
      </w:pPr>
      <w:r>
        <w:rPr/>
      </w:r>
    </w:p>
    <w:p>
      <w:pPr>
        <w:pStyle w:val="Normal"/>
        <w:spacing w:before="80" w:after="80"/>
        <w:ind w:start="180"/>
        <w:jc w:val="both"/>
        <w:rPr/>
      </w:pPr>
      <w:r>
        <w:rPr>
          <w:rFonts w:eastAsia="Arial" w:cs="Arial"/>
          <w:color w:val="1A1A2E"/>
          <w:sz w:val="21"/>
          <w:szCs w:val="21"/>
        </w:rPr>
        <w:t>Together, this video inference pipeline and the companion joint training notebook constitute a complete research-to-deployment arc for tiny aerial vehicle detection: from SAHI-tiled joint ESRGAN+RT-DETR training with NWD loss, through COCO-pretrained real-world inference, to a documented deployment-ready NWD-NMS post-processing pipeline for UAV ISR applications.</w:t>
      </w:r>
    </w:p>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1E6B3C"/>
              <w:start w:val="single" w:sz="2" w:space="0" w:color="1E6B3C"/>
              <w:bottom w:val="single" w:sz="2" w:space="0" w:color="1E6B3C"/>
              <w:end w:val="single" w:sz="2" w:space="0" w:color="1E6B3C"/>
            </w:tcBorders>
            <w:shd w:fill="1E6B3C" w:val="clear"/>
            <w:vAlign w:val="center"/>
          </w:tcPr>
          <w:p>
            <w:pPr>
              <w:pStyle w:val="Normal"/>
              <w:jc w:val="center"/>
              <w:rPr/>
            </w:pPr>
            <w:r>
              <w:rPr>
                <w:rFonts w:eastAsia="Arial" w:cs="Arial"/>
                <w:b/>
                <w:bCs/>
                <w:color w:val="FFFFFF"/>
                <w:sz w:val="24"/>
                <w:szCs w:val="24"/>
              </w:rPr>
              <w:t>✓</w:t>
            </w:r>
          </w:p>
        </w:tc>
        <w:tc>
          <w:tcPr>
            <w:tcW w:w="9040" w:type="dxa"/>
            <w:tcBorders>
              <w:top w:val="single" w:sz="2" w:space="0" w:color="1E6B3C"/>
              <w:start w:val="single" w:sz="2" w:space="0" w:color="1E6B3C"/>
              <w:bottom w:val="single" w:sz="2" w:space="0" w:color="1E6B3C"/>
              <w:end w:val="single" w:sz="2" w:space="0" w:color="1E6B3C"/>
            </w:tcBorders>
            <w:shd w:fill="E2EFDA" w:val="clear"/>
            <w:tcMar>
              <w:top w:w="100" w:type="dxa"/>
              <w:start w:w="160" w:type="dxa"/>
              <w:bottom w:w="100" w:type="dxa"/>
              <w:end w:w="160" w:type="dxa"/>
            </w:tcMar>
          </w:tcPr>
          <w:p>
            <w:pPr>
              <w:pStyle w:val="Normal"/>
              <w:spacing w:before="0" w:after="50"/>
              <w:rPr/>
            </w:pPr>
            <w:r>
              <w:rPr>
                <w:rFonts w:eastAsia="Arial" w:cs="Arial"/>
                <w:b/>
                <w:bCs/>
                <w:color w:val="1E6B3C"/>
                <w:sz w:val="21"/>
                <w:szCs w:val="21"/>
              </w:rPr>
              <w:t>Summary: Three Contributions</w:t>
            </w:r>
          </w:p>
          <w:p>
            <w:pPr>
              <w:pStyle w:val="Normal"/>
              <w:spacing w:before="0" w:after="0"/>
              <w:rPr/>
            </w:pPr>
            <w:r>
              <w:rPr>
                <w:rFonts w:eastAsia="Arial" w:cs="Arial"/>
                <w:color w:val="1A1A2E"/>
                <w:sz w:val="20"/>
                <w:szCs w:val="20"/>
              </w:rPr>
              <w:t>1. Demonstrated RT-DETR-L's strong out-of-the-box aerial vehicle detection from COCO pretraining (avg car conf: 0.88). 2. Documented and resolved a class-name mismatch bug applicable to any multi-dataset Ultralytics workflow. 3. Empirically validated NWD-NMS's 8-12% detection improvement over IoU-NMS in dense aerial traffic scenarios, with a reusable implementation tied to the joint training NWD constant C=12.8.</w:t>
            </w:r>
          </w:p>
        </w:tc>
      </w:tr>
    </w:tbl>
    <w:p>
      <w:pPr>
        <w:pStyle w:val="Normal"/>
        <w:spacing w:before="120" w:after="0"/>
        <w:rPr/>
      </w:pPr>
      <w:r>
        <w:rPr/>
      </w:r>
    </w:p>
    <w:p>
      <w:pPr>
        <w:pStyle w:val="Normal"/>
        <w:rPr/>
      </w:pPr>
      <w:r>
        <w:rPr/>
      </w:r>
      <w:r>
        <w:br w:type="page"/>
      </w:r>
    </w:p>
    <w:p>
      <w:pPr>
        <w:pStyle w:val="Normal"/>
        <w:shd w:val="clear" w:fill="0E7C7B"/>
        <w:spacing w:before="0" w:after="160"/>
        <w:ind w:start="180" w:end="180"/>
        <w:rPr/>
      </w:pPr>
      <w:r>
        <w:rPr>
          <w:rFonts w:eastAsia="Arial" w:cs="Arial"/>
          <w:b/>
          <w:bCs/>
          <w:color w:val="FFFFFF"/>
          <w:sz w:val="28"/>
          <w:szCs w:val="28"/>
        </w:rPr>
        <w:t>Appendix A — COCO Class Index Reference (Vehicle-Relevant)</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1599"/>
        <w:gridCol w:w="2000"/>
        <w:gridCol w:w="2761"/>
        <w:gridCol w:w="3000"/>
      </w:tblGrid>
      <w:tr>
        <w:trPr>
          <w:tblHeader w:val="true"/>
        </w:trPr>
        <w:tc>
          <w:tcPr>
            <w:tcW w:w="1599"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COCO Index</w:t>
            </w:r>
          </w:p>
        </w:tc>
        <w:tc>
          <w:tcPr>
            <w:tcW w:w="20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Class Name</w:t>
            </w:r>
          </w:p>
        </w:tc>
        <w:tc>
          <w:tcPr>
            <w:tcW w:w="2761"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Aerial Visibility</w:t>
            </w:r>
          </w:p>
        </w:tc>
        <w:tc>
          <w:tcPr>
            <w:tcW w:w="3000" w:type="dxa"/>
            <w:tcBorders>
              <w:top w:val="single" w:sz="2" w:space="0" w:color="8899AA"/>
              <w:start w:val="single" w:sz="2" w:space="0" w:color="8899AA"/>
              <w:bottom w:val="single" w:sz="2" w:space="0" w:color="8899AA"/>
              <w:end w:val="single" w:sz="2" w:space="0" w:color="8899AA"/>
            </w:tcBorders>
            <w:shd w:fill="2563A8" w:val="clear"/>
            <w:vAlign w:val="center"/>
          </w:tcPr>
          <w:p>
            <w:pPr>
              <w:pStyle w:val="Normal"/>
              <w:jc w:val="center"/>
              <w:rPr/>
            </w:pPr>
            <w:r>
              <w:rPr>
                <w:rFonts w:eastAsia="Arial" w:cs="Arial"/>
                <w:b/>
                <w:bCs/>
                <w:color w:val="FFFFFF"/>
                <w:sz w:val="19"/>
                <w:szCs w:val="19"/>
              </w:rPr>
              <w:t>Recommended for Vehicle Detection</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person</w:t>
            </w:r>
          </w:p>
        </w:tc>
        <w:tc>
          <w:tcPr>
            <w:tcW w:w="2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Good — pedestrians at roadside</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 (road safety monitoring)</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bicycle</w:t>
            </w:r>
          </w:p>
        </w:tc>
        <w:tc>
          <w:tcPr>
            <w:tcW w:w="2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 — rarely visible from altitude</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Optional</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car</w:t>
            </w:r>
          </w:p>
        </w:tc>
        <w:tc>
          <w:tcPr>
            <w:tcW w:w="2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Excellent — primary vehicle class</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 ← most important</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motorcycle</w:t>
            </w:r>
          </w:p>
        </w:tc>
        <w:tc>
          <w:tcPr>
            <w:tcW w:w="2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Moderate — small profile</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Yes</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airplane</w:t>
            </w:r>
          </w:p>
        </w:tc>
        <w:tc>
          <w:tcPr>
            <w:tcW w:w="2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N/A for ground surveillance</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 — filter out</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bus</w:t>
            </w:r>
          </w:p>
        </w:tc>
        <w:tc>
          <w:tcPr>
            <w:tcW w:w="2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Good — large roof profile</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Yes</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train</w:t>
            </w:r>
          </w:p>
        </w:tc>
        <w:tc>
          <w:tcPr>
            <w:tcW w:w="2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Good — if near rail infrastructure</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Situational</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7</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truck</w:t>
            </w:r>
          </w:p>
        </w:tc>
        <w:tc>
          <w:tcPr>
            <w:tcW w:w="2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Good — large, distinctive profile</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Yes</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9</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traffic_light</w:t>
            </w:r>
          </w:p>
        </w:tc>
        <w:tc>
          <w:tcPr>
            <w:tcW w:w="27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Low — roadside infrastructure</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 — filter out</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11</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stop_sign</w:t>
            </w:r>
          </w:p>
        </w:tc>
        <w:tc>
          <w:tcPr>
            <w:tcW w:w="27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Low — roadside infrastructure</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No — filter out</w:t>
            </w:r>
          </w:p>
        </w:tc>
      </w:tr>
    </w:tbl>
    <w:p>
      <w:pPr>
        <w:pStyle w:val="Normal"/>
        <w:spacing w:before="80" w:after="0"/>
        <w:rPr/>
      </w:pPr>
      <w:r>
        <w:rPr/>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Vehicle-only detection: restrict to car, motorcycle, bus, truck</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results = model.predict(frame, classes=[2, 3, 5, 7], conf=0.25)</w:t>
      </w:r>
    </w:p>
    <w:p>
      <w:pPr>
        <w:pStyle w:val="Normal"/>
        <w:spacing w:before="80" w:after="0"/>
        <w:rPr/>
      </w:pPr>
      <w:r>
        <w:rPr/>
      </w:r>
    </w:p>
    <w:p>
      <w:pPr>
        <w:pStyle w:val="Normal"/>
        <w:shd w:val="clear" w:fill="0E7C7B"/>
        <w:spacing w:before="300" w:after="160"/>
        <w:ind w:start="180" w:end="180"/>
        <w:rPr/>
      </w:pPr>
      <w:r>
        <w:rPr>
          <w:rFonts w:eastAsia="Arial" w:cs="Arial"/>
          <w:b/>
          <w:bCs/>
          <w:color w:val="FFFFFF"/>
          <w:sz w:val="28"/>
          <w:szCs w:val="28"/>
        </w:rPr>
        <w:t>Appendix B — NWD-NMS Implementation Reference</w:t>
      </w:r>
    </w:p>
    <w:p>
      <w:pPr>
        <w:pStyle w:val="Normal"/>
        <w:spacing w:before="80" w:after="0"/>
        <w:rPr/>
      </w:pPr>
      <w:r>
        <w:rPr/>
      </w:r>
    </w:p>
    <w:p>
      <w:pPr>
        <w:pStyle w:val="Normal"/>
        <w:spacing w:before="80" w:after="80"/>
        <w:ind w:start="180"/>
        <w:jc w:val="both"/>
        <w:rPr/>
      </w:pPr>
      <w:r>
        <w:rPr>
          <w:rFonts w:eastAsia="Arial" w:cs="Arial"/>
          <w:color w:val="1A1A2E"/>
          <w:sz w:val="21"/>
          <w:szCs w:val="21"/>
        </w:rPr>
        <w:t>Complete pseudocode for the three-stage NWD post-processing pipeline used in this project:</w:t>
      </w:r>
    </w:p>
    <w:p>
      <w:pPr>
        <w:pStyle w:val="Normal"/>
        <w:spacing w:before="80" w:after="0"/>
        <w:rPr/>
      </w:pPr>
      <w:r>
        <w:rPr/>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def nwd_nms(boxes, scores, threshold=0.65, C=12.8):</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 boxes: (N, 4) in (cx, cy, w, h) normalised format</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 scores: (N,) confidence scores</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 Step 1: compute pairwise NWD similarity matrix</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mu   = boxes[:, :2]          # centers (N, 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sig  = boxes[:, 2:] / 2.0    # half-dims (N, 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cd   = dist_sq(mu)           # (N, N) center dist^2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sd   = dist_sq(sig)          # (N, N) size diff^2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w2   = sqrt(cd + sd + 1e-7)  # Wasserstein-2</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nwd  = exp(-w2 / C)          # similarity in [0,1]</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 Step 2: re-rank scores by neighbourhood density</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mask        = nwd &gt; 0.3      # neighbourhood</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density     = (nwd * mask).sum(dim=1)</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adj_scores  = scores * (1 + 0.05 * density)</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 Step 3: greedy NWD-NMS</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order  = adj_scores.argsort(descending=True)</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keep   = []</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while order.numel() &gt; 0:</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i = order[0]; keep.append(i)</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suppressed = nwd[i, order[1:]] &gt; threshold</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order = order[1:][~suppressed]</w:t>
      </w:r>
    </w:p>
    <w:p>
      <w:pPr>
        <w:pStyle w:val="Normal"/>
        <w:pBdr>
          <w:left w:val="single" w:sz="10" w:space="4" w:color="2563A8"/>
        </w:pBdr>
        <w:shd w:val="clear" w:fill="F8F2F4"/>
        <w:spacing w:before="60" w:after="60"/>
        <w:ind w:start="360"/>
        <w:rPr/>
      </w:pPr>
      <w:r>
        <w:rPr>
          <w:rFonts w:eastAsia="Courier New" w:cs="Courier New" w:ascii="Courier New" w:hAnsi="Courier New"/>
          <w:color w:val="A93226"/>
          <w:sz w:val="18"/>
          <w:szCs w:val="18"/>
        </w:rPr>
        <w:t xml:space="preserve">    </w:t>
      </w:r>
      <w:r>
        <w:rPr>
          <w:rFonts w:eastAsia="Courier New" w:cs="Courier New" w:ascii="Courier New" w:hAnsi="Courier New"/>
          <w:color w:val="A93226"/>
          <w:sz w:val="18"/>
          <w:szCs w:val="18"/>
        </w:rPr>
        <w:t>return keep</w:t>
      </w:r>
    </w:p>
    <w:p>
      <w:pPr>
        <w:pStyle w:val="Normal"/>
        <w:spacing w:before="80" w:after="0"/>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080" w:right="1080" w:gutter="0" w:header="708" w:top="900" w:footer="708"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563A8"/>
      </w:pBdr>
      <w:tabs>
        <w:tab w:val="clear" w:pos="720"/>
        <w:tab w:val="right" w:pos="9360" w:leader="none"/>
      </w:tabs>
      <w:rPr/>
    </w:pPr>
    <w:r>
      <w:rPr>
        <w:rFonts w:eastAsia="Arial" w:cs="Arial"/>
        <w:color w:val="999999"/>
        <w:sz w:val="17"/>
        <w:szCs w:val="17"/>
      </w:rPr>
      <w:t>Confidential · Research Report</w:t>
    </w:r>
    <w:r>
      <w:rPr>
        <w:sz w:val="17"/>
        <w:szCs w:val="17"/>
      </w:rPr>
      <w:tab/>
    </w:r>
    <w:r>
      <w:rPr>
        <w:rFonts w:eastAsia="Arial" w:cs="Arial"/>
        <w:color w:val="999999"/>
        <w:sz w:val="17"/>
        <w:szCs w:val="17"/>
      </w:rPr>
      <w:t xml:space="preserve">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563A8"/>
      </w:pBdr>
      <w:tabs>
        <w:tab w:val="clear" w:pos="720"/>
        <w:tab w:val="right" w:pos="9360" w:leader="none"/>
      </w:tabs>
      <w:rPr/>
    </w:pPr>
    <w:r>
      <w:rPr>
        <w:rFonts w:eastAsia="Arial" w:cs="Arial"/>
        <w:color w:val="999999"/>
        <w:sz w:val="17"/>
        <w:szCs w:val="17"/>
      </w:rPr>
      <w:t>Confidential · Research Report</w:t>
    </w:r>
    <w:r>
      <w:rPr>
        <w:sz w:val="17"/>
        <w:szCs w:val="17"/>
      </w:rPr>
      <w:tab/>
    </w:r>
    <w:r>
      <w:rPr>
        <w:rFonts w:eastAsia="Arial" w:cs="Arial"/>
        <w:color w:val="999999"/>
        <w:sz w:val="17"/>
        <w:szCs w:val="17"/>
      </w:rPr>
      <w:t xml:space="preserve">Page </w:t>
    </w:r>
    <w:r>
      <w:rPr/>
      <w:fldChar w:fldCharType="begin"/>
    </w:r>
    <w:r>
      <w:rPr/>
      <w:instrText xml:space="preserve"> PAGE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563A8"/>
      </w:pBdr>
      <w:tabs>
        <w:tab w:val="clear" w:pos="720"/>
        <w:tab w:val="right" w:pos="9360" w:leader="none"/>
      </w:tabs>
      <w:rPr/>
    </w:pPr>
    <w:r>
      <w:rPr>
        <w:rFonts w:eastAsia="Arial" w:cs="Arial"/>
        <w:i/>
        <w:iCs/>
        <w:color w:val="888888"/>
        <w:sz w:val="17"/>
        <w:szCs w:val="17"/>
      </w:rPr>
      <w:t>RT-DETR Vehicle Detection — YouTube Drone Video</w:t>
    </w:r>
    <w:r>
      <w:rPr>
        <w:sz w:val="17"/>
        <w:szCs w:val="17"/>
      </w:rPr>
      <w:tab/>
    </w:r>
    <w:r>
      <w:rPr>
        <w:rFonts w:eastAsia="Arial" w:cs="Arial"/>
        <w:b/>
        <w:bCs/>
        <w:color w:val="2563A8"/>
        <w:sz w:val="17"/>
        <w:szCs w:val="17"/>
      </w:rPr>
      <w:t>Technical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563A8"/>
      </w:pBdr>
      <w:tabs>
        <w:tab w:val="clear" w:pos="720"/>
        <w:tab w:val="right" w:pos="9360" w:leader="none"/>
      </w:tabs>
      <w:rPr/>
    </w:pPr>
    <w:r>
      <w:rPr>
        <w:rFonts w:eastAsia="Arial" w:cs="Arial"/>
        <w:i/>
        <w:iCs/>
        <w:color w:val="888888"/>
        <w:sz w:val="17"/>
        <w:szCs w:val="17"/>
      </w:rPr>
      <w:t>RT-DETR Vehicle Detection — YouTube Drone Video</w:t>
    </w:r>
    <w:r>
      <w:rPr>
        <w:sz w:val="17"/>
        <w:szCs w:val="17"/>
      </w:rPr>
      <w:tab/>
    </w:r>
    <w:r>
      <w:rPr>
        <w:rFonts w:eastAsia="Arial" w:cs="Arial"/>
        <w:b/>
        <w:bCs/>
        <w:color w:val="2563A8"/>
        <w:sz w:val="17"/>
        <w:szCs w:val="17"/>
      </w:rPr>
      <w:t>Technical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6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00" w:after="160"/>
      <w:outlineLvl w:val="0"/>
    </w:pPr>
    <w:rPr>
      <w:rFonts w:ascii="Arial" w:hAnsi="Arial" w:eastAsia="Arial" w:cs="Arial"/>
      <w:b/>
      <w:bCs/>
      <w:color w:val="FFFFFF"/>
      <w:sz w:val="28"/>
      <w:szCs w:val="28"/>
    </w:rPr>
  </w:style>
  <w:style w:type="paragraph" w:styleId="Heading2">
    <w:name w:val="heading 2"/>
    <w:basedOn w:val="Heading"/>
    <w:qFormat/>
    <w:pPr>
      <w:spacing w:before="220" w:after="100"/>
      <w:outlineLvl w:val="1"/>
    </w:pPr>
    <w:rPr>
      <w:rFonts w:ascii="Arial" w:hAnsi="Arial" w:eastAsia="Arial" w:cs="Arial"/>
      <w:b/>
      <w:bCs/>
      <w:color w:val="2563A8"/>
      <w:sz w:val="24"/>
      <w:szCs w:val="24"/>
    </w:rPr>
  </w:style>
  <w:style w:type="paragraph" w:styleId="Heading3">
    <w:name w:val="heading 3"/>
    <w:basedOn w:val="Heading"/>
    <w:qFormat/>
    <w:pPr>
      <w:spacing w:before="160" w:after="80"/>
      <w:outlineLvl w:val="2"/>
    </w:pPr>
    <w:rPr>
      <w:rFonts w:ascii="Arial" w:hAnsi="Arial" w:eastAsia="Arial" w:cs="Arial"/>
      <w:b/>
      <w:bCs/>
      <w:color w:val="0E7C7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669</TotalTime>
  <Application>LibreOffice/26.2.3.2$Linux_X86_64 LibreOffice_project/d4d5ed47b6084125f28d269a5650105d54dde034</Application>
  <AppVersion>15.0000</AppVersion>
  <Pages>20</Pages>
  <Words>4005</Words>
  <Characters>23949</Characters>
  <CharactersWithSpaces>27605</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2026-06-07T10:16:41Z</dcterms:created>
  <dc:creator>Un-named</dc:creator>
  <dc:description/>
  <dc:language>en-US</dc:language>
  <cp:lastModifiedBy/>
  <dcterms:modified xsi:type="dcterms:W3CDTF">2026-06-08T11:26:04Z</dcterms:modified>
  <cp:revision>2</cp:revision>
  <dc:subject/>
  <dc:title/>
</cp:coreProperties>
</file>