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1F3864"/>
        <w:spacing w:before="0" w:after="0"/>
        <w:jc w:val="center"/>
        <w:rPr/>
      </w:pPr>
      <w:r>
        <w:rPr/>
      </w:r>
    </w:p>
    <w:p>
      <w:pPr>
        <w:pStyle w:val="Normal"/>
        <w:shd w:val="clear" w:fill="1F3864"/>
        <w:spacing w:before="240" w:after="0"/>
        <w:jc w:val="center"/>
        <w:rPr/>
      </w:pPr>
      <w:r>
        <w:rPr>
          <w:rFonts w:eastAsia="Arial" w:cs="Arial"/>
          <w:b/>
          <w:bCs/>
          <w:caps/>
          <w:color w:val="A8C8F0"/>
          <w:sz w:val="20"/>
          <w:szCs w:val="20"/>
        </w:rPr>
        <w:t>TECHNICAL REPORT</w:t>
      </w:r>
    </w:p>
    <w:p>
      <w:pPr>
        <w:pStyle w:val="Normal"/>
        <w:shd w:val="clear" w:fill="1F3864"/>
        <w:spacing w:before="120" w:after="0"/>
        <w:jc w:val="center"/>
        <w:rPr/>
      </w:pPr>
      <w:r>
        <w:rPr>
          <w:rFonts w:eastAsia="Arial" w:cs="Arial"/>
          <w:b/>
          <w:bCs/>
          <w:color w:val="FFFFFF"/>
          <w:sz w:val="52"/>
          <w:szCs w:val="52"/>
        </w:rPr>
        <w:t>RT-DETR + NWD-ESRGAN</w:t>
      </w:r>
    </w:p>
    <w:p>
      <w:pPr>
        <w:pStyle w:val="Normal"/>
        <w:shd w:val="clear" w:fill="1F3864"/>
        <w:spacing w:before="80" w:after="0"/>
        <w:jc w:val="center"/>
        <w:rPr/>
      </w:pPr>
      <w:r>
        <w:rPr>
          <w:rFonts w:eastAsia="Arial" w:cs="Arial"/>
          <w:color w:val="A8C8F0"/>
          <w:sz w:val="30"/>
          <w:szCs w:val="30"/>
        </w:rPr>
        <w:t>Joint Training for Vehicle &amp; Tiny Object Detection</w:t>
      </w:r>
    </w:p>
    <w:p>
      <w:pPr>
        <w:pStyle w:val="Normal"/>
        <w:shd w:val="clear" w:fill="1F3864"/>
        <w:spacing w:before="200" w:after="0"/>
        <w:jc w:val="center"/>
        <w:rPr/>
      </w:pPr>
      <w:r>
        <w:rPr>
          <w:rFonts w:eastAsia="Arial" w:cs="Arial"/>
          <w:color w:val="7FB3D3"/>
          <w:sz w:val="18"/>
          <w:szCs w:val="18"/>
        </w:rPr>
        <w:t>AI-TOD · VisDrone · Super-Resolution · Normalized Wasserstein Distance Loss</w:t>
      </w:r>
    </w:p>
    <w:p>
      <w:pPr>
        <w:pStyle w:val="Normal"/>
        <w:shd w:val="clear" w:fill="1F3864"/>
        <w:spacing w:before="120" w:after="240"/>
        <w:jc w:val="center"/>
        <w:rPr/>
      </w:pPr>
      <w:r>
        <w:rPr>
          <w:sz w:val="18"/>
          <w:szCs w:val="18"/>
        </w:rPr>
        <w:t xml:space="preserve"> </w:t>
      </w:r>
    </w:p>
    <w:p>
      <w:pPr>
        <w:pStyle w:val="Normal"/>
        <w:spacing w:before="60" w:after="60"/>
        <w:rPr/>
      </w:pPr>
      <w:r>
        <w:rPr/>
      </w:r>
    </w:p>
    <w:p>
      <w:pPr>
        <w:pStyle w:val="Heading1"/>
        <w:shd w:val="clear" w:fill="1F3864"/>
        <w:spacing w:before="360" w:after="200"/>
        <w:ind w:start="200" w:end="200"/>
        <w:rPr/>
      </w:pPr>
      <w:r>
        <w:rPr>
          <w:rFonts w:eastAsia="Arial" w:cs="Arial" w:ascii="Arial" w:hAnsi="Arial"/>
          <w:b/>
          <w:bCs/>
          <w:color w:val="FFFFFF"/>
          <w:sz w:val="32"/>
          <w:szCs w:val="32"/>
        </w:rPr>
        <w:t>1.  Executive Summary</w:t>
      </w:r>
    </w:p>
    <w:p>
      <w:pPr>
        <w:pStyle w:val="Normal"/>
        <w:spacing w:before="80" w:after="80"/>
        <w:jc w:val="both"/>
        <w:rPr/>
      </w:pPr>
      <w:r>
        <w:rPr>
          <w:rFonts w:eastAsia="Arial" w:cs="Arial"/>
          <w:sz w:val="22"/>
          <w:szCs w:val="22"/>
        </w:rPr>
        <w:t>This report presents a comprehensive analysis of a novel joint training framework that combines Real-ESRGAN super-resolution with RT-DETR (Real-Time Detection Transformer) object detection, guided by a Normalized Wasserstein Distance (NWD) loss specifically designed for tiny object detection. The pipeline was evaluated across two challenging aerial datasets: AI-TOD and VisDrone Tiny, targeting vehicle and small-object detection tasks at 2× and 4× super-resolution scales.</w:t>
      </w:r>
    </w:p>
    <w:p>
      <w:pPr>
        <w:pStyle w:val="Normal"/>
        <w:spacing w:before="60" w:after="60"/>
        <w:rPr/>
      </w:pPr>
      <w:r>
        <w:rPr/>
      </w:r>
    </w:p>
    <w:p>
      <w:pPr>
        <w:pStyle w:val="Normal"/>
        <w:pBdr>
          <w:left w:val="single" w:sz="12" w:space="4" w:color="2E75B6"/>
        </w:pBdr>
        <w:shd w:val="clear" w:fill="D6E4F7"/>
        <w:spacing w:before="120" w:after="120"/>
        <w:ind w:start="360" w:end="360"/>
        <w:rPr/>
      </w:pPr>
      <w:r>
        <w:rPr>
          <w:rFonts w:eastAsia="Arial" w:cs="Arial"/>
          <w:b/>
          <w:bCs/>
          <w:color w:val="1F3864"/>
          <w:sz w:val="22"/>
          <w:szCs w:val="22"/>
        </w:rPr>
        <w:t>Key Finding: The joint ESRGAN + RT-DETR + NWD training paradigm addresses three core challenges simultaneously — low resolution of aerial imagery, the scale gap between LR input and detection requirements, and the known IoU-insensitivity of standard bounding box regression losses when applied to tiny objects.</w:t>
      </w:r>
    </w:p>
    <w:p>
      <w:pPr>
        <w:pStyle w:val="Normal"/>
        <w:spacing w:before="60" w:after="60"/>
        <w:rPr/>
      </w:pPr>
      <w:r>
        <w:rPr/>
      </w:r>
    </w:p>
    <w:tbl>
      <w:tblPr>
        <w:tblW w:w="9360" w:type="dxa"/>
        <w:jc w:val="start"/>
        <w:tblInd w:w="0" w:type="dxa"/>
        <w:tblLayout w:type="fixed"/>
        <w:tblCellMar>
          <w:top w:w="100" w:type="dxa"/>
          <w:start w:w="140" w:type="dxa"/>
          <w:bottom w:w="100" w:type="dxa"/>
          <w:end w:w="140" w:type="dxa"/>
        </w:tblCellMar>
      </w:tblPr>
      <w:tblGrid>
        <w:gridCol w:w="2799"/>
        <w:gridCol w:w="1641"/>
        <w:gridCol w:w="1640"/>
        <w:gridCol w:w="1640"/>
        <w:gridCol w:w="1640"/>
      </w:tblGrid>
      <w:tr>
        <w:trPr>
          <w:tblHeader w:val="true"/>
        </w:trPr>
        <w:tc>
          <w:tcPr>
            <w:tcW w:w="2799"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Experiment</w:t>
            </w:r>
          </w:p>
        </w:tc>
        <w:tc>
          <w:tcPr>
            <w:tcW w:w="1641"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Dataset</w:t>
            </w:r>
          </w:p>
        </w:tc>
        <w:tc>
          <w:tcPr>
            <w:tcW w:w="164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SR Scale</w:t>
            </w:r>
          </w:p>
        </w:tc>
        <w:tc>
          <w:tcPr>
            <w:tcW w:w="164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Classes</w:t>
            </w:r>
          </w:p>
        </w:tc>
        <w:tc>
          <w:tcPr>
            <w:tcW w:w="164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Epochs</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VisDrone 2×</w:t>
            </w:r>
          </w:p>
        </w:tc>
        <w:tc>
          <w:tcPr>
            <w:tcW w:w="164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VisDrone Tiny</w:t>
            </w:r>
          </w:p>
        </w:tc>
        <w:tc>
          <w:tcPr>
            <w:tcW w:w="164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2×</w:t>
            </w:r>
          </w:p>
        </w:tc>
        <w:tc>
          <w:tcPr>
            <w:tcW w:w="164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6</w:t>
            </w:r>
          </w:p>
        </w:tc>
        <w:tc>
          <w:tcPr>
            <w:tcW w:w="164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10</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bCs/>
                <w:color w:val="1F3864"/>
                <w:sz w:val="20"/>
                <w:szCs w:val="20"/>
              </w:rPr>
              <w:t>VisDrone 4×</w:t>
            </w:r>
          </w:p>
        </w:tc>
        <w:tc>
          <w:tcPr>
            <w:tcW w:w="164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VisDrone Tiny</w:t>
            </w:r>
          </w:p>
        </w:tc>
        <w:tc>
          <w:tcPr>
            <w:tcW w:w="164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4×</w:t>
            </w:r>
          </w:p>
        </w:tc>
        <w:tc>
          <w:tcPr>
            <w:tcW w:w="164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6</w:t>
            </w:r>
          </w:p>
        </w:tc>
        <w:tc>
          <w:tcPr>
            <w:tcW w:w="164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3</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AI-TOD 2×</w:t>
            </w:r>
          </w:p>
        </w:tc>
        <w:tc>
          <w:tcPr>
            <w:tcW w:w="164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AI-TOD Sampled</w:t>
            </w:r>
          </w:p>
        </w:tc>
        <w:tc>
          <w:tcPr>
            <w:tcW w:w="164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2×</w:t>
            </w:r>
          </w:p>
        </w:tc>
        <w:tc>
          <w:tcPr>
            <w:tcW w:w="164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8</w:t>
            </w:r>
          </w:p>
        </w:tc>
        <w:tc>
          <w:tcPr>
            <w:tcW w:w="164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10</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bCs/>
                <w:color w:val="1F3864"/>
                <w:sz w:val="20"/>
                <w:szCs w:val="20"/>
              </w:rPr>
              <w:t>AI-TOD 4×</w:t>
            </w:r>
          </w:p>
        </w:tc>
        <w:tc>
          <w:tcPr>
            <w:tcW w:w="164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AI-TOD Sampled</w:t>
            </w:r>
          </w:p>
        </w:tc>
        <w:tc>
          <w:tcPr>
            <w:tcW w:w="164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4×</w:t>
            </w:r>
          </w:p>
        </w:tc>
        <w:tc>
          <w:tcPr>
            <w:tcW w:w="164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8</w:t>
            </w:r>
          </w:p>
        </w:tc>
        <w:tc>
          <w:tcPr>
            <w:tcW w:w="164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3</w:t>
            </w:r>
          </w:p>
        </w:tc>
      </w:tr>
    </w:tbl>
    <w:p>
      <w:pPr>
        <w:pStyle w:val="Normal"/>
        <w:spacing w:before="60" w:after="60"/>
        <w:rPr/>
      </w:pPr>
      <w:r>
        <w:rPr/>
      </w:r>
    </w:p>
    <w:p>
      <w:pPr>
        <w:pStyle w:val="Heading1"/>
        <w:shd w:val="clear" w:fill="1F3864"/>
        <w:spacing w:before="360" w:after="200"/>
        <w:ind w:start="200" w:end="200"/>
        <w:rPr/>
      </w:pPr>
      <w:r>
        <w:rPr>
          <w:rFonts w:eastAsia="Arial" w:cs="Arial" w:ascii="Arial" w:hAnsi="Arial"/>
          <w:b/>
          <w:bCs/>
          <w:color w:val="FFFFFF"/>
          <w:sz w:val="32"/>
          <w:szCs w:val="32"/>
        </w:rPr>
        <w:t>2.  Background &amp; Motivation</w:t>
      </w:r>
    </w:p>
    <w:p>
      <w:pPr>
        <w:pStyle w:val="Heading2"/>
        <w:pBdr>
          <w:bottom w:val="single" w:sz="4" w:space="1" w:color="2E75B6"/>
        </w:pBdr>
        <w:spacing w:before="280" w:after="140"/>
        <w:rPr/>
      </w:pPr>
      <w:r>
        <w:rPr>
          <w:rFonts w:eastAsia="Arial" w:cs="Arial" w:ascii="Arial" w:hAnsi="Arial"/>
          <w:b/>
          <w:bCs/>
          <w:color w:val="1F3864"/>
          <w:sz w:val="26"/>
          <w:szCs w:val="26"/>
        </w:rPr>
        <w:t>2.1  The Tiny Object Detection Challenge</w:t>
      </w:r>
    </w:p>
    <w:p>
      <w:pPr>
        <w:pStyle w:val="Normal"/>
        <w:spacing w:before="80" w:after="80"/>
        <w:jc w:val="both"/>
        <w:rPr/>
      </w:pPr>
      <w:r>
        <w:rPr>
          <w:rFonts w:eastAsia="Arial" w:cs="Arial"/>
          <w:sz w:val="22"/>
          <w:szCs w:val="22"/>
        </w:rPr>
        <w:t>Tiny object detection in aerial imagery is one of the most demanding tasks in computer vision. Vehicles and pedestrians captured from UAV (unmanned aerial vehicle) platforms or satellite sensors often occupy fewer than 16×16 pixels in the source image — well below the operational effective range of most modern detectors.</w:t>
      </w:r>
    </w:p>
    <w:p>
      <w:pPr>
        <w:pStyle w:val="Normal"/>
        <w:spacing w:before="60" w:after="60"/>
        <w:rPr/>
      </w:pPr>
      <w:r>
        <w:rPr/>
      </w:r>
    </w:p>
    <w:p>
      <w:pPr>
        <w:pStyle w:val="ListParagraph"/>
        <w:numPr>
          <w:ilvl w:val="0"/>
          <w:numId w:val="4"/>
        </w:numPr>
        <w:spacing w:before="60" w:after="60"/>
        <w:rPr/>
      </w:pPr>
      <w:r>
        <w:rPr>
          <w:rFonts w:eastAsia="Arial" w:cs="Arial"/>
          <w:sz w:val="22"/>
          <w:szCs w:val="22"/>
        </w:rPr>
        <w:t>Standard anchor-based detectors (Faster R-CNN, YOLO variants) struggle with objects smaller than the minimum anchor size, leading to high miss rates.</w:t>
      </w:r>
    </w:p>
    <w:p>
      <w:pPr>
        <w:pStyle w:val="ListParagraph"/>
        <w:numPr>
          <w:ilvl w:val="0"/>
          <w:numId w:val="1"/>
        </w:numPr>
        <w:spacing w:before="60" w:after="60"/>
        <w:rPr/>
      </w:pPr>
      <w:r>
        <w:rPr>
          <w:rFonts w:eastAsia="Arial" w:cs="Arial"/>
          <w:sz w:val="22"/>
          <w:szCs w:val="22"/>
        </w:rPr>
        <w:t>Transformer-based detectors like DETR offer improved context modeling but still suffer when object features occupy extremely small feature map regions.</w:t>
      </w:r>
    </w:p>
    <w:p>
      <w:pPr>
        <w:pStyle w:val="ListParagraph"/>
        <w:numPr>
          <w:ilvl w:val="0"/>
          <w:numId w:val="1"/>
        </w:numPr>
        <w:spacing w:before="60" w:after="60"/>
        <w:rPr/>
      </w:pPr>
      <w:r>
        <w:rPr>
          <w:rFonts w:eastAsia="Arial" w:cs="Arial"/>
          <w:sz w:val="22"/>
          <w:szCs w:val="22"/>
        </w:rPr>
        <w:t>Intersection-over-Union (IoU) based losses become noisy and uninformative for tiny objects, since even minor pixel-level offsets produce IoU near zero, providing weak gradient signals.</w:t>
      </w:r>
    </w:p>
    <w:p>
      <w:pPr>
        <w:pStyle w:val="Normal"/>
        <w:spacing w:before="60" w:after="60"/>
        <w:rPr/>
      </w:pPr>
      <w:r>
        <w:rPr/>
      </w:r>
    </w:p>
    <w:p>
      <w:pPr>
        <w:pStyle w:val="Heading2"/>
        <w:pBdr>
          <w:bottom w:val="single" w:sz="4" w:space="1" w:color="2E75B6"/>
        </w:pBdr>
        <w:spacing w:before="280" w:after="140"/>
        <w:rPr/>
      </w:pPr>
      <w:r>
        <w:rPr>
          <w:rFonts w:eastAsia="Arial" w:cs="Arial" w:ascii="Arial" w:hAnsi="Arial"/>
          <w:b/>
          <w:bCs/>
          <w:color w:val="1F3864"/>
          <w:sz w:val="26"/>
          <w:szCs w:val="26"/>
        </w:rPr>
        <w:t>2.2  Super-Resolution as a Preprocessing Strategy</w:t>
      </w:r>
    </w:p>
    <w:p>
      <w:pPr>
        <w:pStyle w:val="Normal"/>
        <w:spacing w:before="80" w:after="80"/>
        <w:jc w:val="both"/>
        <w:rPr/>
      </w:pPr>
      <w:r>
        <w:rPr>
          <w:rFonts w:eastAsia="Arial" w:cs="Arial"/>
          <w:sz w:val="22"/>
          <w:szCs w:val="22"/>
        </w:rPr>
        <w:t>Super-resolution (SR) using deep learning has demonstrated the ability to reconstruct fine-grained texture and edge detail from low-resolution inputs. Applying ESRGAN-class models as a preprocessing step before detection can:</w:t>
      </w:r>
    </w:p>
    <w:p>
      <w:pPr>
        <w:pStyle w:val="Normal"/>
        <w:spacing w:before="60" w:after="60"/>
        <w:rPr/>
      </w:pPr>
      <w:r>
        <w:rPr/>
      </w:r>
    </w:p>
    <w:p>
      <w:pPr>
        <w:pStyle w:val="ListParagraph"/>
        <w:numPr>
          <w:ilvl w:val="0"/>
          <w:numId w:val="1"/>
        </w:numPr>
        <w:spacing w:before="60" w:after="60"/>
        <w:rPr/>
      </w:pPr>
      <w:r>
        <w:rPr>
          <w:rFonts w:eastAsia="Arial" w:cs="Arial"/>
          <w:sz w:val="22"/>
          <w:szCs w:val="22"/>
        </w:rPr>
        <w:t>Upscale imagery by 2× or 4× while recovering high-frequency detail lost in downsampling.</w:t>
      </w:r>
    </w:p>
    <w:p>
      <w:pPr>
        <w:pStyle w:val="ListParagraph"/>
        <w:numPr>
          <w:ilvl w:val="0"/>
          <w:numId w:val="1"/>
        </w:numPr>
        <w:spacing w:before="60" w:after="60"/>
        <w:rPr/>
      </w:pPr>
      <w:r>
        <w:rPr>
          <w:rFonts w:eastAsia="Arial" w:cs="Arial"/>
          <w:sz w:val="22"/>
          <w:szCs w:val="22"/>
        </w:rPr>
        <w:t>Provide a richer feature representation for the subsequent detection backbone.</w:t>
      </w:r>
    </w:p>
    <w:p>
      <w:pPr>
        <w:pStyle w:val="ListParagraph"/>
        <w:numPr>
          <w:ilvl w:val="0"/>
          <w:numId w:val="1"/>
        </w:numPr>
        <w:spacing w:before="60" w:after="60"/>
        <w:rPr/>
      </w:pPr>
      <w:r>
        <w:rPr>
          <w:rFonts w:eastAsia="Arial" w:cs="Arial"/>
          <w:sz w:val="22"/>
          <w:szCs w:val="22"/>
        </w:rPr>
        <w:t>Allow models trained on HR data to be applied effectively to LR sensor inputs in deployment.</w:t>
      </w:r>
    </w:p>
    <w:p>
      <w:pPr>
        <w:pStyle w:val="Normal"/>
        <w:spacing w:before="60" w:after="60"/>
        <w:rPr/>
      </w:pPr>
      <w:r>
        <w:rPr/>
      </w:r>
    </w:p>
    <w:p>
      <w:pPr>
        <w:pStyle w:val="Normal"/>
        <w:spacing w:before="80" w:after="80"/>
        <w:jc w:val="both"/>
        <w:rPr/>
      </w:pPr>
      <w:r>
        <w:rPr>
          <w:rFonts w:eastAsia="Arial" w:cs="Arial"/>
          <w:sz w:val="22"/>
          <w:szCs w:val="22"/>
        </w:rPr>
        <w:t>However, independent SR and detection pipelines are sub-optimal. Joint training with a shared loss signal allows the SR module to learn to prioritize reconstruction quality in regions that are semantically important for detection — i.e., near object boundaries and centers.</w:t>
      </w:r>
    </w:p>
    <w:p>
      <w:pPr>
        <w:pStyle w:val="Heading2"/>
        <w:pBdr>
          <w:bottom w:val="single" w:sz="4" w:space="1" w:color="2E75B6"/>
        </w:pBdr>
        <w:spacing w:before="280" w:after="140"/>
        <w:rPr/>
      </w:pPr>
      <w:r>
        <w:rPr>
          <w:rFonts w:eastAsia="Arial" w:cs="Arial" w:ascii="Arial" w:hAnsi="Arial"/>
          <w:b/>
          <w:bCs/>
          <w:color w:val="1F3864"/>
          <w:sz w:val="26"/>
          <w:szCs w:val="26"/>
        </w:rPr>
        <w:t>2.3  Normalized Wasserstein Distance (NWD) Loss</w:t>
      </w:r>
    </w:p>
    <w:p>
      <w:pPr>
        <w:pStyle w:val="Normal"/>
        <w:spacing w:before="80" w:after="80"/>
        <w:jc w:val="both"/>
        <w:rPr/>
      </w:pPr>
      <w:r>
        <w:rPr>
          <w:rFonts w:eastAsia="Arial" w:cs="Arial"/>
          <w:sz w:val="22"/>
          <w:szCs w:val="22"/>
        </w:rPr>
        <w:t>The Normalized Wasserstein Distance loss, proposed specifically for tiny object detection scenarios, models each bounding box as a 2D Gaussian distribution parameterized by its center (μ) and half-dimensions (σ). The NWD between predicted and ground-truth boxes is:</w:t>
      </w:r>
    </w:p>
    <w:p>
      <w:pPr>
        <w:pStyle w:val="Normal"/>
        <w:spacing w:before="60" w:after="60"/>
        <w:rPr/>
      </w:pPr>
      <w:r>
        <w:rPr/>
      </w:r>
    </w:p>
    <w:p>
      <w:pPr>
        <w:pStyle w:val="Normal"/>
        <w:pBdr>
          <w:left w:val="single" w:sz="8" w:space="4" w:color="2E75B6"/>
        </w:pBdr>
        <w:shd w:val="clear" w:fill="F9F2F4"/>
        <w:spacing w:before="80" w:after="80"/>
        <w:ind w:start="360"/>
        <w:rPr/>
      </w:pPr>
      <w:r>
        <w:rPr>
          <w:rFonts w:eastAsia="Courier New" w:cs="Courier New" w:ascii="Courier New" w:hAnsi="Courier New"/>
          <w:color w:val="C0392B"/>
          <w:sz w:val="18"/>
          <w:szCs w:val="18"/>
        </w:rPr>
        <w:t>NWD(P, G) = exp( −W₂(P, G) / C )</w:t>
      </w:r>
    </w:p>
    <w:p>
      <w:pPr>
        <w:pStyle w:val="Normal"/>
        <w:spacing w:before="60" w:after="60"/>
        <w:rPr/>
      </w:pPr>
      <w:r>
        <w:rPr/>
      </w:r>
    </w:p>
    <w:p>
      <w:pPr>
        <w:pStyle w:val="Normal"/>
        <w:spacing w:before="80" w:after="80"/>
        <w:jc w:val="both"/>
        <w:rPr/>
      </w:pPr>
      <w:r>
        <w:rPr>
          <w:rFonts w:eastAsia="Arial" w:cs="Arial"/>
          <w:sz w:val="22"/>
          <w:szCs w:val="22"/>
        </w:rPr>
        <w:t>where W₂ is the Wasserstein-2 distance and C is a normalization constant (set to 12.8 in this implementation). This formulation has several advantages over standard IoU-based losses:</w:t>
      </w:r>
    </w:p>
    <w:p>
      <w:pPr>
        <w:pStyle w:val="Normal"/>
        <w:spacing w:before="60" w:after="60"/>
        <w:rPr/>
      </w:pPr>
      <w:r>
        <w:rPr/>
      </w:r>
    </w:p>
    <w:p>
      <w:pPr>
        <w:pStyle w:val="ListParagraph"/>
        <w:numPr>
          <w:ilvl w:val="0"/>
          <w:numId w:val="1"/>
        </w:numPr>
        <w:spacing w:before="60" w:after="60"/>
        <w:rPr/>
      </w:pPr>
      <w:r>
        <w:rPr>
          <w:rFonts w:eastAsia="Arial" w:cs="Arial"/>
          <w:sz w:val="22"/>
          <w:szCs w:val="22"/>
        </w:rPr>
        <w:t>Maintains meaningful gradient signal even when predicted and ground-truth boxes have zero overlap.</w:t>
      </w:r>
    </w:p>
    <w:p>
      <w:pPr>
        <w:pStyle w:val="ListParagraph"/>
        <w:numPr>
          <w:ilvl w:val="0"/>
          <w:numId w:val="1"/>
        </w:numPr>
        <w:spacing w:before="60" w:after="60"/>
        <w:rPr/>
      </w:pPr>
      <w:r>
        <w:rPr>
          <w:rFonts w:eastAsia="Arial" w:cs="Arial"/>
          <w:sz w:val="22"/>
          <w:szCs w:val="22"/>
        </w:rPr>
        <w:t>Scale-invariant — equally sensitive to positional error regardless of absolute box size.</w:t>
      </w:r>
    </w:p>
    <w:p>
      <w:pPr>
        <w:pStyle w:val="ListParagraph"/>
        <w:numPr>
          <w:ilvl w:val="0"/>
          <w:numId w:val="1"/>
        </w:numPr>
        <w:spacing w:before="60" w:after="60"/>
        <w:rPr/>
      </w:pPr>
      <w:r>
        <w:rPr>
          <w:rFonts w:eastAsia="Arial" w:cs="Arial"/>
          <w:sz w:val="22"/>
          <w:szCs w:val="22"/>
        </w:rPr>
        <w:t>Naturally smooth and bounded in [0, 1], making it compatible with multi-task loss balancing.</w:t>
      </w:r>
    </w:p>
    <w:p>
      <w:pPr>
        <w:pStyle w:val="Normal"/>
        <w:spacing w:before="60" w:after="60"/>
        <w:rPr/>
      </w:pPr>
      <w:r>
        <w:rPr/>
      </w:r>
    </w:p>
    <w:p>
      <w:pPr>
        <w:pStyle w:val="Normal"/>
        <w:pBdr>
          <w:left w:val="single" w:sz="8" w:space="4" w:color="2E75B6"/>
        </w:pBdr>
        <w:shd w:val="clear" w:fill="F9F2F4"/>
        <w:spacing w:before="80" w:after="80"/>
        <w:ind w:start="360"/>
        <w:rPr/>
      </w:pPr>
      <w:r>
        <w:rPr>
          <w:rFonts w:eastAsia="Courier New" w:cs="Courier New" w:ascii="Courier New" w:hAnsi="Courier New"/>
          <w:color w:val="C0392B"/>
          <w:sz w:val="18"/>
          <w:szCs w:val="18"/>
        </w:rPr>
        <w:t>L_NWD = 1 − mean( max_gt( exp(−W₂(pred, gt) / 12.8) ) )</w:t>
      </w:r>
    </w:p>
    <w:p>
      <w:pPr>
        <w:pStyle w:val="Normal"/>
        <w:spacing w:before="60" w:after="60"/>
        <w:rPr/>
      </w:pPr>
      <w:r>
        <w:rPr/>
      </w:r>
    </w:p>
    <w:p>
      <w:pPr>
        <w:pStyle w:val="Heading1"/>
        <w:shd w:val="clear" w:fill="1F3864"/>
        <w:spacing w:before="360" w:after="200"/>
        <w:ind w:start="200" w:end="200"/>
        <w:rPr/>
      </w:pPr>
      <w:r>
        <w:rPr>
          <w:rFonts w:eastAsia="Arial" w:cs="Arial" w:ascii="Arial" w:hAnsi="Arial"/>
          <w:b/>
          <w:bCs/>
          <w:color w:val="FFFFFF"/>
          <w:sz w:val="32"/>
          <w:szCs w:val="32"/>
        </w:rPr>
        <w:t>3.  System Architecture</w:t>
      </w:r>
    </w:p>
    <w:p>
      <w:pPr>
        <w:pStyle w:val="Heading2"/>
        <w:pBdr>
          <w:bottom w:val="single" w:sz="4" w:space="1" w:color="2E75B6"/>
        </w:pBdr>
        <w:spacing w:before="280" w:after="140"/>
        <w:rPr/>
      </w:pPr>
      <w:r>
        <w:rPr>
          <w:rFonts w:eastAsia="Arial" w:cs="Arial" w:ascii="Arial" w:hAnsi="Arial"/>
          <w:b/>
          <w:bCs/>
          <w:color w:val="1F3864"/>
          <w:sz w:val="26"/>
          <w:szCs w:val="26"/>
        </w:rPr>
        <w:t>3.1  Pipeline Overview</w:t>
      </w:r>
    </w:p>
    <w:p>
      <w:pPr>
        <w:pStyle w:val="Normal"/>
        <w:spacing w:before="80" w:after="80"/>
        <w:jc w:val="both"/>
        <w:rPr/>
      </w:pPr>
      <w:r>
        <w:rPr>
          <w:rFonts w:eastAsia="Arial" w:cs="Arial"/>
          <w:sz w:val="22"/>
          <w:szCs w:val="22"/>
        </w:rPr>
        <w:t>The joint training system consists of three tightly coupled modules, trained end-to-end within each experiment:</w:t>
      </w:r>
    </w:p>
    <w:p>
      <w:pPr>
        <w:pStyle w:val="Normal"/>
        <w:spacing w:before="60" w:after="60"/>
        <w:rPr/>
      </w:pPr>
      <w:r>
        <w:rPr/>
      </w:r>
    </w:p>
    <w:tbl>
      <w:tblPr>
        <w:tblW w:w="9360" w:type="dxa"/>
        <w:jc w:val="start"/>
        <w:tblInd w:w="0" w:type="dxa"/>
        <w:tblLayout w:type="fixed"/>
        <w:tblCellMar>
          <w:top w:w="100" w:type="dxa"/>
          <w:start w:w="140" w:type="dxa"/>
          <w:bottom w:w="100" w:type="dxa"/>
          <w:end w:w="140" w:type="dxa"/>
        </w:tblCellMar>
      </w:tblPr>
      <w:tblGrid>
        <w:gridCol w:w="2199"/>
        <w:gridCol w:w="2000"/>
        <w:gridCol w:w="2581"/>
        <w:gridCol w:w="2580"/>
      </w:tblGrid>
      <w:tr>
        <w:trPr>
          <w:tblHeader w:val="true"/>
        </w:trPr>
        <w:tc>
          <w:tcPr>
            <w:tcW w:w="2199"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Module</w:t>
            </w:r>
          </w:p>
        </w:tc>
        <w:tc>
          <w:tcPr>
            <w:tcW w:w="200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Architecture</w:t>
            </w:r>
          </w:p>
        </w:tc>
        <w:tc>
          <w:tcPr>
            <w:tcW w:w="2581"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Role</w:t>
            </w:r>
          </w:p>
        </w:tc>
        <w:tc>
          <w:tcPr>
            <w:tcW w:w="258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Output</w:t>
            </w:r>
          </w:p>
        </w:tc>
      </w:tr>
      <w:tr>
        <w:trPr/>
        <w:tc>
          <w:tcPr>
            <w:tcW w:w="21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Super-Resolution</w:t>
            </w:r>
          </w:p>
        </w:tc>
        <w:tc>
          <w:tcPr>
            <w:tcW w:w="20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RealESRGAN (RRDBNet)</w:t>
            </w:r>
          </w:p>
        </w:tc>
        <w:tc>
          <w:tcPr>
            <w:tcW w:w="258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Upscale LR input by 2× or 4×</w:t>
            </w:r>
          </w:p>
        </w:tc>
        <w:tc>
          <w:tcPr>
            <w:tcW w:w="258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SR image (640×640)</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bCs/>
                <w:color w:val="1F3864"/>
                <w:sz w:val="20"/>
                <w:szCs w:val="20"/>
              </w:rPr>
              <w:t>Detection Head</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Custom CNN + MLP queries</w:t>
            </w:r>
          </w:p>
        </w:tc>
        <w:tc>
          <w:tcPr>
            <w:tcW w:w="258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Predict bounding boxes + classes</w:t>
            </w:r>
          </w:p>
        </w:tc>
        <w:tc>
          <w:tcPr>
            <w:tcW w:w="25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N×(cx,cy,w,h) + class logits</w:t>
            </w:r>
          </w:p>
        </w:tc>
      </w:tr>
      <w:tr>
        <w:trPr/>
        <w:tc>
          <w:tcPr>
            <w:tcW w:w="21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NWD Loss</w:t>
            </w:r>
          </w:p>
        </w:tc>
        <w:tc>
          <w:tcPr>
            <w:tcW w:w="20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Wasserstein-2 metric</w:t>
            </w:r>
          </w:p>
        </w:tc>
        <w:tc>
          <w:tcPr>
            <w:tcW w:w="258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Tiny-object-aware regression</w:t>
            </w:r>
          </w:p>
        </w:tc>
        <w:tc>
          <w:tcPr>
            <w:tcW w:w="258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Scalar loss for backprop</w:t>
            </w:r>
          </w:p>
        </w:tc>
      </w:tr>
    </w:tbl>
    <w:p>
      <w:pPr>
        <w:pStyle w:val="Normal"/>
        <w:spacing w:before="60" w:after="60"/>
        <w:rPr/>
      </w:pPr>
      <w:r>
        <w:rPr/>
      </w:r>
    </w:p>
    <w:p>
      <w:pPr>
        <w:pStyle w:val="Heading2"/>
        <w:pBdr>
          <w:bottom w:val="single" w:sz="4" w:space="1" w:color="2E75B6"/>
        </w:pBdr>
        <w:spacing w:before="280" w:after="140"/>
        <w:rPr/>
      </w:pPr>
      <w:r>
        <w:rPr>
          <w:rFonts w:eastAsia="Arial" w:cs="Arial" w:ascii="Arial" w:hAnsi="Arial"/>
          <w:b/>
          <w:bCs/>
          <w:color w:val="1F3864"/>
          <w:sz w:val="26"/>
          <w:szCs w:val="26"/>
        </w:rPr>
        <w:t>3.2  Super-Resolution Module — RealESRGAN</w:t>
      </w:r>
    </w:p>
    <w:p>
      <w:pPr>
        <w:pStyle w:val="Normal"/>
        <w:spacing w:before="80" w:after="80"/>
        <w:jc w:val="both"/>
        <w:rPr/>
      </w:pPr>
      <w:r>
        <w:rPr>
          <w:rFonts w:eastAsia="Arial" w:cs="Arial"/>
          <w:sz w:val="22"/>
          <w:szCs w:val="22"/>
        </w:rPr>
        <w:t>The SR module uses the RRDBNet (Residual-in-Residual Dense Block Network) architecture from Real-ESRGAN with the following configuration:</w:t>
      </w:r>
    </w:p>
    <w:p>
      <w:pPr>
        <w:pStyle w:val="Normal"/>
        <w:spacing w:before="60" w:after="60"/>
        <w:rPr/>
      </w:pPr>
      <w:r>
        <w:rPr/>
      </w:r>
    </w:p>
    <w:p>
      <w:pPr>
        <w:pStyle w:val="ListParagraph"/>
        <w:numPr>
          <w:ilvl w:val="0"/>
          <w:numId w:val="1"/>
        </w:numPr>
        <w:spacing w:before="60" w:after="60"/>
        <w:rPr/>
      </w:pPr>
      <w:r>
        <w:rPr>
          <w:rFonts w:eastAsia="Arial" w:cs="Arial"/>
          <w:b/>
          <w:bCs/>
          <w:color w:val="2E75B6"/>
          <w:sz w:val="22"/>
          <w:szCs w:val="22"/>
        </w:rPr>
        <w:t xml:space="preserve">3 (RGB input/output) </w:t>
      </w:r>
      <w:r>
        <w:rPr>
          <w:rFonts w:eastAsia="Arial" w:cs="Arial"/>
          <w:sz w:val="22"/>
          <w:szCs w:val="22"/>
        </w:rPr>
        <w:t>num_in_ch / num_out_ch:</w:t>
      </w:r>
    </w:p>
    <w:p>
      <w:pPr>
        <w:pStyle w:val="ListParagraph"/>
        <w:numPr>
          <w:ilvl w:val="0"/>
          <w:numId w:val="1"/>
        </w:numPr>
        <w:spacing w:before="60" w:after="60"/>
        <w:rPr/>
      </w:pPr>
      <w:r>
        <w:rPr>
          <w:rFonts w:eastAsia="Arial" w:cs="Arial"/>
          <w:b/>
          <w:bCs/>
          <w:color w:val="2E75B6"/>
          <w:sz w:val="22"/>
          <w:szCs w:val="22"/>
        </w:rPr>
        <w:t xml:space="preserve">64 feature maps </w:t>
      </w:r>
      <w:r>
        <w:rPr>
          <w:rFonts w:eastAsia="Arial" w:cs="Arial"/>
          <w:sz w:val="22"/>
          <w:szCs w:val="22"/>
        </w:rPr>
        <w:t>num_feat:</w:t>
      </w:r>
    </w:p>
    <w:p>
      <w:pPr>
        <w:pStyle w:val="ListParagraph"/>
        <w:numPr>
          <w:ilvl w:val="0"/>
          <w:numId w:val="1"/>
        </w:numPr>
        <w:spacing w:before="60" w:after="60"/>
        <w:rPr/>
      </w:pPr>
      <w:r>
        <w:rPr>
          <w:rFonts w:eastAsia="Arial" w:cs="Arial"/>
          <w:b/>
          <w:bCs/>
          <w:color w:val="2E75B6"/>
          <w:sz w:val="22"/>
          <w:szCs w:val="22"/>
        </w:rPr>
        <w:t xml:space="preserve">23 RRDB blocks </w:t>
      </w:r>
      <w:r>
        <w:rPr>
          <w:rFonts w:eastAsia="Arial" w:cs="Arial"/>
          <w:sz w:val="22"/>
          <w:szCs w:val="22"/>
        </w:rPr>
        <w:t>num_block:</w:t>
      </w:r>
    </w:p>
    <w:p>
      <w:pPr>
        <w:pStyle w:val="ListParagraph"/>
        <w:numPr>
          <w:ilvl w:val="0"/>
          <w:numId w:val="1"/>
        </w:numPr>
        <w:spacing w:before="60" w:after="60"/>
        <w:rPr/>
      </w:pPr>
      <w:r>
        <w:rPr>
          <w:rFonts w:eastAsia="Arial" w:cs="Arial"/>
          <w:b/>
          <w:bCs/>
          <w:color w:val="2E75B6"/>
          <w:sz w:val="22"/>
          <w:szCs w:val="22"/>
        </w:rPr>
        <w:t xml:space="preserve">32 growth channels </w:t>
      </w:r>
      <w:r>
        <w:rPr>
          <w:rFonts w:eastAsia="Arial" w:cs="Arial"/>
          <w:sz w:val="22"/>
          <w:szCs w:val="22"/>
        </w:rPr>
        <w:t>num_grow_ch:</w:t>
      </w:r>
    </w:p>
    <w:p>
      <w:pPr>
        <w:pStyle w:val="ListParagraph"/>
        <w:numPr>
          <w:ilvl w:val="0"/>
          <w:numId w:val="1"/>
        </w:numPr>
        <w:spacing w:before="60" w:after="60"/>
        <w:rPr/>
      </w:pPr>
      <w:r>
        <w:rPr>
          <w:rFonts w:eastAsia="Arial" w:cs="Arial"/>
          <w:b/>
          <w:bCs/>
          <w:color w:val="2E75B6"/>
          <w:sz w:val="22"/>
          <w:szCs w:val="22"/>
        </w:rPr>
        <w:t xml:space="preserve">FP16 (half precision) for GPU efficiency </w:t>
      </w:r>
      <w:r>
        <w:rPr>
          <w:rFonts w:eastAsia="Arial" w:cs="Arial"/>
          <w:sz w:val="22"/>
          <w:szCs w:val="22"/>
        </w:rPr>
        <w:t>Precision:</w:t>
      </w:r>
    </w:p>
    <w:p>
      <w:pPr>
        <w:pStyle w:val="Normal"/>
        <w:spacing w:before="60" w:after="60"/>
        <w:rPr/>
      </w:pPr>
      <w:r>
        <w:rPr/>
      </w:r>
    </w:p>
    <w:p>
      <w:pPr>
        <w:pStyle w:val="Normal"/>
        <w:spacing w:before="80" w:after="80"/>
        <w:jc w:val="both"/>
        <w:rPr/>
      </w:pPr>
      <w:r>
        <w:rPr>
          <w:rFonts w:eastAsia="Arial" w:cs="Arial"/>
          <w:sz w:val="22"/>
          <w:szCs w:val="22"/>
        </w:rPr>
        <w:t>Pre-trained weights are loaded from the official Real-ESRGAN release (RealESRGAN_x2plus.pth for 2× and RealESRGAN_x4plus.pth for 4×) and fine-tuned jointly with the detection head throughout training.</w:t>
      </w:r>
    </w:p>
    <w:p>
      <w:pPr>
        <w:pStyle w:val="Heading2"/>
        <w:pBdr>
          <w:bottom w:val="single" w:sz="4" w:space="1" w:color="2E75B6"/>
        </w:pBdr>
        <w:spacing w:before="280" w:after="140"/>
        <w:rPr/>
      </w:pPr>
      <w:r>
        <w:rPr>
          <w:rFonts w:eastAsia="Arial" w:cs="Arial" w:ascii="Arial" w:hAnsi="Arial"/>
          <w:b/>
          <w:bCs/>
          <w:color w:val="1F3864"/>
          <w:sz w:val="26"/>
          <w:szCs w:val="26"/>
        </w:rPr>
        <w:t>3.3  Detection Head Architecture</w:t>
      </w:r>
    </w:p>
    <w:p>
      <w:pPr>
        <w:pStyle w:val="Normal"/>
        <w:spacing w:before="80" w:after="80"/>
        <w:jc w:val="both"/>
        <w:rPr/>
      </w:pPr>
      <w:r>
        <w:rPr>
          <w:rFonts w:eastAsia="Arial" w:cs="Arial"/>
          <w:sz w:val="22"/>
          <w:szCs w:val="22"/>
        </w:rPr>
        <w:t>A custom lightweight detection head was designed to operate on the SR output, serving as a proxy for the full RT-DETR backbone during joint training:</w:t>
      </w:r>
    </w:p>
    <w:p>
      <w:pPr>
        <w:pStyle w:val="Normal"/>
        <w:spacing w:before="60" w:after="60"/>
        <w:rPr/>
      </w:pPr>
      <w:r>
        <w:rPr/>
      </w:r>
    </w:p>
    <w:p>
      <w:pPr>
        <w:pStyle w:val="Normal"/>
        <w:pBdr>
          <w:left w:val="single" w:sz="8" w:space="4" w:color="2E75B6"/>
        </w:pBdr>
        <w:shd w:val="clear" w:fill="F9F2F4"/>
        <w:spacing w:before="80" w:after="80"/>
        <w:ind w:start="360"/>
        <w:rPr/>
      </w:pPr>
      <w:r>
        <w:rPr>
          <w:rFonts w:eastAsia="Courier New" w:cs="Courier New" w:ascii="Courier New" w:hAnsi="Courier New"/>
          <w:color w:val="C0392B"/>
          <w:sz w:val="18"/>
          <w:szCs w:val="18"/>
        </w:rPr>
        <w:t>Conv(3→64, s=2) → BN → ReLU</w:t>
      </w:r>
    </w:p>
    <w:p>
      <w:pPr>
        <w:pStyle w:val="Normal"/>
        <w:pBdr>
          <w:left w:val="single" w:sz="8" w:space="4" w:color="2E75B6"/>
        </w:pBdr>
        <w:shd w:val="clear" w:fill="F9F2F4"/>
        <w:spacing w:before="80" w:after="80"/>
        <w:ind w:start="360"/>
        <w:rPr/>
      </w:pPr>
      <w:r>
        <w:rPr>
          <w:rFonts w:eastAsia="Courier New" w:cs="Courier New" w:ascii="Courier New" w:hAnsi="Courier New"/>
          <w:color w:val="C0392B"/>
          <w:sz w:val="18"/>
          <w:szCs w:val="18"/>
        </w:rPr>
        <w:t>Conv(64→128, s=2) → BN → ReLU</w:t>
      </w:r>
    </w:p>
    <w:p>
      <w:pPr>
        <w:pStyle w:val="Normal"/>
        <w:pBdr>
          <w:left w:val="single" w:sz="8" w:space="4" w:color="2E75B6"/>
        </w:pBdr>
        <w:shd w:val="clear" w:fill="F9F2F4"/>
        <w:spacing w:before="80" w:after="80"/>
        <w:ind w:start="360"/>
        <w:rPr/>
      </w:pPr>
      <w:r>
        <w:rPr>
          <w:rFonts w:eastAsia="Courier New" w:cs="Courier New" w:ascii="Courier New" w:hAnsi="Courier New"/>
          <w:color w:val="C0392B"/>
          <w:sz w:val="18"/>
          <w:szCs w:val="18"/>
        </w:rPr>
        <w:t>Conv(128→256, s=2) → BN → ReLU</w:t>
      </w:r>
    </w:p>
    <w:p>
      <w:pPr>
        <w:pStyle w:val="Normal"/>
        <w:pBdr>
          <w:left w:val="single" w:sz="8" w:space="4" w:color="2E75B6"/>
        </w:pBdr>
        <w:shd w:val="clear" w:fill="F9F2F4"/>
        <w:spacing w:before="80" w:after="80"/>
        <w:ind w:start="360"/>
        <w:rPr/>
      </w:pPr>
      <w:r>
        <w:rPr>
          <w:rFonts w:eastAsia="Courier New" w:cs="Courier New" w:ascii="Courier New" w:hAnsi="Courier New"/>
          <w:color w:val="C0392B"/>
          <w:sz w:val="18"/>
          <w:szCs w:val="18"/>
        </w:rPr>
        <w:t>Conv(256→256, s=2) → BN → ReLU</w:t>
      </w:r>
    </w:p>
    <w:p>
      <w:pPr>
        <w:pStyle w:val="Normal"/>
        <w:pBdr>
          <w:left w:val="single" w:sz="8" w:space="4" w:color="2E75B6"/>
        </w:pBdr>
        <w:shd w:val="clear" w:fill="F9F2F4"/>
        <w:spacing w:before="80" w:after="80"/>
        <w:ind w:start="360"/>
        <w:rPr/>
      </w:pPr>
      <w:r>
        <w:rPr>
          <w:rFonts w:eastAsia="Courier New" w:cs="Courier New" w:ascii="Courier New" w:hAnsi="Courier New"/>
          <w:color w:val="C0392B"/>
          <w:sz w:val="18"/>
          <w:szCs w:val="18"/>
        </w:rPr>
        <w:t>AdaptiveAvgPool → Flatten → MLP → (boxes, class_logits)</w:t>
      </w:r>
    </w:p>
    <w:p>
      <w:pPr>
        <w:pStyle w:val="Normal"/>
        <w:spacing w:before="60" w:after="60"/>
        <w:rPr/>
      </w:pPr>
      <w:r>
        <w:rPr/>
      </w:r>
    </w:p>
    <w:p>
      <w:pPr>
        <w:pStyle w:val="Normal"/>
        <w:spacing w:before="80" w:after="80"/>
        <w:jc w:val="both"/>
        <w:rPr/>
      </w:pPr>
      <w:r>
        <w:rPr>
          <w:rFonts w:eastAsia="Arial" w:cs="Arial"/>
          <w:sz w:val="22"/>
          <w:szCs w:val="22"/>
        </w:rPr>
        <w:t>The head produces NUM_QUERIES (100) query predictions, each consisting of a normalized (cx, cy, w, h) box and class probability logits. The architecture is intentionally lightweight to allow the ESRGAN module to dominate GPU memory usage and receive meaningful gradient signals from detection loss.</w:t>
      </w:r>
    </w:p>
    <w:p>
      <w:pPr>
        <w:pStyle w:val="Heading2"/>
        <w:pBdr>
          <w:bottom w:val="single" w:sz="4" w:space="1" w:color="2E75B6"/>
        </w:pBdr>
        <w:spacing w:before="280" w:after="140"/>
        <w:rPr/>
      </w:pPr>
      <w:r>
        <w:rPr>
          <w:rFonts w:eastAsia="Arial" w:cs="Arial" w:ascii="Arial" w:hAnsi="Arial"/>
          <w:b/>
          <w:bCs/>
          <w:color w:val="1F3864"/>
          <w:sz w:val="26"/>
          <w:szCs w:val="26"/>
        </w:rPr>
        <w:t>3.4  Composite Loss Function</w:t>
      </w:r>
    </w:p>
    <w:p>
      <w:pPr>
        <w:pStyle w:val="Normal"/>
        <w:spacing w:before="80" w:after="80"/>
        <w:jc w:val="both"/>
        <w:rPr/>
      </w:pPr>
      <w:r>
        <w:rPr>
          <w:rFonts w:eastAsia="Arial" w:cs="Arial"/>
          <w:sz w:val="22"/>
          <w:szCs w:val="22"/>
        </w:rPr>
        <w:t>The total training loss combines three components with configurable weighting:</w:t>
      </w:r>
    </w:p>
    <w:p>
      <w:pPr>
        <w:pStyle w:val="Normal"/>
        <w:spacing w:before="60" w:after="60"/>
        <w:rPr/>
      </w:pPr>
      <w:r>
        <w:rPr/>
      </w:r>
    </w:p>
    <w:p>
      <w:pPr>
        <w:pStyle w:val="Normal"/>
        <w:pBdr>
          <w:left w:val="single" w:sz="8" w:space="4" w:color="2E75B6"/>
        </w:pBdr>
        <w:shd w:val="clear" w:fill="F9F2F4"/>
        <w:spacing w:before="80" w:after="80"/>
        <w:ind w:start="360"/>
        <w:rPr/>
      </w:pPr>
      <w:r>
        <w:rPr>
          <w:rFonts w:eastAsia="Courier New" w:cs="Courier New" w:ascii="Courier New" w:hAnsi="Courier New"/>
          <w:color w:val="C0392B"/>
          <w:sz w:val="18"/>
          <w:szCs w:val="18"/>
        </w:rPr>
        <w:t>L_total = L_NWD + L_cls + λ_SR × L_SR</w:t>
      </w:r>
    </w:p>
    <w:p>
      <w:pPr>
        <w:pStyle w:val="Normal"/>
        <w:spacing w:before="60" w:after="60"/>
        <w:rPr/>
      </w:pPr>
      <w:r>
        <w:rPr/>
      </w:r>
    </w:p>
    <w:tbl>
      <w:tblPr>
        <w:tblW w:w="9360" w:type="dxa"/>
        <w:jc w:val="start"/>
        <w:tblInd w:w="0" w:type="dxa"/>
        <w:tblLayout w:type="fixed"/>
        <w:tblCellMar>
          <w:top w:w="100" w:type="dxa"/>
          <w:start w:w="140" w:type="dxa"/>
          <w:bottom w:w="100" w:type="dxa"/>
          <w:end w:w="140" w:type="dxa"/>
        </w:tblCellMar>
      </w:tblPr>
      <w:tblGrid>
        <w:gridCol w:w="2000"/>
        <w:gridCol w:w="2199"/>
        <w:gridCol w:w="2001"/>
        <w:gridCol w:w="3160"/>
      </w:tblGrid>
      <w:tr>
        <w:trPr>
          <w:tblHeader w:val="true"/>
        </w:trPr>
        <w:tc>
          <w:tcPr>
            <w:tcW w:w="200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Loss Term</w:t>
            </w:r>
          </w:p>
        </w:tc>
        <w:tc>
          <w:tcPr>
            <w:tcW w:w="2199"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Formula</w:t>
            </w:r>
          </w:p>
        </w:tc>
        <w:tc>
          <w:tcPr>
            <w:tcW w:w="2001"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Weight</w:t>
            </w:r>
          </w:p>
        </w:tc>
        <w:tc>
          <w:tcPr>
            <w:tcW w:w="316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Description</w:t>
            </w:r>
          </w:p>
        </w:tc>
      </w:tr>
      <w:tr>
        <w:trPr/>
        <w:tc>
          <w:tcPr>
            <w:tcW w:w="20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L_NWD</w:t>
            </w:r>
          </w:p>
        </w:tc>
        <w:tc>
          <w:tcPr>
            <w:tcW w:w="21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1 − exp(−W₂/C)</w:t>
            </w:r>
          </w:p>
        </w:tc>
        <w:tc>
          <w:tcPr>
            <w:tcW w:w="20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1.0</w:t>
            </w:r>
          </w:p>
        </w:tc>
        <w:tc>
          <w:tcPr>
            <w:tcW w:w="316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Box regression via Wasserstein distance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bCs/>
                <w:color w:val="1F3864"/>
                <w:sz w:val="20"/>
                <w:szCs w:val="20"/>
              </w:rPr>
              <w:t>L_cls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Cross-entropy</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1.0</w:t>
            </w:r>
          </w:p>
        </w:tc>
        <w:tc>
          <w:tcPr>
            <w:tcW w:w="31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Predicted vs ground-truth class labels</w:t>
            </w:r>
          </w:p>
        </w:tc>
      </w:tr>
      <w:tr>
        <w:trPr/>
        <w:tc>
          <w:tcPr>
            <w:tcW w:w="20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L_SR</w:t>
            </w:r>
          </w:p>
        </w:tc>
        <w:tc>
          <w:tcPr>
            <w:tcW w:w="21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L1 (LR→SR vs HR)</w:t>
            </w:r>
          </w:p>
        </w:tc>
        <w:tc>
          <w:tcPr>
            <w:tcW w:w="20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0.1 (λ_SR)</w:t>
            </w:r>
          </w:p>
        </w:tc>
        <w:tc>
          <w:tcPr>
            <w:tcW w:w="316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SR fidelity to 640×640 HR reference tile</w:t>
            </w:r>
          </w:p>
        </w:tc>
      </w:tr>
    </w:tbl>
    <w:p>
      <w:pPr>
        <w:pStyle w:val="Normal"/>
        <w:spacing w:before="60" w:after="60"/>
        <w:rPr/>
      </w:pPr>
      <w:r>
        <w:rPr/>
      </w:r>
    </w:p>
    <w:p>
      <w:pPr>
        <w:pStyle w:val="Normal"/>
        <w:spacing w:before="80" w:after="80"/>
        <w:jc w:val="both"/>
        <w:rPr/>
      </w:pPr>
      <w:r>
        <w:rPr>
          <w:rFonts w:eastAsia="Arial" w:cs="Arial"/>
          <w:sz w:val="22"/>
          <w:szCs w:val="22"/>
        </w:rPr>
        <w:t>The λ_SR weight of 0.1 deliberately down-weights the SR fidelity loss to prevent it from dominating gradients, allowing the detection loss to drive feature-learning decisions in the ESRGAN module.</w:t>
      </w:r>
    </w:p>
    <w:p>
      <w:pPr>
        <w:pStyle w:val="Heading1"/>
        <w:shd w:val="clear" w:fill="1F3864"/>
        <w:spacing w:before="360" w:after="200"/>
        <w:ind w:start="200" w:end="200"/>
        <w:rPr/>
      </w:pPr>
      <w:r>
        <w:rPr>
          <w:rFonts w:eastAsia="Arial" w:cs="Arial" w:ascii="Arial" w:hAnsi="Arial"/>
          <w:b/>
          <w:bCs/>
          <w:color w:val="FFFFFF"/>
          <w:sz w:val="32"/>
          <w:szCs w:val="32"/>
        </w:rPr>
        <w:t>4.  Datasets</w:t>
      </w:r>
    </w:p>
    <w:p>
      <w:pPr>
        <w:pStyle w:val="Heading2"/>
        <w:pBdr>
          <w:bottom w:val="single" w:sz="4" w:space="1" w:color="2E75B6"/>
        </w:pBdr>
        <w:spacing w:before="280" w:after="140"/>
        <w:rPr/>
      </w:pPr>
      <w:r>
        <w:rPr>
          <w:rFonts w:eastAsia="Arial" w:cs="Arial" w:ascii="Arial" w:hAnsi="Arial"/>
          <w:b/>
          <w:bCs/>
          <w:color w:val="1F3864"/>
          <w:sz w:val="26"/>
          <w:szCs w:val="26"/>
        </w:rPr>
        <w:t>4.1  VisDrone Tiny (Filtered)</w:t>
      </w:r>
    </w:p>
    <w:p>
      <w:pPr>
        <w:pStyle w:val="Normal"/>
        <w:spacing w:before="80" w:after="80"/>
        <w:jc w:val="both"/>
        <w:rPr/>
      </w:pPr>
      <w:r>
        <w:rPr>
          <w:rFonts w:eastAsia="Arial" w:cs="Arial"/>
          <w:sz w:val="22"/>
          <w:szCs w:val="22"/>
        </w:rPr>
        <w:t>VisDrone is a large-scale benchmark for drone-based imagery collected across 14 cities in China. For this experiment, a filtered tiny subset was used:</w:t>
      </w:r>
    </w:p>
    <w:p>
      <w:pPr>
        <w:pStyle w:val="Normal"/>
        <w:spacing w:before="60" w:after="60"/>
        <w:rPr/>
      </w:pPr>
      <w:r>
        <w:rPr/>
      </w:r>
    </w:p>
    <w:tbl>
      <w:tblPr>
        <w:tblW w:w="9360" w:type="dxa"/>
        <w:jc w:val="start"/>
        <w:tblInd w:w="0" w:type="dxa"/>
        <w:tblLayout w:type="fixed"/>
        <w:tblCellMar>
          <w:top w:w="100" w:type="dxa"/>
          <w:start w:w="140" w:type="dxa"/>
          <w:bottom w:w="100" w:type="dxa"/>
          <w:end w:w="140" w:type="dxa"/>
        </w:tblCellMar>
      </w:tblPr>
      <w:tblGrid>
        <w:gridCol w:w="2999"/>
        <w:gridCol w:w="3181"/>
        <w:gridCol w:w="3180"/>
      </w:tblGrid>
      <w:tr>
        <w:trPr>
          <w:tblHeader w:val="true"/>
        </w:trPr>
        <w:tc>
          <w:tcPr>
            <w:tcW w:w="2999"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Property</w:t>
            </w:r>
          </w:p>
        </w:tc>
        <w:tc>
          <w:tcPr>
            <w:tcW w:w="3181"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Detail</w:t>
            </w:r>
          </w:p>
        </w:tc>
        <w:tc>
          <w:tcPr>
            <w:tcW w:w="318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Notes</w:t>
            </w:r>
          </w:p>
        </w:tc>
      </w:tr>
      <w:tr>
        <w:trPr/>
        <w:tc>
          <w:tcPr>
            <w:tcW w:w="29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Source path</w:t>
            </w:r>
          </w:p>
        </w:tc>
        <w:tc>
          <w:tcPr>
            <w:tcW w:w="318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/filtered_tiny/</w:t>
            </w:r>
          </w:p>
        </w:tc>
        <w:tc>
          <w:tcPr>
            <w:tcW w:w="318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Pre-filtered for small objects</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bCs/>
                <w:color w:val="1F3864"/>
                <w:sz w:val="20"/>
                <w:szCs w:val="20"/>
              </w:rPr>
              <w:t>Annotation format</w:t>
            </w:r>
          </w:p>
        </w:tc>
        <w:tc>
          <w:tcPr>
            <w:tcW w:w="318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VisDrone CSV</w:t>
            </w:r>
          </w:p>
        </w:tc>
        <w:tc>
          <w:tcPr>
            <w:tcW w:w="31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x,y,w,h,score,class,trunc,occ</w:t>
            </w:r>
          </w:p>
        </w:tc>
      </w:tr>
      <w:tr>
        <w:trPr/>
        <w:tc>
          <w:tcPr>
            <w:tcW w:w="29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Classes retained</w:t>
            </w:r>
          </w:p>
        </w:tc>
        <w:tc>
          <w:tcPr>
            <w:tcW w:w="318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6 (raw IDs: 1,2,3,4,7,10)</w:t>
            </w:r>
          </w:p>
        </w:tc>
        <w:tc>
          <w:tcPr>
            <w:tcW w:w="318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pedestrian, people, bicycle, car, tricycle, motor</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bCs/>
                <w:color w:val="1F3864"/>
                <w:sz w:val="20"/>
                <w:szCs w:val="20"/>
              </w:rPr>
              <w:t>Ignored regions</w:t>
            </w:r>
          </w:p>
        </w:tc>
        <w:tc>
          <w:tcPr>
            <w:tcW w:w="318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score=0 filtered out</w:t>
            </w:r>
          </w:p>
        </w:tc>
        <w:tc>
          <w:tcPr>
            <w:tcW w:w="31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Avoids training on ambiguous regions</w:t>
            </w:r>
          </w:p>
        </w:tc>
      </w:tr>
      <w:tr>
        <w:trPr/>
        <w:tc>
          <w:tcPr>
            <w:tcW w:w="29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Min object size</w:t>
            </w:r>
          </w:p>
        </w:tc>
        <w:tc>
          <w:tcPr>
            <w:tcW w:w="318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&gt; 1×1 pixels</w:t>
            </w:r>
          </w:p>
        </w:tc>
        <w:tc>
          <w:tcPr>
            <w:tcW w:w="318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Degenerate boxes discarded</w:t>
            </w:r>
          </w:p>
        </w:tc>
      </w:tr>
    </w:tbl>
    <w:p>
      <w:pPr>
        <w:pStyle w:val="Normal"/>
        <w:spacing w:before="60" w:after="60"/>
        <w:rPr/>
      </w:pPr>
      <w:r>
        <w:rPr/>
      </w:r>
    </w:p>
    <w:p>
      <w:pPr>
        <w:pStyle w:val="Heading2"/>
        <w:pBdr>
          <w:bottom w:val="single" w:sz="4" w:space="1" w:color="2E75B6"/>
        </w:pBdr>
        <w:spacing w:before="280" w:after="140"/>
        <w:rPr/>
      </w:pPr>
      <w:r>
        <w:rPr>
          <w:rFonts w:eastAsia="Arial" w:cs="Arial" w:ascii="Arial" w:hAnsi="Arial"/>
          <w:b/>
          <w:bCs/>
          <w:color w:val="1F3864"/>
          <w:sz w:val="26"/>
          <w:szCs w:val="26"/>
        </w:rPr>
        <w:t>4.2  AI-TOD Sampled</w:t>
      </w:r>
    </w:p>
    <w:p>
      <w:pPr>
        <w:pStyle w:val="Normal"/>
        <w:spacing w:before="80" w:after="80"/>
        <w:jc w:val="both"/>
        <w:rPr/>
      </w:pPr>
      <w:r>
        <w:rPr>
          <w:rFonts w:eastAsia="Arial" w:cs="Arial"/>
          <w:sz w:val="22"/>
          <w:szCs w:val="22"/>
        </w:rPr>
        <w:t>AI-TOD (Artificial Intelligence Tiny Object Detection) is a dataset specifically compiled for tiny object detection in satellite imagery. The sampled split used here includes:</w:t>
      </w:r>
    </w:p>
    <w:p>
      <w:pPr>
        <w:pStyle w:val="Normal"/>
        <w:spacing w:before="60" w:after="60"/>
        <w:rPr/>
      </w:pPr>
      <w:r>
        <w:rPr/>
      </w:r>
    </w:p>
    <w:tbl>
      <w:tblPr>
        <w:tblW w:w="9360" w:type="dxa"/>
        <w:jc w:val="start"/>
        <w:tblInd w:w="0" w:type="dxa"/>
        <w:tblLayout w:type="fixed"/>
        <w:tblCellMar>
          <w:top w:w="100" w:type="dxa"/>
          <w:start w:w="140" w:type="dxa"/>
          <w:bottom w:w="100" w:type="dxa"/>
          <w:end w:w="140" w:type="dxa"/>
        </w:tblCellMar>
      </w:tblPr>
      <w:tblGrid>
        <w:gridCol w:w="2999"/>
        <w:gridCol w:w="3181"/>
        <w:gridCol w:w="3180"/>
      </w:tblGrid>
      <w:tr>
        <w:trPr>
          <w:tblHeader w:val="true"/>
        </w:trPr>
        <w:tc>
          <w:tcPr>
            <w:tcW w:w="2999"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Property</w:t>
            </w:r>
          </w:p>
        </w:tc>
        <w:tc>
          <w:tcPr>
            <w:tcW w:w="3181"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Detail</w:t>
            </w:r>
          </w:p>
        </w:tc>
        <w:tc>
          <w:tcPr>
            <w:tcW w:w="318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Notes</w:t>
            </w:r>
          </w:p>
        </w:tc>
      </w:tr>
      <w:tr>
        <w:trPr/>
        <w:tc>
          <w:tcPr>
            <w:tcW w:w="29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Annotation format</w:t>
            </w:r>
          </w:p>
        </w:tc>
        <w:tc>
          <w:tcPr>
            <w:tcW w:w="318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COCO JSON</w:t>
            </w:r>
          </w:p>
        </w:tc>
        <w:tc>
          <w:tcPr>
            <w:tcW w:w="318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images + annotations + categories</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bCs/>
                <w:color w:val="1F3864"/>
                <w:sz w:val="20"/>
                <w:szCs w:val="20"/>
              </w:rPr>
              <w:t>Classes</w:t>
            </w:r>
          </w:p>
        </w:tc>
        <w:tc>
          <w:tcPr>
            <w:tcW w:w="318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8</w:t>
            </w:r>
          </w:p>
        </w:tc>
        <w:tc>
          <w:tcPr>
            <w:tcW w:w="31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airplane, bridge, storage-tank, ship, swimming-pool, vehicle, person, wind-mill</w:t>
            </w:r>
          </w:p>
        </w:tc>
      </w:tr>
      <w:tr>
        <w:trPr/>
        <w:tc>
          <w:tcPr>
            <w:tcW w:w="29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Category ID mapping</w:t>
            </w:r>
          </w:p>
        </w:tc>
        <w:tc>
          <w:tcPr>
            <w:tcW w:w="318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1-indexed COCO → 0-indexed YOLO</w:t>
            </w:r>
          </w:p>
        </w:tc>
        <w:tc>
          <w:tcPr>
            <w:tcW w:w="318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{1:0, 2:1, ..., 8:7}</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bCs/>
                <w:color w:val="1F3864"/>
                <w:sz w:val="20"/>
                <w:szCs w:val="20"/>
              </w:rPr>
              <w:t>Object characteristics</w:t>
            </w:r>
          </w:p>
        </w:tc>
        <w:tc>
          <w:tcPr>
            <w:tcW w:w="318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Extremely small, high density</w:t>
            </w:r>
          </w:p>
        </w:tc>
        <w:tc>
          <w:tcPr>
            <w:tcW w:w="31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Representative of satellite imagery challenges</w:t>
            </w:r>
          </w:p>
        </w:tc>
      </w:tr>
    </w:tbl>
    <w:p>
      <w:pPr>
        <w:pStyle w:val="Normal"/>
        <w:spacing w:before="60" w:after="60"/>
        <w:rPr/>
      </w:pPr>
      <w:r>
        <w:rPr/>
      </w:r>
    </w:p>
    <w:p>
      <w:pPr>
        <w:pStyle w:val="Heading2"/>
        <w:pBdr>
          <w:bottom w:val="single" w:sz="4" w:space="1" w:color="2E75B6"/>
        </w:pBdr>
        <w:spacing w:before="280" w:after="140"/>
        <w:rPr/>
      </w:pPr>
      <w:r>
        <w:rPr>
          <w:rFonts w:eastAsia="Arial" w:cs="Arial" w:ascii="Arial" w:hAnsi="Arial"/>
          <w:b/>
          <w:bCs/>
          <w:color w:val="1F3864"/>
          <w:sz w:val="26"/>
          <w:szCs w:val="26"/>
        </w:rPr>
        <w:t>4.3  SAHI Tiling Strategy (Cell 5)</w:t>
      </w:r>
    </w:p>
    <w:p>
      <w:pPr>
        <w:pStyle w:val="Normal"/>
        <w:spacing w:before="80" w:after="80"/>
        <w:jc w:val="both"/>
        <w:rPr/>
      </w:pPr>
      <w:r>
        <w:rPr>
          <w:rFonts w:eastAsia="Arial" w:cs="Arial"/>
          <w:sz w:val="22"/>
          <w:szCs w:val="22"/>
        </w:rPr>
        <w:t>Both datasets were processed using a Slicing-Aided Hyper Inference (SAHI) inspired tiling approach before any training or evaluation. Tiling is critical for tiny object detection because:</w:t>
      </w:r>
    </w:p>
    <w:p>
      <w:pPr>
        <w:pStyle w:val="Normal"/>
        <w:spacing w:before="60" w:after="60"/>
        <w:rPr/>
      </w:pPr>
      <w:r>
        <w:rPr/>
      </w:r>
    </w:p>
    <w:p>
      <w:pPr>
        <w:pStyle w:val="ListParagraph"/>
        <w:numPr>
          <w:ilvl w:val="0"/>
          <w:numId w:val="1"/>
        </w:numPr>
        <w:spacing w:before="60" w:after="60"/>
        <w:rPr/>
      </w:pPr>
      <w:r>
        <w:rPr>
          <w:rFonts w:eastAsia="Arial" w:cs="Arial"/>
          <w:sz w:val="22"/>
          <w:szCs w:val="22"/>
        </w:rPr>
        <w:t>It ensures that tiny objects occupy a larger fraction of the input tile area, improving detector sensitivity.</w:t>
      </w:r>
    </w:p>
    <w:p>
      <w:pPr>
        <w:pStyle w:val="ListParagraph"/>
        <w:numPr>
          <w:ilvl w:val="0"/>
          <w:numId w:val="1"/>
        </w:numPr>
        <w:spacing w:before="60" w:after="60"/>
        <w:rPr/>
      </w:pPr>
      <w:r>
        <w:rPr>
          <w:rFonts w:eastAsia="Arial" w:cs="Arial"/>
          <w:sz w:val="22"/>
          <w:szCs w:val="22"/>
        </w:rPr>
        <w:t>Avoids context dilution — very small objects at full image resolution occupy negligible feature map cells.</w:t>
      </w:r>
    </w:p>
    <w:p>
      <w:pPr>
        <w:pStyle w:val="ListParagraph"/>
        <w:numPr>
          <w:ilvl w:val="0"/>
          <w:numId w:val="1"/>
        </w:numPr>
        <w:spacing w:before="60" w:after="60"/>
        <w:rPr/>
      </w:pPr>
      <w:r>
        <w:rPr>
          <w:rFonts w:eastAsia="Arial" w:cs="Arial"/>
          <w:sz w:val="22"/>
          <w:szCs w:val="22"/>
        </w:rPr>
        <w:t>Produces uniform 640×640 training tiles regardless of source image resolution.</w:t>
      </w:r>
    </w:p>
    <w:p>
      <w:pPr>
        <w:pStyle w:val="Normal"/>
        <w:spacing w:before="60" w:after="60"/>
        <w:rPr/>
      </w:pPr>
      <w:r>
        <w:rPr/>
      </w:r>
    </w:p>
    <w:tbl>
      <w:tblPr>
        <w:tblW w:w="9360" w:type="dxa"/>
        <w:jc w:val="start"/>
        <w:tblInd w:w="0" w:type="dxa"/>
        <w:tblLayout w:type="fixed"/>
        <w:tblCellMar>
          <w:top w:w="100" w:type="dxa"/>
          <w:start w:w="140" w:type="dxa"/>
          <w:bottom w:w="100" w:type="dxa"/>
          <w:end w:w="140" w:type="dxa"/>
        </w:tblCellMar>
      </w:tblPr>
      <w:tblGrid>
        <w:gridCol w:w="3120"/>
        <w:gridCol w:w="3120"/>
        <w:gridCol w:w="3120"/>
      </w:tblGrid>
      <w:tr>
        <w:trPr>
          <w:tblHeader w:val="true"/>
        </w:trPr>
        <w:tc>
          <w:tcPr>
            <w:tcW w:w="312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Tiling Parameter</w:t>
            </w:r>
          </w:p>
        </w:tc>
        <w:tc>
          <w:tcPr>
            <w:tcW w:w="312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Value</w:t>
            </w:r>
          </w:p>
        </w:tc>
        <w:tc>
          <w:tcPr>
            <w:tcW w:w="312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Rationale</w:t>
            </w:r>
          </w:p>
        </w:tc>
      </w:tr>
      <w:tr>
        <w:trPr/>
        <w:tc>
          <w:tcPr>
            <w:tcW w:w="312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Tile size (H × W)</w:t>
            </w:r>
          </w:p>
        </w:tc>
        <w:tc>
          <w:tcPr>
            <w:tcW w:w="312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640 × 640</w:t>
            </w:r>
          </w:p>
        </w:tc>
        <w:tc>
          <w:tcPr>
            <w:tcW w:w="312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Matches RT-DETR input size</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bCs/>
                <w:color w:val="1F3864"/>
                <w:sz w:val="20"/>
                <w:szCs w:val="20"/>
              </w:rPr>
              <w:t>Overlap ratio</w:t>
            </w:r>
          </w:p>
        </w:tc>
        <w:tc>
          <w:tcPr>
            <w:tcW w:w="312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20%</w:t>
            </w:r>
          </w:p>
        </w:tc>
        <w:tc>
          <w:tcPr>
            <w:tcW w:w="312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Prevents boundary object truncation</w:t>
            </w:r>
          </w:p>
        </w:tc>
      </w:tr>
      <w:tr>
        <w:trPr/>
        <w:tc>
          <w:tcPr>
            <w:tcW w:w="312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Min annotation visibility</w:t>
            </w:r>
          </w:p>
        </w:tc>
        <w:tc>
          <w:tcPr>
            <w:tcW w:w="312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 xml:space="preserve">≥ </w:t>
            </w:r>
            <w:r>
              <w:rPr>
                <w:rFonts w:eastAsia="Arial" w:cs="Arial"/>
                <w:b w:val="false"/>
                <w:bCs w:val="false"/>
                <w:color w:val="000000"/>
                <w:sz w:val="20"/>
                <w:szCs w:val="20"/>
              </w:rPr>
              <w:t>50% area in tile</w:t>
            </w:r>
          </w:p>
        </w:tc>
        <w:tc>
          <w:tcPr>
            <w:tcW w:w="312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Avoids partial-object label noise</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bCs/>
                <w:color w:val="1F3864"/>
                <w:sz w:val="20"/>
                <w:szCs w:val="20"/>
              </w:rPr>
              <w:t>Empty tile filtering</w:t>
            </w:r>
          </w:p>
        </w:tc>
        <w:tc>
          <w:tcPr>
            <w:tcW w:w="312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No empty tiles saved</w:t>
            </w:r>
          </w:p>
        </w:tc>
        <w:tc>
          <w:tcPr>
            <w:tcW w:w="312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Eliminates background-only batches</w:t>
            </w:r>
          </w:p>
        </w:tc>
      </w:tr>
      <w:tr>
        <w:trPr/>
        <w:tc>
          <w:tcPr>
            <w:tcW w:w="312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Output label format</w:t>
            </w:r>
          </w:p>
        </w:tc>
        <w:tc>
          <w:tcPr>
            <w:tcW w:w="312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YOLO (cls cx cy w h)</w:t>
            </w:r>
          </w:p>
        </w:tc>
        <w:tc>
          <w:tcPr>
            <w:tcW w:w="312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Normalized [0,1] per tile dimensions</w:t>
            </w:r>
          </w:p>
        </w:tc>
      </w:tr>
    </w:tbl>
    <w:p>
      <w:pPr>
        <w:pStyle w:val="Normal"/>
        <w:spacing w:before="60" w:after="60"/>
        <w:rPr/>
      </w:pPr>
      <w:r>
        <w:rPr/>
      </w:r>
    </w:p>
    <w:p>
      <w:pPr>
        <w:pStyle w:val="Heading1"/>
        <w:shd w:val="clear" w:fill="1F3864"/>
        <w:spacing w:before="360" w:after="200"/>
        <w:ind w:start="200" w:end="200"/>
        <w:rPr/>
      </w:pPr>
      <w:r>
        <w:rPr>
          <w:rFonts w:eastAsia="Arial" w:cs="Arial" w:ascii="Arial" w:hAnsi="Arial"/>
          <w:b/>
          <w:bCs/>
          <w:color w:val="FFFFFF"/>
          <w:sz w:val="32"/>
          <w:szCs w:val="32"/>
        </w:rPr>
        <w:t>5.  Training Configuration</w:t>
      </w:r>
    </w:p>
    <w:p>
      <w:pPr>
        <w:pStyle w:val="Heading2"/>
        <w:pBdr>
          <w:bottom w:val="single" w:sz="4" w:space="1" w:color="2E75B6"/>
        </w:pBdr>
        <w:spacing w:before="280" w:after="140"/>
        <w:rPr/>
      </w:pPr>
      <w:r>
        <w:rPr>
          <w:rFonts w:eastAsia="Arial" w:cs="Arial" w:ascii="Arial" w:hAnsi="Arial"/>
          <w:b/>
          <w:bCs/>
          <w:color w:val="1F3864"/>
          <w:sz w:val="26"/>
          <w:szCs w:val="26"/>
        </w:rPr>
        <w:t>5.1  Hyperparameters</w:t>
      </w:r>
    </w:p>
    <w:tbl>
      <w:tblPr>
        <w:tblW w:w="9360" w:type="dxa"/>
        <w:jc w:val="start"/>
        <w:tblInd w:w="0" w:type="dxa"/>
        <w:tblLayout w:type="fixed"/>
        <w:tblCellMar>
          <w:top w:w="100" w:type="dxa"/>
          <w:start w:w="140" w:type="dxa"/>
          <w:bottom w:w="100" w:type="dxa"/>
          <w:end w:w="140" w:type="dxa"/>
        </w:tblCellMar>
      </w:tblPr>
      <w:tblGrid>
        <w:gridCol w:w="2999"/>
        <w:gridCol w:w="2001"/>
        <w:gridCol w:w="4360"/>
      </w:tblGrid>
      <w:tr>
        <w:trPr>
          <w:tblHeader w:val="true"/>
        </w:trPr>
        <w:tc>
          <w:tcPr>
            <w:tcW w:w="2999"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Hyperparameter</w:t>
            </w:r>
          </w:p>
        </w:tc>
        <w:tc>
          <w:tcPr>
            <w:tcW w:w="2001"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Value</w:t>
            </w:r>
          </w:p>
        </w:tc>
        <w:tc>
          <w:tcPr>
            <w:tcW w:w="436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Notes</w:t>
            </w:r>
          </w:p>
        </w:tc>
      </w:tr>
      <w:tr>
        <w:trPr/>
        <w:tc>
          <w:tcPr>
            <w:tcW w:w="29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Batch size</w:t>
            </w:r>
          </w:p>
        </w:tc>
        <w:tc>
          <w:tcPr>
            <w:tcW w:w="20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1</w:t>
            </w:r>
          </w:p>
        </w:tc>
        <w:tc>
          <w:tcPr>
            <w:tcW w:w="436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Limited by ESRGAN GPU memory footprint</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bCs/>
                <w:color w:val="1F3864"/>
                <w:sz w:val="20"/>
                <w:szCs w:val="20"/>
              </w:rPr>
              <w:t>Gradient accumulation steps</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4</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Effective batch size = 4</w:t>
            </w:r>
          </w:p>
        </w:tc>
      </w:tr>
      <w:tr>
        <w:trPr/>
        <w:tc>
          <w:tcPr>
            <w:tcW w:w="29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LR — ESRGAN</w:t>
            </w:r>
          </w:p>
        </w:tc>
        <w:tc>
          <w:tcPr>
            <w:tcW w:w="20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1e-4</w:t>
            </w:r>
          </w:p>
        </w:tc>
        <w:tc>
          <w:tcPr>
            <w:tcW w:w="436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Adam optimizer with fine-tuning schedule</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bCs/>
                <w:color w:val="1F3864"/>
                <w:sz w:val="20"/>
                <w:szCs w:val="20"/>
              </w:rPr>
              <w:t>LR — Detection Head</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1e-4</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Adam optimizer</w:t>
            </w:r>
          </w:p>
        </w:tc>
      </w:tr>
      <w:tr>
        <w:trPr/>
        <w:tc>
          <w:tcPr>
            <w:tcW w:w="29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λ_SR weight</w:t>
            </w:r>
          </w:p>
        </w:tc>
        <w:tc>
          <w:tcPr>
            <w:tcW w:w="20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0.1</w:t>
            </w:r>
          </w:p>
        </w:tc>
        <w:tc>
          <w:tcPr>
            <w:tcW w:w="436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Prevents SR loss from dominating gradients</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bCs/>
                <w:color w:val="1F3864"/>
                <w:sz w:val="20"/>
                <w:szCs w:val="20"/>
              </w:rPr>
              <w:t>NWD constant C</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12.8</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Controls Wasserstein normalization scale</w:t>
            </w:r>
          </w:p>
        </w:tc>
      </w:tr>
      <w:tr>
        <w:trPr/>
        <w:tc>
          <w:tcPr>
            <w:tcW w:w="29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Max boxes per tile</w:t>
            </w:r>
          </w:p>
        </w:tc>
        <w:tc>
          <w:tcPr>
            <w:tcW w:w="20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50</w:t>
            </w:r>
          </w:p>
        </w:tc>
        <w:tc>
          <w:tcPr>
            <w:tcW w:w="436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Padded with cls=−1 (ignored in loss)</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bCs/>
                <w:color w:val="1F3864"/>
                <w:sz w:val="20"/>
                <w:szCs w:val="20"/>
              </w:rPr>
              <w:t>Detection queries (NUM_QUERIES)</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100</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Transformer-style query mechanism</w:t>
            </w:r>
          </w:p>
        </w:tc>
      </w:tr>
      <w:tr>
        <w:trPr/>
        <w:tc>
          <w:tcPr>
            <w:tcW w:w="29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Mixed precision</w:t>
            </w:r>
          </w:p>
        </w:tc>
        <w:tc>
          <w:tcPr>
            <w:tcW w:w="20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FP16 (AMP)</w:t>
            </w:r>
          </w:p>
        </w:tc>
        <w:tc>
          <w:tcPr>
            <w:tcW w:w="436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torch.amp.autocast + GradScaler</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bCs/>
                <w:color w:val="1F3864"/>
                <w:sz w:val="20"/>
                <w:szCs w:val="20"/>
              </w:rPr>
              <w:t>Reproducibility seed</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42</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Fixed for numpy, random, and PyTorch</w:t>
            </w:r>
          </w:p>
        </w:tc>
      </w:tr>
    </w:tbl>
    <w:p>
      <w:pPr>
        <w:pStyle w:val="Normal"/>
        <w:spacing w:before="60" w:after="60"/>
        <w:rPr/>
      </w:pPr>
      <w:r>
        <w:rPr/>
      </w:r>
    </w:p>
    <w:p>
      <w:pPr>
        <w:pStyle w:val="Heading2"/>
        <w:pBdr>
          <w:bottom w:val="single" w:sz="4" w:space="1" w:color="2E75B6"/>
        </w:pBdr>
        <w:spacing w:before="280" w:after="140"/>
        <w:rPr/>
      </w:pPr>
      <w:r>
        <w:rPr>
          <w:rFonts w:eastAsia="Arial" w:cs="Arial" w:ascii="Arial" w:hAnsi="Arial"/>
          <w:b/>
          <w:bCs/>
          <w:color w:val="1F3864"/>
          <w:sz w:val="26"/>
          <w:szCs w:val="26"/>
        </w:rPr>
        <w:t>5.2  Training Order and Rationale</w:t>
      </w:r>
    </w:p>
    <w:p>
      <w:pPr>
        <w:pStyle w:val="Normal"/>
        <w:spacing w:before="80" w:after="80"/>
        <w:jc w:val="both"/>
        <w:rPr/>
      </w:pPr>
      <w:r>
        <w:rPr>
          <w:rFonts w:eastAsia="Arial" w:cs="Arial"/>
          <w:sz w:val="22"/>
          <w:szCs w:val="22"/>
        </w:rPr>
        <w:t>Experiments were executed in the following order: VisDrone 2× → VisDrone 4× → AI-TOD 2× → AI-TOD 4×. This ordering was deliberate:</w:t>
      </w:r>
    </w:p>
    <w:p>
      <w:pPr>
        <w:pStyle w:val="Normal"/>
        <w:spacing w:before="60" w:after="60"/>
        <w:rPr/>
      </w:pPr>
      <w:r>
        <w:rPr/>
      </w:r>
    </w:p>
    <w:p>
      <w:pPr>
        <w:pStyle w:val="ListParagraph"/>
        <w:numPr>
          <w:ilvl w:val="0"/>
          <w:numId w:val="1"/>
        </w:numPr>
        <w:spacing w:before="60" w:after="60"/>
        <w:rPr/>
      </w:pPr>
      <w:r>
        <w:rPr>
          <w:rFonts w:eastAsia="Arial" w:cs="Arial"/>
          <w:sz w:val="22"/>
          <w:szCs w:val="22"/>
        </w:rPr>
        <w:t>VisDrone first: the VisDrone dataset contains richer spatial variety across urban environments, which helps the detection head develop generalizable feature representations early in training.</w:t>
      </w:r>
    </w:p>
    <w:p>
      <w:pPr>
        <w:pStyle w:val="ListParagraph"/>
        <w:numPr>
          <w:ilvl w:val="0"/>
          <w:numId w:val="1"/>
        </w:numPr>
        <w:spacing w:before="60" w:after="60"/>
        <w:rPr/>
      </w:pPr>
      <w:r>
        <w:rPr>
          <w:rFonts w:eastAsia="Arial" w:cs="Arial"/>
          <w:sz w:val="22"/>
          <w:szCs w:val="22"/>
        </w:rPr>
        <w:t>2× before 4×: the 2× SR experiments serve as warm-up phases. The 4× experiments use fewer epochs (3 vs 10) under the assumption that the ESRGAN model weights have already converged on low-level SR features and only require adaptation for the higher upscaling factor.</w:t>
      </w:r>
    </w:p>
    <w:p>
      <w:pPr>
        <w:pStyle w:val="ListParagraph"/>
        <w:numPr>
          <w:ilvl w:val="0"/>
          <w:numId w:val="1"/>
        </w:numPr>
        <w:spacing w:before="60" w:after="60"/>
        <w:rPr/>
      </w:pPr>
      <w:r>
        <w:rPr>
          <w:rFonts w:eastAsia="Arial" w:cs="Arial"/>
          <w:sz w:val="22"/>
          <w:szCs w:val="22"/>
        </w:rPr>
        <w:t>Gradient accumulation to simulate larger batches: with batch_size=1 and GRAD_ACCUM=4, parameters are updated every 4 steps, simulating an effective batch size of 4 without requiring 4× GPU memory.</w:t>
      </w:r>
    </w:p>
    <w:p>
      <w:pPr>
        <w:pStyle w:val="Normal"/>
        <w:spacing w:before="60" w:after="60"/>
        <w:rPr/>
      </w:pPr>
      <w:r>
        <w:rPr/>
      </w:r>
    </w:p>
    <w:p>
      <w:pPr>
        <w:pStyle w:val="Heading2"/>
        <w:pBdr>
          <w:bottom w:val="single" w:sz="4" w:space="1" w:color="2E75B6"/>
        </w:pBdr>
        <w:spacing w:before="280" w:after="140"/>
        <w:rPr/>
      </w:pPr>
      <w:r>
        <w:rPr>
          <w:rFonts w:eastAsia="Arial" w:cs="Arial" w:ascii="Arial" w:hAnsi="Arial"/>
          <w:b/>
          <w:bCs/>
          <w:color w:val="1F3864"/>
          <w:sz w:val="26"/>
          <w:szCs w:val="26"/>
        </w:rPr>
        <w:t>5.3  Checkpoint Management</w:t>
      </w:r>
    </w:p>
    <w:p>
      <w:pPr>
        <w:pStyle w:val="Normal"/>
        <w:spacing w:before="80" w:after="80"/>
        <w:jc w:val="both"/>
        <w:rPr/>
      </w:pPr>
      <w:r>
        <w:rPr>
          <w:rFonts w:eastAsia="Arial" w:cs="Arial"/>
          <w:sz w:val="22"/>
          <w:szCs w:val="22"/>
        </w:rPr>
        <w:t>Each experiment saves the best checkpoint (lowest total validation loss) to /kaggle/working/runs/{experiment_name}/best.pt. The checkpoint format includes:</w:t>
      </w:r>
    </w:p>
    <w:p>
      <w:pPr>
        <w:pStyle w:val="Normal"/>
        <w:spacing w:before="60" w:after="60"/>
        <w:rPr/>
      </w:pPr>
      <w:r>
        <w:rPr/>
      </w:r>
    </w:p>
    <w:p>
      <w:pPr>
        <w:pStyle w:val="ListParagraph"/>
        <w:numPr>
          <w:ilvl w:val="0"/>
          <w:numId w:val="1"/>
        </w:numPr>
        <w:spacing w:before="60" w:after="60"/>
        <w:rPr/>
      </w:pPr>
      <w:r>
        <w:rPr>
          <w:rFonts w:eastAsia="Arial" w:cs="Arial"/>
          <w:sz w:val="22"/>
          <w:szCs w:val="22"/>
        </w:rPr>
        <w:t>epoch: epoch number at which the best checkpoint was saved</w:t>
      </w:r>
    </w:p>
    <w:p>
      <w:pPr>
        <w:pStyle w:val="ListParagraph"/>
        <w:numPr>
          <w:ilvl w:val="0"/>
          <w:numId w:val="1"/>
        </w:numPr>
        <w:spacing w:before="60" w:after="60"/>
        <w:rPr/>
      </w:pPr>
      <w:r>
        <w:rPr>
          <w:rFonts w:eastAsia="Arial" w:cs="Arial"/>
          <w:sz w:val="22"/>
          <w:szCs w:val="22"/>
        </w:rPr>
        <w:t>best_loss: minimum L_total achieved</w:t>
      </w:r>
    </w:p>
    <w:p>
      <w:pPr>
        <w:pStyle w:val="ListParagraph"/>
        <w:numPr>
          <w:ilvl w:val="0"/>
          <w:numId w:val="1"/>
        </w:numPr>
        <w:spacing w:before="60" w:after="60"/>
        <w:rPr/>
      </w:pPr>
      <w:r>
        <w:rPr>
          <w:rFonts w:eastAsia="Arial" w:cs="Arial"/>
          <w:sz w:val="22"/>
          <w:szCs w:val="22"/>
        </w:rPr>
        <w:t>history: full per-epoch dictionary with L_total, L_nwd, L_cls, L_sr keys</w:t>
      </w:r>
    </w:p>
    <w:p>
      <w:pPr>
        <w:pStyle w:val="ListParagraph"/>
        <w:numPr>
          <w:ilvl w:val="0"/>
          <w:numId w:val="1"/>
        </w:numPr>
        <w:spacing w:before="60" w:after="60"/>
        <w:rPr/>
      </w:pPr>
      <w:r>
        <w:rPr>
          <w:rFonts w:eastAsia="Arial" w:cs="Arial"/>
          <w:sz w:val="22"/>
          <w:szCs w:val="22"/>
        </w:rPr>
        <w:t>esrgan: ESRGAN module state dict</w:t>
      </w:r>
    </w:p>
    <w:p>
      <w:pPr>
        <w:pStyle w:val="ListParagraph"/>
        <w:numPr>
          <w:ilvl w:val="0"/>
          <w:numId w:val="1"/>
        </w:numPr>
        <w:spacing w:before="60" w:after="60"/>
        <w:rPr/>
      </w:pPr>
      <w:r>
        <w:rPr>
          <w:rFonts w:eastAsia="Arial" w:cs="Arial"/>
          <w:sz w:val="22"/>
          <w:szCs w:val="22"/>
        </w:rPr>
        <w:t>det_head: detection head state dict</w:t>
      </w:r>
    </w:p>
    <w:p>
      <w:pPr>
        <w:pStyle w:val="Normal"/>
        <w:spacing w:before="60" w:after="60"/>
        <w:rPr/>
      </w:pPr>
      <w:r>
        <w:rPr/>
      </w:r>
    </w:p>
    <w:p>
      <w:pPr>
        <w:pStyle w:val="Heading2"/>
        <w:pBdr>
          <w:bottom w:val="single" w:sz="4" w:space="1" w:color="2E75B6"/>
        </w:pBdr>
        <w:spacing w:before="280" w:after="140"/>
        <w:rPr/>
      </w:pPr>
      <w:r>
        <w:rPr>
          <w:rFonts w:eastAsia="Arial" w:cs="Arial" w:ascii="Arial" w:hAnsi="Arial"/>
          <w:b/>
          <w:bCs/>
          <w:color w:val="1F3864"/>
          <w:sz w:val="26"/>
          <w:szCs w:val="26"/>
        </w:rPr>
        <w:t>5.4  Memory and Stability Safeguards</w:t>
      </w:r>
    </w:p>
    <w:p>
      <w:pPr>
        <w:pStyle w:val="Normal"/>
        <w:spacing w:before="80" w:after="80"/>
        <w:jc w:val="both"/>
        <w:rPr/>
      </w:pPr>
      <w:r>
        <w:rPr>
          <w:rFonts w:eastAsia="Arial" w:cs="Arial"/>
          <w:sz w:val="22"/>
          <w:szCs w:val="22"/>
        </w:rPr>
        <w:t>Several engineering safeguards were implemented to ensure training stability on the Kaggle compute environment:</w:t>
      </w:r>
    </w:p>
    <w:p>
      <w:pPr>
        <w:pStyle w:val="Normal"/>
        <w:spacing w:before="60" w:after="60"/>
        <w:rPr/>
      </w:pPr>
      <w:r>
        <w:rPr/>
      </w:r>
    </w:p>
    <w:p>
      <w:pPr>
        <w:pStyle w:val="ListParagraph"/>
        <w:numPr>
          <w:ilvl w:val="0"/>
          <w:numId w:val="1"/>
        </w:numPr>
        <w:spacing w:before="60" w:after="60"/>
        <w:rPr/>
      </w:pPr>
      <w:r>
        <w:rPr>
          <w:rFonts w:eastAsia="Arial" w:cs="Arial"/>
          <w:sz w:val="22"/>
          <w:szCs w:val="22"/>
        </w:rPr>
        <w:t>Disk guard: a check_disk_gb() sentinel monitors free disk space and halts tiling/SR application if &lt; 2 GB remains.</w:t>
      </w:r>
    </w:p>
    <w:p>
      <w:pPr>
        <w:pStyle w:val="ListParagraph"/>
        <w:numPr>
          <w:ilvl w:val="0"/>
          <w:numId w:val="1"/>
        </w:numPr>
        <w:spacing w:before="60" w:after="60"/>
        <w:rPr/>
      </w:pPr>
      <w:r>
        <w:rPr>
          <w:rFonts w:eastAsia="Arial" w:cs="Arial"/>
          <w:sz w:val="22"/>
          <w:szCs w:val="22"/>
        </w:rPr>
        <w:t>PyTorch 2.6 patch: torch.load is monkey-patched to force weights_only=False, avoiding compatibility errors with checkpoints containing non-tensor objects.</w:t>
      </w:r>
    </w:p>
    <w:p>
      <w:pPr>
        <w:pStyle w:val="ListParagraph"/>
        <w:numPr>
          <w:ilvl w:val="0"/>
          <w:numId w:val="1"/>
        </w:numPr>
        <w:spacing w:before="60" w:after="60"/>
        <w:rPr/>
      </w:pPr>
      <w:r>
        <w:rPr>
          <w:rFonts w:eastAsia="Arial" w:cs="Arial"/>
          <w:sz w:val="22"/>
          <w:szCs w:val="22"/>
        </w:rPr>
        <w:t>basicsr torchvision patch: the torchvision.transforms.functional_tensor import in basicsr is patched to the updated functional module path.</w:t>
      </w:r>
    </w:p>
    <w:p>
      <w:pPr>
        <w:pStyle w:val="ListParagraph"/>
        <w:numPr>
          <w:ilvl w:val="0"/>
          <w:numId w:val="1"/>
        </w:numPr>
        <w:spacing w:before="60" w:after="60"/>
        <w:rPr/>
      </w:pPr>
      <w:r>
        <w:rPr>
          <w:rFonts w:eastAsia="Arial" w:cs="Arial"/>
          <w:sz w:val="22"/>
          <w:szCs w:val="22"/>
        </w:rPr>
        <w:t>CUDA empty cache: gc.collect() + torch.cuda.empty_cache() is called between experiments to free fragmented GPU memory.</w:t>
      </w:r>
    </w:p>
    <w:p>
      <w:pPr>
        <w:pStyle w:val="ListParagraph"/>
        <w:numPr>
          <w:ilvl w:val="0"/>
          <w:numId w:val="1"/>
        </w:numPr>
        <w:spacing w:before="60" w:after="60"/>
        <w:rPr/>
      </w:pPr>
      <w:r>
        <w:rPr>
          <w:rFonts w:eastAsia="Arial" w:cs="Arial"/>
          <w:sz w:val="22"/>
          <w:szCs w:val="22"/>
        </w:rPr>
        <w:t>cudnn.benchmark = True: enables cuDNN autotuner for optimal convolution algorithms given the fixed 640×640 input size.</w:t>
      </w:r>
    </w:p>
    <w:p>
      <w:pPr>
        <w:pStyle w:val="Normal"/>
        <w:spacing w:before="60" w:after="60"/>
        <w:rPr/>
      </w:pPr>
      <w:r>
        <w:rPr/>
      </w:r>
    </w:p>
    <w:p>
      <w:pPr>
        <w:pStyle w:val="Heading1"/>
        <w:shd w:val="clear" w:fill="1F3864"/>
        <w:spacing w:before="360" w:after="200"/>
        <w:ind w:start="200" w:end="200"/>
        <w:rPr/>
      </w:pPr>
      <w:r>
        <w:rPr>
          <w:rFonts w:eastAsia="Arial" w:cs="Arial" w:ascii="Arial" w:hAnsi="Arial"/>
          <w:b/>
          <w:bCs/>
          <w:color w:val="FFFFFF"/>
          <w:sz w:val="32"/>
          <w:szCs w:val="32"/>
        </w:rPr>
        <w:t>6.  Data Pipeline — JointTileDataset</w:t>
      </w:r>
    </w:p>
    <w:p>
      <w:pPr>
        <w:pStyle w:val="Heading2"/>
        <w:pBdr>
          <w:bottom w:val="single" w:sz="4" w:space="1" w:color="2E75B6"/>
        </w:pBdr>
        <w:spacing w:before="280" w:after="140"/>
        <w:rPr/>
      </w:pPr>
      <w:r>
        <w:rPr>
          <w:rFonts w:eastAsia="Arial" w:cs="Arial" w:ascii="Arial" w:hAnsi="Arial"/>
          <w:b/>
          <w:bCs/>
          <w:color w:val="1F3864"/>
          <w:sz w:val="26"/>
          <w:szCs w:val="26"/>
        </w:rPr>
        <w:t>6.1  Dataset Loading Logic</w:t>
      </w:r>
    </w:p>
    <w:p>
      <w:pPr>
        <w:pStyle w:val="Normal"/>
        <w:spacing w:before="80" w:after="80"/>
        <w:jc w:val="both"/>
        <w:rPr/>
      </w:pPr>
      <w:r>
        <w:rPr>
          <w:rFonts w:eastAsia="Arial" w:cs="Arial"/>
          <w:sz w:val="22"/>
          <w:szCs w:val="22"/>
        </w:rPr>
        <w:t>The JointTileDataset class (Cell 7) handles all data loading for both VisDrone and AI-TOD experiments. Its design prioritizes memory efficiency and training quality:</w:t>
      </w:r>
    </w:p>
    <w:p>
      <w:pPr>
        <w:pStyle w:val="Normal"/>
        <w:spacing w:before="60" w:after="60"/>
        <w:rPr/>
      </w:pPr>
      <w:r>
        <w:rPr/>
      </w:r>
    </w:p>
    <w:p>
      <w:pPr>
        <w:pStyle w:val="ListParagraph"/>
        <w:numPr>
          <w:ilvl w:val="0"/>
          <w:numId w:val="1"/>
        </w:numPr>
        <w:spacing w:before="60" w:after="60"/>
        <w:rPr/>
      </w:pPr>
      <w:r>
        <w:rPr>
          <w:rFonts w:eastAsia="Arial" w:cs="Arial"/>
          <w:sz w:val="22"/>
          <w:szCs w:val="22"/>
        </w:rPr>
        <w:t>Only tiles with at least one annotated object are loaded (empty tiles are explicitly filtered during initialization).</w:t>
      </w:r>
    </w:p>
    <w:p>
      <w:pPr>
        <w:pStyle w:val="ListParagraph"/>
        <w:numPr>
          <w:ilvl w:val="0"/>
          <w:numId w:val="1"/>
        </w:numPr>
        <w:spacing w:before="60" w:after="60"/>
        <w:rPr/>
      </w:pPr>
      <w:r>
        <w:rPr>
          <w:rFonts w:eastAsia="Arial" w:cs="Arial"/>
          <w:sz w:val="22"/>
          <w:szCs w:val="22"/>
        </w:rPr>
        <w:t>Images are resized to 640×640 (HR) at load time, ensuring consistent input dimensions.</w:t>
      </w:r>
    </w:p>
    <w:p>
      <w:pPr>
        <w:pStyle w:val="ListParagraph"/>
        <w:numPr>
          <w:ilvl w:val="0"/>
          <w:numId w:val="1"/>
        </w:numPr>
        <w:spacing w:before="60" w:after="60"/>
        <w:rPr/>
      </w:pPr>
      <w:r>
        <w:rPr>
          <w:rFonts w:eastAsia="Arial" w:cs="Arial"/>
          <w:sz w:val="22"/>
          <w:szCs w:val="22"/>
        </w:rPr>
        <w:t>LR tensors are generated by downsampling from HR using INTER_AREA (anti-aliasing aware), then the model upsamples them back to 640×640 during the forward pass.</w:t>
      </w:r>
    </w:p>
    <w:p>
      <w:pPr>
        <w:pStyle w:val="ListParagraph"/>
        <w:numPr>
          <w:ilvl w:val="0"/>
          <w:numId w:val="1"/>
        </w:numPr>
        <w:spacing w:before="60" w:after="60"/>
        <w:rPr/>
      </w:pPr>
      <w:r>
        <w:rPr>
          <w:rFonts w:eastAsia="Arial" w:cs="Arial"/>
          <w:sz w:val="22"/>
          <w:szCs w:val="22"/>
        </w:rPr>
        <w:t>Labels are read in YOLO format (already converted by the tiling pipeline in Cell 5) and padded to max_boxes=50 rows, with cls=−1.0 for padding rows.</w:t>
      </w:r>
    </w:p>
    <w:p>
      <w:pPr>
        <w:pStyle w:val="Normal"/>
        <w:spacing w:before="60" w:after="60"/>
        <w:rPr/>
      </w:pPr>
      <w:r>
        <w:rPr/>
      </w:r>
    </w:p>
    <w:p>
      <w:pPr>
        <w:pStyle w:val="Heading2"/>
        <w:pBdr>
          <w:bottom w:val="single" w:sz="4" w:space="1" w:color="2E75B6"/>
        </w:pBdr>
        <w:spacing w:before="280" w:after="140"/>
        <w:rPr/>
      </w:pPr>
      <w:r>
        <w:rPr>
          <w:rFonts w:eastAsia="Arial" w:cs="Arial" w:ascii="Arial" w:hAnsi="Arial"/>
          <w:b/>
          <w:bCs/>
          <w:color w:val="1F3864"/>
          <w:sz w:val="26"/>
          <w:szCs w:val="26"/>
        </w:rPr>
        <w:t>6.2  LR/HR Tensor Construction</w:t>
      </w:r>
    </w:p>
    <w:tbl>
      <w:tblPr>
        <w:tblW w:w="9360" w:type="dxa"/>
        <w:jc w:val="start"/>
        <w:tblInd w:w="0" w:type="dxa"/>
        <w:tblLayout w:type="fixed"/>
        <w:tblCellMar>
          <w:top w:w="100" w:type="dxa"/>
          <w:start w:w="140" w:type="dxa"/>
          <w:bottom w:w="100" w:type="dxa"/>
          <w:end w:w="140" w:type="dxa"/>
        </w:tblCellMar>
      </w:tblPr>
      <w:tblGrid>
        <w:gridCol w:w="2199"/>
        <w:gridCol w:w="2000"/>
        <w:gridCol w:w="2581"/>
        <w:gridCol w:w="2580"/>
      </w:tblGrid>
      <w:tr>
        <w:trPr>
          <w:tblHeader w:val="true"/>
        </w:trPr>
        <w:tc>
          <w:tcPr>
            <w:tcW w:w="2199"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Tensor</w:t>
            </w:r>
          </w:p>
        </w:tc>
        <w:tc>
          <w:tcPr>
            <w:tcW w:w="200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Shape</w:t>
            </w:r>
          </w:p>
        </w:tc>
        <w:tc>
          <w:tcPr>
            <w:tcW w:w="2581"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Source</w:t>
            </w:r>
          </w:p>
        </w:tc>
        <w:tc>
          <w:tcPr>
            <w:tcW w:w="258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Purpose</w:t>
            </w:r>
          </w:p>
        </w:tc>
      </w:tr>
      <w:tr>
        <w:trPr/>
        <w:tc>
          <w:tcPr>
            <w:tcW w:w="21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hr</w:t>
            </w:r>
          </w:p>
        </w:tc>
        <w:tc>
          <w:tcPr>
            <w:tcW w:w="20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(3, 640, 640)</w:t>
            </w:r>
          </w:p>
        </w:tc>
        <w:tc>
          <w:tcPr>
            <w:tcW w:w="258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Tile image resized to 640×640</w:t>
            </w:r>
          </w:p>
        </w:tc>
        <w:tc>
          <w:tcPr>
            <w:tcW w:w="258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SR quality reference (L_SR ground truth)</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bCs/>
                <w:color w:val="1F3864"/>
                <w:sz w:val="20"/>
                <w:szCs w:val="20"/>
              </w:rPr>
              <w:t>lr</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(3, LR_SIZE, LR_SIZE)</w:t>
            </w:r>
          </w:p>
        </w:tc>
        <w:tc>
          <w:tcPr>
            <w:tcW w:w="258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HR downsampled by sr_scale (INTER_AREA)</w:t>
            </w:r>
          </w:p>
        </w:tc>
        <w:tc>
          <w:tcPr>
            <w:tcW w:w="25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ESRGAN input (simulates sensor LR)</w:t>
            </w:r>
          </w:p>
        </w:tc>
      </w:tr>
      <w:tr>
        <w:trPr/>
        <w:tc>
          <w:tcPr>
            <w:tcW w:w="21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boxes</w:t>
            </w:r>
          </w:p>
        </w:tc>
        <w:tc>
          <w:tcPr>
            <w:tcW w:w="20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(50, 5)</w:t>
            </w:r>
          </w:p>
        </w:tc>
        <w:tc>
          <w:tcPr>
            <w:tcW w:w="258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YOLO labels from tile .txt file</w:t>
            </w:r>
          </w:p>
        </w:tc>
        <w:tc>
          <w:tcPr>
            <w:tcW w:w="258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Detection target [cls, cx, cy, w, h]</w:t>
            </w:r>
          </w:p>
        </w:tc>
      </w:tr>
    </w:tbl>
    <w:p>
      <w:pPr>
        <w:pStyle w:val="Normal"/>
        <w:spacing w:before="60" w:after="60"/>
        <w:rPr/>
      </w:pPr>
      <w:r>
        <w:rPr/>
      </w:r>
    </w:p>
    <w:p>
      <w:pPr>
        <w:pStyle w:val="Heading1"/>
        <w:shd w:val="clear" w:fill="1F3864"/>
        <w:spacing w:before="360" w:after="200"/>
        <w:ind w:start="200" w:end="200"/>
        <w:rPr/>
      </w:pPr>
      <w:r>
        <w:rPr>
          <w:rFonts w:eastAsia="Arial" w:cs="Arial" w:ascii="Arial" w:hAnsi="Arial"/>
          <w:b/>
          <w:bCs/>
          <w:color w:val="FFFFFF"/>
          <w:sz w:val="32"/>
          <w:szCs w:val="32"/>
        </w:rPr>
        <w:t>7.  Evaluation Framework</w:t>
      </w:r>
    </w:p>
    <w:p>
      <w:pPr>
        <w:pStyle w:val="Heading2"/>
        <w:pBdr>
          <w:bottom w:val="single" w:sz="4" w:space="1" w:color="2E75B6"/>
        </w:pBdr>
        <w:spacing w:before="280" w:after="140"/>
        <w:rPr/>
      </w:pPr>
      <w:r>
        <w:rPr>
          <w:rFonts w:eastAsia="Arial" w:cs="Arial" w:ascii="Arial" w:hAnsi="Arial"/>
          <w:b/>
          <w:bCs/>
          <w:color w:val="1F3864"/>
          <w:sz w:val="26"/>
          <w:szCs w:val="26"/>
        </w:rPr>
        <w:t>7.1  Evaluation Strategy</w:t>
      </w:r>
    </w:p>
    <w:p>
      <w:pPr>
        <w:pStyle w:val="Normal"/>
        <w:spacing w:before="80" w:after="80"/>
        <w:jc w:val="both"/>
        <w:rPr/>
      </w:pPr>
      <w:r>
        <w:rPr>
          <w:rFonts w:eastAsia="Arial" w:cs="Arial"/>
          <w:sz w:val="22"/>
          <w:szCs w:val="22"/>
        </w:rPr>
        <w:t>Post-training evaluation uses the Ultralytics validation pipeline (model.val()) applied to the validation tile directories produced by Cell 5. Four RT-DETR-L models are instantiated and loaded with the respective best.pt checkpoint from each experiment.</w:t>
      </w:r>
    </w:p>
    <w:p>
      <w:pPr>
        <w:pStyle w:val="Normal"/>
        <w:spacing w:before="60" w:after="60"/>
        <w:rPr/>
      </w:pPr>
      <w:r>
        <w:rPr/>
      </w:r>
    </w:p>
    <w:p>
      <w:pPr>
        <w:pStyle w:val="Normal"/>
        <w:spacing w:before="80" w:after="80"/>
        <w:jc w:val="both"/>
        <w:rPr/>
      </w:pPr>
      <w:r>
        <w:rPr>
          <w:rFonts w:eastAsia="Arial" w:cs="Arial"/>
          <w:sz w:val="22"/>
          <w:szCs w:val="22"/>
        </w:rPr>
        <w:t>The evaluation reports the following metrics per experiment:</w:t>
      </w:r>
    </w:p>
    <w:p>
      <w:pPr>
        <w:pStyle w:val="Normal"/>
        <w:spacing w:before="60" w:after="60"/>
        <w:rPr/>
      </w:pPr>
      <w:r>
        <w:rPr/>
      </w:r>
    </w:p>
    <w:p>
      <w:pPr>
        <w:pStyle w:val="ListParagraph"/>
        <w:numPr>
          <w:ilvl w:val="0"/>
          <w:numId w:val="1"/>
        </w:numPr>
        <w:spacing w:before="60" w:after="60"/>
        <w:rPr/>
      </w:pPr>
      <w:r>
        <w:rPr>
          <w:rFonts w:eastAsia="Arial" w:cs="Arial"/>
          <w:sz w:val="22"/>
          <w:szCs w:val="22"/>
        </w:rPr>
        <w:t>mAP@50: mean Average Precision at IoU threshold 0.50 — primary detection quality metric.</w:t>
      </w:r>
    </w:p>
    <w:p>
      <w:pPr>
        <w:pStyle w:val="ListParagraph"/>
        <w:numPr>
          <w:ilvl w:val="0"/>
          <w:numId w:val="1"/>
        </w:numPr>
        <w:spacing w:before="60" w:after="60"/>
        <w:rPr/>
      </w:pPr>
      <w:r>
        <w:rPr>
          <w:rFonts w:eastAsia="Arial" w:cs="Arial"/>
          <w:sz w:val="22"/>
          <w:szCs w:val="22"/>
        </w:rPr>
        <w:t>mAP@50-95: COCO-style mean AP averaged across IoU thresholds from 0.50 to 0.95 in 0.05 steps.</w:t>
      </w:r>
    </w:p>
    <w:p>
      <w:pPr>
        <w:pStyle w:val="ListParagraph"/>
        <w:numPr>
          <w:ilvl w:val="0"/>
          <w:numId w:val="1"/>
        </w:numPr>
        <w:spacing w:before="60" w:after="60"/>
        <w:rPr/>
      </w:pPr>
      <w:r>
        <w:rPr>
          <w:rFonts w:eastAsia="Arial" w:cs="Arial"/>
          <w:sz w:val="22"/>
          <w:szCs w:val="22"/>
        </w:rPr>
        <w:t>Precision (P): fraction of predicted boxes that are true positives.</w:t>
      </w:r>
    </w:p>
    <w:p>
      <w:pPr>
        <w:pStyle w:val="ListParagraph"/>
        <w:numPr>
          <w:ilvl w:val="0"/>
          <w:numId w:val="1"/>
        </w:numPr>
        <w:spacing w:before="60" w:after="60"/>
        <w:rPr/>
      </w:pPr>
      <w:r>
        <w:rPr>
          <w:rFonts w:eastAsia="Arial" w:cs="Arial"/>
          <w:sz w:val="22"/>
          <w:szCs w:val="22"/>
        </w:rPr>
        <w:t>Recall (R): fraction of ground-truth objects detected.</w:t>
      </w:r>
    </w:p>
    <w:p>
      <w:pPr>
        <w:pStyle w:val="Normal"/>
        <w:spacing w:before="60" w:after="60"/>
        <w:rPr/>
      </w:pPr>
      <w:r>
        <w:rPr/>
      </w:r>
    </w:p>
    <w:p>
      <w:pPr>
        <w:pStyle w:val="Heading2"/>
        <w:pBdr>
          <w:bottom w:val="single" w:sz="4" w:space="1" w:color="2E75B6"/>
        </w:pBdr>
        <w:spacing w:before="280" w:after="140"/>
        <w:rPr/>
      </w:pPr>
      <w:r>
        <w:rPr>
          <w:rFonts w:eastAsia="Arial" w:cs="Arial" w:ascii="Arial" w:hAnsi="Arial"/>
          <w:b/>
          <w:bCs/>
          <w:color w:val="1F3864"/>
          <w:sz w:val="26"/>
          <w:szCs w:val="26"/>
        </w:rPr>
        <w:t>7.2  Weight Loading Strategy</w:t>
      </w:r>
    </w:p>
    <w:p>
      <w:pPr>
        <w:pStyle w:val="Normal"/>
        <w:spacing w:before="80" w:after="80"/>
        <w:jc w:val="both"/>
        <w:rPr/>
      </w:pPr>
      <w:r>
        <w:rPr>
          <w:rFonts w:eastAsia="Arial" w:cs="Arial"/>
          <w:sz w:val="22"/>
          <w:szCs w:val="22"/>
        </w:rPr>
        <w:t>The checkpoint loading logic in Cell 11 handles the mismatch between the custom detection head (used during joint training) and the full RT-DETR-L model (used for evaluation). If the 'rtdetr' key is present in the checkpoint, the RT-DETR state dict is loaded with strict=False to allow partial weight transfer.</w:t>
      </w:r>
    </w:p>
    <w:p>
      <w:pPr>
        <w:pStyle w:val="Normal"/>
        <w:spacing w:before="60" w:after="60"/>
        <w:rPr/>
      </w:pPr>
      <w:r>
        <w:rPr/>
      </w:r>
    </w:p>
    <w:p>
      <w:pPr>
        <w:pStyle w:val="Normal"/>
        <w:pBdr>
          <w:left w:val="single" w:sz="12" w:space="4" w:color="2E75B6"/>
        </w:pBdr>
        <w:shd w:val="clear" w:fill="FFF3CD"/>
        <w:spacing w:before="120" w:after="120"/>
        <w:ind w:start="360" w:end="360"/>
        <w:rPr/>
      </w:pPr>
      <w:r>
        <w:rPr>
          <w:rFonts w:eastAsia="Arial" w:cs="Arial"/>
          <w:b/>
          <w:bCs/>
          <w:color w:val="7D4E00"/>
          <w:sz w:val="22"/>
          <w:szCs w:val="22"/>
        </w:rPr>
        <w:t>Note: In the current implementation, the joint training produces a custom DetectionHead (not a full RT-DETR backbone). The evaluation Cell 11 attempts to load weights into RT-DETR-L with strict=False — successful weight transfer will depend on architectural alignment between the saved state dict and the RT-DETR-L layer naming conventions.</w:t>
      </w:r>
    </w:p>
    <w:p>
      <w:pPr>
        <w:pStyle w:val="Normal"/>
        <w:spacing w:before="60" w:after="60"/>
        <w:rPr/>
      </w:pPr>
      <w:r>
        <w:rPr/>
      </w:r>
    </w:p>
    <w:p>
      <w:pPr>
        <w:pStyle w:val="Heading2"/>
        <w:pBdr>
          <w:bottom w:val="single" w:sz="4" w:space="1" w:color="2E75B6"/>
        </w:pBdr>
        <w:spacing w:before="280" w:after="140"/>
        <w:rPr/>
      </w:pPr>
      <w:r>
        <w:rPr>
          <w:rFonts w:eastAsia="Arial" w:cs="Arial" w:ascii="Arial" w:hAnsi="Arial"/>
          <w:b/>
          <w:bCs/>
          <w:color w:val="1F3864"/>
          <w:sz w:val="26"/>
          <w:szCs w:val="26"/>
        </w:rPr>
        <w:t>7.3  Training Progress Metrics</w:t>
      </w:r>
    </w:p>
    <w:p>
      <w:pPr>
        <w:pStyle w:val="Normal"/>
        <w:spacing w:before="80" w:after="80"/>
        <w:jc w:val="both"/>
        <w:rPr/>
      </w:pPr>
      <w:r>
        <w:rPr>
          <w:rFonts w:eastAsia="Arial" w:cs="Arial"/>
          <w:sz w:val="22"/>
          <w:szCs w:val="22"/>
        </w:rPr>
        <w:t>In addition to formal mAP evaluation, Cell 18 provides a text-based training progress table showing per-experiment convergence characteristics:</w:t>
      </w:r>
    </w:p>
    <w:p>
      <w:pPr>
        <w:pStyle w:val="Normal"/>
        <w:spacing w:before="60" w:after="60"/>
        <w:rPr/>
      </w:pPr>
      <w:r>
        <w:rPr/>
      </w:r>
    </w:p>
    <w:tbl>
      <w:tblPr>
        <w:tblW w:w="9360" w:type="dxa"/>
        <w:jc w:val="start"/>
        <w:tblInd w:w="0" w:type="dxa"/>
        <w:tblLayout w:type="fixed"/>
        <w:tblCellMar>
          <w:top w:w="100" w:type="dxa"/>
          <w:start w:w="140" w:type="dxa"/>
          <w:bottom w:w="100" w:type="dxa"/>
          <w:end w:w="140" w:type="dxa"/>
        </w:tblCellMar>
      </w:tblPr>
      <w:tblGrid>
        <w:gridCol w:w="2100"/>
        <w:gridCol w:w="1200"/>
        <w:gridCol w:w="1499"/>
        <w:gridCol w:w="1501"/>
        <w:gridCol w:w="1499"/>
        <w:gridCol w:w="1561"/>
      </w:tblGrid>
      <w:tr>
        <w:trPr>
          <w:tblHeader w:val="true"/>
        </w:trPr>
        <w:tc>
          <w:tcPr>
            <w:tcW w:w="210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Metric</w:t>
            </w:r>
          </w:p>
        </w:tc>
        <w:tc>
          <w:tcPr>
            <w:tcW w:w="120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Epochs</w:t>
            </w:r>
          </w:p>
        </w:tc>
        <w:tc>
          <w:tcPr>
            <w:tcW w:w="1499"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Init Loss</w:t>
            </w:r>
          </w:p>
        </w:tc>
        <w:tc>
          <w:tcPr>
            <w:tcW w:w="1501"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Final Loss</w:t>
            </w:r>
          </w:p>
        </w:tc>
        <w:tc>
          <w:tcPr>
            <w:tcW w:w="1499"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Best Loss</w:t>
            </w:r>
          </w:p>
        </w:tc>
        <w:tc>
          <w:tcPr>
            <w:tcW w:w="1561"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Drop %</w:t>
            </w:r>
          </w:p>
        </w:tc>
      </w:tr>
      <w:tr>
        <w:trPr/>
        <w:tc>
          <w:tcPr>
            <w:tcW w:w="21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VisDrone 2×</w:t>
            </w:r>
          </w:p>
        </w:tc>
        <w:tc>
          <w:tcPr>
            <w:tcW w:w="12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10</w:t>
            </w:r>
          </w:p>
        </w:tc>
        <w:tc>
          <w:tcPr>
            <w:tcW w:w="14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 xml:space="preserve">— </w:t>
            </w:r>
            <w:r>
              <w:rPr>
                <w:rFonts w:eastAsia="Arial" w:cs="Arial"/>
                <w:b w:val="false"/>
                <w:bCs w:val="false"/>
                <w:color w:val="000000"/>
                <w:sz w:val="20"/>
                <w:szCs w:val="20"/>
              </w:rPr>
              <w:t>(logged)</w:t>
            </w:r>
          </w:p>
        </w:tc>
        <w:tc>
          <w:tcPr>
            <w:tcW w:w="15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 xml:space="preserve">— </w:t>
            </w:r>
            <w:r>
              <w:rPr>
                <w:rFonts w:eastAsia="Arial" w:cs="Arial"/>
                <w:b w:val="false"/>
                <w:bCs w:val="false"/>
                <w:color w:val="000000"/>
                <w:sz w:val="20"/>
                <w:szCs w:val="20"/>
              </w:rPr>
              <w:t>(logged)</w:t>
            </w:r>
          </w:p>
        </w:tc>
        <w:tc>
          <w:tcPr>
            <w:tcW w:w="14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checkpoint</w:t>
            </w:r>
          </w:p>
        </w:tc>
        <w:tc>
          <w:tcPr>
            <w:tcW w:w="156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 xml:space="preserve">— </w:t>
            </w:r>
            <w:r>
              <w:rPr>
                <w:rFonts w:eastAsia="Arial" w:cs="Arial"/>
                <w:b w:val="false"/>
                <w:bCs w:val="false"/>
                <w:color w:val="000000"/>
                <w:sz w:val="20"/>
                <w:szCs w:val="20"/>
              </w:rPr>
              <w:t>%</w:t>
            </w:r>
          </w:p>
        </w:tc>
      </w:tr>
      <w:tr>
        <w:trPr/>
        <w:tc>
          <w:tcPr>
            <w:tcW w:w="21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bCs/>
                <w:color w:val="1F3864"/>
                <w:sz w:val="20"/>
                <w:szCs w:val="20"/>
              </w:rPr>
              <w:t>VisDrone 4×</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3</w:t>
            </w:r>
          </w:p>
        </w:tc>
        <w:tc>
          <w:tcPr>
            <w:tcW w:w="14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 xml:space="preserve">— </w:t>
            </w:r>
            <w:r>
              <w:rPr>
                <w:rFonts w:eastAsia="Arial" w:cs="Arial"/>
                <w:b w:val="false"/>
                <w:bCs w:val="false"/>
                <w:color w:val="000000"/>
                <w:sz w:val="20"/>
                <w:szCs w:val="20"/>
              </w:rPr>
              <w:t>(logged)</w:t>
            </w:r>
          </w:p>
        </w:tc>
        <w:tc>
          <w:tcPr>
            <w:tcW w:w="15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 xml:space="preserve">— </w:t>
            </w:r>
            <w:r>
              <w:rPr>
                <w:rFonts w:eastAsia="Arial" w:cs="Arial"/>
                <w:b w:val="false"/>
                <w:bCs w:val="false"/>
                <w:color w:val="000000"/>
                <w:sz w:val="20"/>
                <w:szCs w:val="20"/>
              </w:rPr>
              <w:t>(logged)</w:t>
            </w:r>
          </w:p>
        </w:tc>
        <w:tc>
          <w:tcPr>
            <w:tcW w:w="14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checkpoint</w:t>
            </w:r>
          </w:p>
        </w:tc>
        <w:tc>
          <w:tcPr>
            <w:tcW w:w="15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 xml:space="preserve">— </w:t>
            </w:r>
            <w:r>
              <w:rPr>
                <w:rFonts w:eastAsia="Arial" w:cs="Arial"/>
                <w:b w:val="false"/>
                <w:bCs w:val="false"/>
                <w:color w:val="000000"/>
                <w:sz w:val="20"/>
                <w:szCs w:val="20"/>
              </w:rPr>
              <w:t>%</w:t>
            </w:r>
          </w:p>
        </w:tc>
      </w:tr>
      <w:tr>
        <w:trPr/>
        <w:tc>
          <w:tcPr>
            <w:tcW w:w="21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AI-TOD 2×</w:t>
            </w:r>
          </w:p>
        </w:tc>
        <w:tc>
          <w:tcPr>
            <w:tcW w:w="12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10</w:t>
            </w:r>
          </w:p>
        </w:tc>
        <w:tc>
          <w:tcPr>
            <w:tcW w:w="14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 xml:space="preserve">— </w:t>
            </w:r>
            <w:r>
              <w:rPr>
                <w:rFonts w:eastAsia="Arial" w:cs="Arial"/>
                <w:b w:val="false"/>
                <w:bCs w:val="false"/>
                <w:color w:val="000000"/>
                <w:sz w:val="20"/>
                <w:szCs w:val="20"/>
              </w:rPr>
              <w:t>(logged)</w:t>
            </w:r>
          </w:p>
        </w:tc>
        <w:tc>
          <w:tcPr>
            <w:tcW w:w="15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 xml:space="preserve">— </w:t>
            </w:r>
            <w:r>
              <w:rPr>
                <w:rFonts w:eastAsia="Arial" w:cs="Arial"/>
                <w:b w:val="false"/>
                <w:bCs w:val="false"/>
                <w:color w:val="000000"/>
                <w:sz w:val="20"/>
                <w:szCs w:val="20"/>
              </w:rPr>
              <w:t>(logged)</w:t>
            </w:r>
          </w:p>
        </w:tc>
        <w:tc>
          <w:tcPr>
            <w:tcW w:w="14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checkpoint</w:t>
            </w:r>
          </w:p>
        </w:tc>
        <w:tc>
          <w:tcPr>
            <w:tcW w:w="156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 xml:space="preserve">— </w:t>
            </w:r>
            <w:r>
              <w:rPr>
                <w:rFonts w:eastAsia="Arial" w:cs="Arial"/>
                <w:b w:val="false"/>
                <w:bCs w:val="false"/>
                <w:color w:val="000000"/>
                <w:sz w:val="20"/>
                <w:szCs w:val="20"/>
              </w:rPr>
              <w:t>%</w:t>
            </w:r>
          </w:p>
        </w:tc>
      </w:tr>
      <w:tr>
        <w:trPr/>
        <w:tc>
          <w:tcPr>
            <w:tcW w:w="21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bCs/>
                <w:color w:val="1F3864"/>
                <w:sz w:val="20"/>
                <w:szCs w:val="20"/>
              </w:rPr>
              <w:t>AI-TOD 4×</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3</w:t>
            </w:r>
          </w:p>
        </w:tc>
        <w:tc>
          <w:tcPr>
            <w:tcW w:w="14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 xml:space="preserve">— </w:t>
            </w:r>
            <w:r>
              <w:rPr>
                <w:rFonts w:eastAsia="Arial" w:cs="Arial"/>
                <w:b w:val="false"/>
                <w:bCs w:val="false"/>
                <w:color w:val="000000"/>
                <w:sz w:val="20"/>
                <w:szCs w:val="20"/>
              </w:rPr>
              <w:t>(logged)</w:t>
            </w:r>
          </w:p>
        </w:tc>
        <w:tc>
          <w:tcPr>
            <w:tcW w:w="15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 xml:space="preserve">— </w:t>
            </w:r>
            <w:r>
              <w:rPr>
                <w:rFonts w:eastAsia="Arial" w:cs="Arial"/>
                <w:b w:val="false"/>
                <w:bCs w:val="false"/>
                <w:color w:val="000000"/>
                <w:sz w:val="20"/>
                <w:szCs w:val="20"/>
              </w:rPr>
              <w:t>(logged)</w:t>
            </w:r>
          </w:p>
        </w:tc>
        <w:tc>
          <w:tcPr>
            <w:tcW w:w="14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checkpoint</w:t>
            </w:r>
          </w:p>
        </w:tc>
        <w:tc>
          <w:tcPr>
            <w:tcW w:w="15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 xml:space="preserve">— </w:t>
            </w:r>
            <w:r>
              <w:rPr>
                <w:rFonts w:eastAsia="Arial" w:cs="Arial"/>
                <w:b w:val="false"/>
                <w:bCs w:val="false"/>
                <w:color w:val="000000"/>
                <w:sz w:val="20"/>
                <w:szCs w:val="20"/>
              </w:rPr>
              <w:t>%</w:t>
            </w:r>
          </w:p>
        </w:tc>
      </w:tr>
    </w:tbl>
    <w:p>
      <w:pPr>
        <w:pStyle w:val="Normal"/>
        <w:spacing w:before="60" w:after="60"/>
        <w:rPr/>
      </w:pPr>
      <w:r>
        <w:rPr/>
      </w:r>
    </w:p>
    <w:p>
      <w:pPr>
        <w:pStyle w:val="Normal"/>
        <w:spacing w:before="80" w:after="80"/>
        <w:jc w:val="both"/>
        <w:rPr/>
      </w:pPr>
      <w:r>
        <w:rPr>
          <w:rFonts w:eastAsia="Arial" w:cs="Arial"/>
          <w:sz w:val="22"/>
          <w:szCs w:val="22"/>
        </w:rPr>
        <w:t>(Actual loss values are logged to ALL_TRAINERS.history during runtime and printed by Cell 18. The table above shows the structure; values populate after execution.)</w:t>
      </w:r>
    </w:p>
    <w:p>
      <w:pPr>
        <w:pStyle w:val="Heading1"/>
        <w:shd w:val="clear" w:fill="1F3864"/>
        <w:spacing w:before="360" w:after="200"/>
        <w:ind w:start="200" w:end="200"/>
        <w:rPr/>
      </w:pPr>
      <w:r>
        <w:rPr>
          <w:rFonts w:eastAsia="Arial" w:cs="Arial" w:ascii="Arial" w:hAnsi="Arial"/>
          <w:b/>
          <w:bCs/>
          <w:color w:val="FFFFFF"/>
          <w:sz w:val="32"/>
          <w:szCs w:val="32"/>
        </w:rPr>
        <w:t>8.  Visualizations</w:t>
      </w:r>
    </w:p>
    <w:p>
      <w:pPr>
        <w:pStyle w:val="Heading2"/>
        <w:pBdr>
          <w:bottom w:val="single" w:sz="4" w:space="1" w:color="2E75B6"/>
        </w:pBdr>
        <w:spacing w:before="280" w:after="140"/>
        <w:rPr/>
      </w:pPr>
      <w:r>
        <w:rPr>
          <w:rFonts w:eastAsia="Arial" w:cs="Arial" w:ascii="Arial" w:hAnsi="Arial"/>
          <w:b/>
          <w:bCs/>
          <w:color w:val="1F3864"/>
          <w:sz w:val="26"/>
          <w:szCs w:val="26"/>
        </w:rPr>
        <w:t>8.1  Loss Curve Dashboard (Cell 15)</w:t>
      </w:r>
    </w:p>
    <w:p>
      <w:pPr>
        <w:pStyle w:val="Normal"/>
        <w:spacing w:before="80" w:after="80"/>
        <w:jc w:val="both"/>
        <w:rPr/>
      </w:pPr>
      <w:r>
        <w:rPr>
          <w:rFonts w:eastAsia="Arial" w:cs="Arial"/>
          <w:sz w:val="22"/>
          <w:szCs w:val="22"/>
        </w:rPr>
        <w:t>A 2×2 subplot figure is generated showing per-epoch evolution of all four loss components across all four experiments. Design features include:</w:t>
      </w:r>
    </w:p>
    <w:p>
      <w:pPr>
        <w:pStyle w:val="Normal"/>
        <w:spacing w:before="60" w:after="60"/>
        <w:rPr/>
      </w:pPr>
      <w:r>
        <w:rPr/>
      </w:r>
    </w:p>
    <w:p>
      <w:pPr>
        <w:pStyle w:val="ListParagraph"/>
        <w:numPr>
          <w:ilvl w:val="0"/>
          <w:numId w:val="0"/>
        </w:numPr>
        <w:spacing w:before="60" w:after="60"/>
        <w:ind w:hanging="0" w:start="540"/>
        <w:rPr>
          <w:rFonts w:ascii="Arial" w:hAnsi="Arial" w:eastAsia="Arial" w:cs="Arial"/>
          <w:sz w:val="22"/>
          <w:szCs w:val="22"/>
        </w:rPr>
      </w:pPr>
      <w:r>
        <w:rPr/>
        <w:drawing>
          <wp:anchor distT="0" distB="0" distL="0" distR="0" simplePos="0" relativeHeight="2" behindDoc="0" locked="0" layoutInCell="0" allowOverlap="1">
            <wp:simplePos x="0" y="0"/>
            <wp:positionH relativeFrom="column">
              <wp:posOffset>-178435</wp:posOffset>
            </wp:positionH>
            <wp:positionV relativeFrom="paragraph">
              <wp:posOffset>6643370</wp:posOffset>
            </wp:positionV>
            <wp:extent cx="6805295" cy="66198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805295" cy="6619875"/>
                    </a:xfrm>
                    <a:prstGeom prst="rect">
                      <a:avLst/>
                    </a:prstGeom>
                    <a:noFill/>
                  </pic:spPr>
                </pic:pic>
              </a:graphicData>
            </a:graphic>
          </wp:anchor>
        </w:drawing>
      </w:r>
    </w:p>
    <w:p>
      <w:pPr>
        <w:pStyle w:val="Heading2"/>
        <w:pBdr>
          <w:bottom w:val="single" w:sz="4" w:space="1" w:color="2E75B6"/>
        </w:pBdr>
        <w:spacing w:before="280" w:after="140"/>
        <w:rPr>
          <w:rFonts w:ascii="Arial" w:hAnsi="Arial" w:eastAsia="Arial" w:cs="Arial"/>
          <w:b/>
          <w:bCs/>
          <w:color w:val="1F3864"/>
          <w:sz w:val="22"/>
          <w:szCs w:val="22"/>
        </w:rPr>
      </w:pPr>
      <w:r>
        <w:rPr>
          <w:rFonts w:eastAsia="Arial" w:cs="Arial" w:ascii="Arial" w:hAnsi="Arial"/>
          <w:b/>
          <w:bCs/>
          <w:color w:val="1F3864"/>
          <w:sz w:val="22"/>
          <w:szCs w:val="22"/>
        </w:rPr>
      </w:r>
    </w:p>
    <w:p>
      <w:pPr>
        <w:pStyle w:val="Heading2"/>
        <w:pBdr>
          <w:bottom w:val="single" w:sz="4" w:space="1" w:color="2E75B6"/>
        </w:pBdr>
        <w:spacing w:before="280" w:after="140"/>
        <w:rPr>
          <w:rFonts w:ascii="Arial" w:hAnsi="Arial" w:eastAsia="Arial" w:cs="Arial"/>
          <w:b/>
          <w:bCs/>
          <w:color w:val="1F3864"/>
          <w:sz w:val="22"/>
          <w:szCs w:val="22"/>
        </w:rPr>
      </w:pPr>
      <w:r>
        <w:rPr>
          <w:rFonts w:eastAsia="Arial" w:cs="Arial" w:ascii="Arial" w:hAnsi="Arial"/>
          <w:b/>
          <w:bCs/>
          <w:color w:val="1F3864"/>
          <w:sz w:val="22"/>
          <w:szCs w:val="22"/>
        </w:rPr>
      </w:r>
    </w:p>
    <w:p>
      <w:pPr>
        <w:pStyle w:val="Heading1"/>
        <w:shd w:val="clear" w:fill="1F3864"/>
        <w:spacing w:before="360" w:after="200"/>
        <w:ind w:hanging="0" w:start="0" w:end="200"/>
        <w:rPr>
          <w:rFonts w:ascii="Arial" w:hAnsi="Arial" w:eastAsia="Arial" w:cs="Arial"/>
          <w:b/>
          <w:bCs/>
          <w:color w:val="FFFFFF"/>
          <w:sz w:val="32"/>
          <w:szCs w:val="32"/>
        </w:rPr>
      </w:pPr>
      <w:r>
        <w:rPr>
          <w:rFonts w:eastAsia="Arial" w:cs="Arial" w:ascii="Arial" w:hAnsi="Arial"/>
          <w:b/>
          <w:bCs/>
          <w:color w:val="FFFFFF"/>
          <w:sz w:val="32"/>
          <w:szCs w:val="32"/>
        </w:rPr>
        <w:t>9.  Technical Observations &amp; Discussion</w:t>
      </w:r>
    </w:p>
    <w:p>
      <w:pPr>
        <w:pStyle w:val="Heading2"/>
        <w:pBdr>
          <w:bottom w:val="single" w:sz="4" w:space="1" w:color="2E75B6"/>
        </w:pBdr>
        <w:spacing w:before="280" w:after="140"/>
        <w:rPr>
          <w:rFonts w:ascii="Arial" w:hAnsi="Arial" w:eastAsia="Arial" w:cs="Arial"/>
          <w:b/>
          <w:bCs/>
          <w:color w:val="1F3864"/>
          <w:sz w:val="26"/>
          <w:szCs w:val="26"/>
        </w:rPr>
      </w:pPr>
      <w:r>
        <w:rPr>
          <w:rFonts w:eastAsia="Arial" w:cs="Arial" w:ascii="Arial" w:hAnsi="Arial"/>
          <w:b/>
          <w:bCs/>
          <w:color w:val="1F3864"/>
          <w:sz w:val="26"/>
          <w:szCs w:val="26"/>
        </w:rPr>
        <w:t>9.1  NWD vs IoU for Tiny Objects</w:t>
      </w:r>
    </w:p>
    <w:p>
      <w:pPr>
        <w:pStyle w:val="Normal"/>
        <w:spacing w:before="80" w:after="80"/>
        <w:jc w:val="both"/>
        <w:rPr/>
      </w:pPr>
      <w:r>
        <w:rPr>
          <w:rFonts w:eastAsia="Arial" w:cs="Arial"/>
          <w:sz w:val="22"/>
          <w:szCs w:val="22"/>
        </w:rPr>
        <w:t>The use of NWD loss is the most theoretically significant contribution of this pipeline. Consider two scenarios for a 4×4 pixel object:</w:t>
      </w:r>
    </w:p>
    <w:p>
      <w:pPr>
        <w:pStyle w:val="Normal"/>
        <w:spacing w:before="60" w:after="60"/>
        <w:rPr/>
      </w:pPr>
      <w:r>
        <w:rPr/>
      </w:r>
    </w:p>
    <w:p>
      <w:pPr>
        <w:pStyle w:val="ListParagraph"/>
        <w:numPr>
          <w:ilvl w:val="0"/>
          <w:numId w:val="1"/>
        </w:numPr>
        <w:spacing w:before="60" w:after="60"/>
        <w:rPr/>
      </w:pPr>
      <w:r>
        <w:rPr>
          <w:rFonts w:eastAsia="Arial" w:cs="Arial"/>
          <w:sz w:val="22"/>
          <w:szCs w:val="22"/>
        </w:rPr>
        <w:t>Scenario A: Predicted box is 4 pixels offset from ground truth. IoU ≈ 0.0 (zero overlap), providing zero gradient. NWD ≈ 0.85 (still high, providing meaningful gradient).</w:t>
      </w:r>
    </w:p>
    <w:p>
      <w:pPr>
        <w:pStyle w:val="ListParagraph"/>
        <w:numPr>
          <w:ilvl w:val="0"/>
          <w:numId w:val="1"/>
        </w:numPr>
        <w:spacing w:before="60" w:after="60"/>
        <w:rPr/>
      </w:pPr>
      <w:r>
        <w:rPr>
          <w:rFonts w:eastAsia="Arial" w:cs="Arial"/>
          <w:sz w:val="22"/>
          <w:szCs w:val="22"/>
        </w:rPr>
        <w:t>Scenario B: Predicted box is 8 pixels offset. IoU = 0.0 (still). NWD ≈ 0.60 (measurably lower, distinguishing this from Scenario A).</w:t>
      </w:r>
    </w:p>
    <w:p>
      <w:pPr>
        <w:pStyle w:val="Normal"/>
        <w:spacing w:before="60" w:after="60"/>
        <w:rPr/>
      </w:pPr>
      <w:r>
        <w:rPr/>
      </w:r>
    </w:p>
    <w:p>
      <w:pPr>
        <w:pStyle w:val="Normal"/>
        <w:spacing w:before="80" w:after="80"/>
        <w:jc w:val="both"/>
        <w:rPr/>
      </w:pPr>
      <w:r>
        <w:rPr>
          <w:rFonts w:eastAsia="Arial" w:cs="Arial"/>
          <w:sz w:val="22"/>
          <w:szCs w:val="22"/>
        </w:rPr>
        <w:t>NWD's ability to discriminate between these cases — where IoU is identically zero for both — is what makes it specifically suited for tiny object detection, where standard regression losses plateau at degenerate solutions.</w:t>
      </w:r>
    </w:p>
    <w:p>
      <w:pPr>
        <w:pStyle w:val="Heading2"/>
        <w:pBdr>
          <w:bottom w:val="single" w:sz="4" w:space="1" w:color="2E75B6"/>
        </w:pBdr>
        <w:spacing w:before="280" w:after="140"/>
        <w:rPr/>
      </w:pPr>
      <w:r>
        <w:rPr>
          <w:rFonts w:eastAsia="Arial" w:cs="Arial" w:ascii="Arial" w:hAnsi="Arial"/>
          <w:b/>
          <w:bCs/>
          <w:color w:val="1F3864"/>
          <w:sz w:val="26"/>
          <w:szCs w:val="26"/>
        </w:rPr>
        <w:t>9.2  Joint vs. Sequential Training</w:t>
      </w:r>
    </w:p>
    <w:p>
      <w:pPr>
        <w:pStyle w:val="Normal"/>
        <w:spacing w:before="80" w:after="80"/>
        <w:jc w:val="both"/>
        <w:rPr/>
      </w:pPr>
      <w:r>
        <w:rPr>
          <w:rFonts w:eastAsia="Arial" w:cs="Arial"/>
          <w:sz w:val="22"/>
          <w:szCs w:val="22"/>
        </w:rPr>
        <w:t>The key hypothesis of this framework is that joint training outperforms sequential SR followed by independent detection fine-tuning. The mechanism is:</w:t>
      </w:r>
    </w:p>
    <w:p>
      <w:pPr>
        <w:pStyle w:val="Normal"/>
        <w:spacing w:before="60" w:after="60"/>
        <w:rPr/>
      </w:pPr>
      <w:r>
        <w:rPr/>
      </w:r>
    </w:p>
    <w:p>
      <w:pPr>
        <w:pStyle w:val="ListParagraph"/>
        <w:numPr>
          <w:ilvl w:val="0"/>
          <w:numId w:val="1"/>
        </w:numPr>
        <w:spacing w:before="60" w:after="60"/>
        <w:rPr/>
      </w:pPr>
      <w:r>
        <w:rPr>
          <w:rFonts w:eastAsia="Arial" w:cs="Arial"/>
          <w:sz w:val="22"/>
          <w:szCs w:val="22"/>
        </w:rPr>
        <w:t>In sequential training: ESRGAN learns to maximize PSNR/SSIM globally, without any signal about which image regions are semantically important for detection.</w:t>
      </w:r>
    </w:p>
    <w:p>
      <w:pPr>
        <w:pStyle w:val="ListParagraph"/>
        <w:numPr>
          <w:ilvl w:val="0"/>
          <w:numId w:val="1"/>
        </w:numPr>
        <w:spacing w:before="60" w:after="60"/>
        <w:rPr/>
      </w:pPr>
      <w:r>
        <w:rPr>
          <w:rFonts w:eastAsia="Arial" w:cs="Arial"/>
          <w:sz w:val="22"/>
          <w:szCs w:val="22"/>
        </w:rPr>
        <w:t>In joint training: detection gradients backpropagate through the ESRGAN module, implicitly teaching it to prioritize reconstruction quality near object boundaries and centers — exactly where accurate feature representation matters most for detection.</w:t>
      </w:r>
    </w:p>
    <w:p>
      <w:pPr>
        <w:pStyle w:val="Normal"/>
        <w:spacing w:before="60" w:after="60"/>
        <w:rPr/>
      </w:pPr>
      <w:r>
        <w:rPr/>
      </w:r>
    </w:p>
    <w:p>
      <w:pPr>
        <w:pStyle w:val="Normal"/>
        <w:spacing w:before="80" w:after="80"/>
        <w:jc w:val="both"/>
        <w:rPr/>
      </w:pPr>
      <w:r>
        <w:rPr>
          <w:rFonts w:eastAsia="Arial" w:cs="Arial"/>
          <w:sz w:val="22"/>
          <w:szCs w:val="22"/>
        </w:rPr>
        <w:t>This is analogous to the benefit of multi-task learning in neural networks generally: shared representations learn features that are jointly informative across tasks.</w:t>
      </w:r>
    </w:p>
    <w:p>
      <w:pPr>
        <w:pStyle w:val="Heading2"/>
        <w:pBdr>
          <w:bottom w:val="single" w:sz="4" w:space="1" w:color="2E75B6"/>
        </w:pBdr>
        <w:spacing w:before="280" w:after="140"/>
        <w:rPr/>
      </w:pPr>
      <w:r>
        <w:rPr>
          <w:rFonts w:eastAsia="Arial" w:cs="Arial" w:ascii="Arial" w:hAnsi="Arial"/>
          <w:b/>
          <w:bCs/>
          <w:color w:val="1F3864"/>
          <w:sz w:val="26"/>
          <w:szCs w:val="26"/>
        </w:rPr>
        <w:t>9.3  Scale Selection: 2× vs. 4×</w:t>
      </w:r>
    </w:p>
    <w:p>
      <w:pPr>
        <w:pStyle w:val="Normal"/>
        <w:spacing w:before="80" w:after="80"/>
        <w:jc w:val="both"/>
        <w:rPr/>
      </w:pPr>
      <w:r>
        <w:rPr>
          <w:rFonts w:eastAsia="Arial" w:cs="Arial"/>
          <w:sz w:val="22"/>
          <w:szCs w:val="22"/>
        </w:rPr>
        <w:t>The choice of 2× vs 4× SR scale involves a fundamental trade-off:</w:t>
      </w:r>
    </w:p>
    <w:p>
      <w:pPr>
        <w:pStyle w:val="Normal"/>
        <w:spacing w:before="60" w:after="60"/>
        <w:rPr/>
      </w:pPr>
      <w:r>
        <w:rPr/>
      </w:r>
    </w:p>
    <w:tbl>
      <w:tblPr>
        <w:tblW w:w="9360" w:type="dxa"/>
        <w:jc w:val="start"/>
        <w:tblInd w:w="0" w:type="dxa"/>
        <w:tblLayout w:type="fixed"/>
        <w:tblCellMar>
          <w:top w:w="100" w:type="dxa"/>
          <w:start w:w="140" w:type="dxa"/>
          <w:bottom w:w="100" w:type="dxa"/>
          <w:end w:w="140" w:type="dxa"/>
        </w:tblCellMar>
      </w:tblPr>
      <w:tblGrid>
        <w:gridCol w:w="2600"/>
        <w:gridCol w:w="3380"/>
        <w:gridCol w:w="3380"/>
      </w:tblGrid>
      <w:tr>
        <w:trPr>
          <w:tblHeader w:val="true"/>
        </w:trPr>
        <w:tc>
          <w:tcPr>
            <w:tcW w:w="260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Dimension</w:t>
            </w:r>
          </w:p>
        </w:tc>
        <w:tc>
          <w:tcPr>
            <w:tcW w:w="338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2× SR</w:t>
            </w:r>
          </w:p>
        </w:tc>
        <w:tc>
          <w:tcPr>
            <w:tcW w:w="338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4× SR</w:t>
            </w:r>
          </w:p>
        </w:tc>
      </w:tr>
      <w:tr>
        <w:trPr/>
        <w:tc>
          <w:tcPr>
            <w:tcW w:w="26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LR input size</w:t>
            </w:r>
          </w:p>
        </w:tc>
        <w:tc>
          <w:tcPr>
            <w:tcW w:w="338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320×320</w:t>
            </w:r>
          </w:p>
        </w:tc>
        <w:tc>
          <w:tcPr>
            <w:tcW w:w="338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160×160</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bCs/>
                <w:color w:val="1F3864"/>
                <w:sz w:val="20"/>
                <w:szCs w:val="20"/>
              </w:rPr>
              <w:t>Reconstruction challenge</w:t>
            </w:r>
          </w:p>
        </w:tc>
        <w:tc>
          <w:tcPr>
            <w:tcW w:w="33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Moderate (well-established domain)</w:t>
            </w:r>
          </w:p>
        </w:tc>
        <w:tc>
          <w:tcPr>
            <w:tcW w:w="33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High (significant detail hallucination)</w:t>
            </w:r>
          </w:p>
        </w:tc>
      </w:tr>
      <w:tr>
        <w:trPr/>
        <w:tc>
          <w:tcPr>
            <w:tcW w:w="26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Detection benefit</w:t>
            </w:r>
          </w:p>
        </w:tc>
        <w:tc>
          <w:tcPr>
            <w:tcW w:w="338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Good — clear improvement over raw LR</w:t>
            </w:r>
          </w:p>
        </w:tc>
        <w:tc>
          <w:tcPr>
            <w:tcW w:w="338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Higher potential but risk of SR artifacts</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bCs/>
                <w:color w:val="1F3864"/>
                <w:sz w:val="20"/>
                <w:szCs w:val="20"/>
              </w:rPr>
              <w:t>Training stability</w:t>
            </w:r>
          </w:p>
        </w:tc>
        <w:tc>
          <w:tcPr>
            <w:tcW w:w="33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More stable (10 epochs)</w:t>
            </w:r>
          </w:p>
        </w:tc>
        <w:tc>
          <w:tcPr>
            <w:tcW w:w="33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Faster convergence claimed (3 epochs)</w:t>
            </w:r>
          </w:p>
        </w:tc>
      </w:tr>
      <w:tr>
        <w:trPr/>
        <w:tc>
          <w:tcPr>
            <w:tcW w:w="26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GPU memory</w:t>
            </w:r>
          </w:p>
        </w:tc>
        <w:tc>
          <w:tcPr>
            <w:tcW w:w="338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Lower ESRGAN memory demand</w:t>
            </w:r>
          </w:p>
        </w:tc>
        <w:tc>
          <w:tcPr>
            <w:tcW w:w="338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Higher upscaling path is more compute-intensive</w:t>
            </w:r>
          </w:p>
        </w:tc>
      </w:tr>
    </w:tbl>
    <w:p>
      <w:pPr>
        <w:pStyle w:val="Normal"/>
        <w:spacing w:before="60" w:after="60"/>
        <w:rPr/>
      </w:pPr>
      <w:r>
        <w:rPr/>
      </w:r>
    </w:p>
    <w:p>
      <w:pPr>
        <w:pStyle w:val="Heading2"/>
        <w:pBdr>
          <w:bottom w:val="single" w:sz="4" w:space="1" w:color="2E75B6"/>
        </w:pBdr>
        <w:spacing w:before="280" w:after="140"/>
        <w:rPr/>
      </w:pPr>
      <w:r>
        <w:rPr>
          <w:rFonts w:eastAsia="Arial" w:cs="Arial" w:ascii="Arial" w:hAnsi="Arial"/>
          <w:b/>
          <w:bCs/>
          <w:color w:val="1F3864"/>
          <w:sz w:val="26"/>
          <w:szCs w:val="26"/>
        </w:rPr>
        <w:t>9.4  Potential Issues and Mitigations</w:t>
      </w:r>
    </w:p>
    <w:p>
      <w:pPr>
        <w:pStyle w:val="Heading3"/>
        <w:spacing w:before="200" w:after="100"/>
        <w:rPr/>
      </w:pPr>
      <w:r>
        <w:rPr>
          <w:rFonts w:eastAsia="Arial" w:cs="Arial" w:ascii="Arial" w:hAnsi="Arial"/>
          <w:b/>
          <w:bCs/>
          <w:color w:val="2E75B6"/>
          <w:sz w:val="22"/>
          <w:szCs w:val="22"/>
        </w:rPr>
        <w:t>Detection Head Mismatch</w:t>
      </w:r>
    </w:p>
    <w:p>
      <w:pPr>
        <w:pStyle w:val="Normal"/>
        <w:spacing w:before="80" w:after="80"/>
        <w:jc w:val="both"/>
        <w:rPr/>
      </w:pPr>
      <w:r>
        <w:rPr>
          <w:rFonts w:eastAsia="Arial" w:cs="Arial"/>
          <w:sz w:val="22"/>
          <w:szCs w:val="22"/>
        </w:rPr>
        <w:t>The most significant architectural concern is the gap between the custom lightweight DetectionHead used in joint training (Cells 11–13) and the full RT-DETR-L model used in evaluation (Cell 11). The custom head has a much smaller capacity and different layer structure. The strict=False weight loading in evaluation will transfer only matching layers, which in practice may be few or none if the state_dict keys differ.</w:t>
      </w:r>
    </w:p>
    <w:p>
      <w:pPr>
        <w:pStyle w:val="Normal"/>
        <w:spacing w:before="60" w:after="60"/>
        <w:rPr/>
      </w:pPr>
      <w:r>
        <w:rPr/>
      </w:r>
    </w:p>
    <w:p>
      <w:pPr>
        <w:pStyle w:val="Normal"/>
        <w:pBdr>
          <w:left w:val="single" w:sz="12" w:space="4" w:color="2E75B6"/>
        </w:pBdr>
        <w:shd w:val="clear" w:fill="FFF3CD"/>
        <w:spacing w:before="120" w:after="120"/>
        <w:ind w:start="360" w:end="360"/>
        <w:rPr/>
      </w:pPr>
      <w:r>
        <w:rPr>
          <w:rFonts w:eastAsia="Arial" w:cs="Arial"/>
          <w:b/>
          <w:bCs/>
          <w:color w:val="7D4E00"/>
          <w:sz w:val="22"/>
          <w:szCs w:val="22"/>
        </w:rPr>
        <w:t>Recommendation: For proper RT-DETR integration, the joint training should either (a) use the full RT-DETR model throughout, accepting higher memory cost, or (b) use the custom head for training proxy loss but evaluate the ESRGAN module independently by feeding its output to a separately fine-tuned RT-DETR-L.</w:t>
      </w:r>
    </w:p>
    <w:p>
      <w:pPr>
        <w:pStyle w:val="Normal"/>
        <w:spacing w:before="60" w:after="60"/>
        <w:rPr/>
      </w:pPr>
      <w:r>
        <w:rPr/>
      </w:r>
    </w:p>
    <w:p>
      <w:pPr>
        <w:pStyle w:val="Heading3"/>
        <w:spacing w:before="200" w:after="100"/>
        <w:rPr/>
      </w:pPr>
      <w:r>
        <w:rPr>
          <w:rFonts w:eastAsia="Arial" w:cs="Arial" w:ascii="Arial" w:hAnsi="Arial"/>
          <w:b/>
          <w:bCs/>
          <w:color w:val="2E75B6"/>
          <w:sz w:val="22"/>
          <w:szCs w:val="22"/>
        </w:rPr>
        <w:t>FP16 Stability with NWD Loss</w:t>
      </w:r>
    </w:p>
    <w:p>
      <w:pPr>
        <w:pStyle w:val="Normal"/>
        <w:spacing w:before="80" w:after="80"/>
        <w:jc w:val="both"/>
        <w:rPr/>
      </w:pPr>
      <w:r>
        <w:rPr>
          <w:rFonts w:eastAsia="Arial" w:cs="Arial"/>
          <w:sz w:val="22"/>
          <w:szCs w:val="22"/>
        </w:rPr>
        <w:t>The NWD loss involves small exponentials and square roots which can underflow or produce NaN values in FP16. The 1e-7 epsilon in the Wasserstein distance computation provides a safety floor, but for 4× scale training (where objects in LR input are extremely tiny), these values could still become unstable. The GradScaler in the AMP configuration mitigates this by dynamically scaling the loss.</w:t>
      </w:r>
    </w:p>
    <w:p>
      <w:pPr>
        <w:pStyle w:val="Heading3"/>
        <w:spacing w:before="200" w:after="100"/>
        <w:rPr/>
      </w:pPr>
      <w:r>
        <w:rPr>
          <w:rFonts w:eastAsia="Arial" w:cs="Arial" w:ascii="Arial" w:hAnsi="Arial"/>
          <w:b/>
          <w:bCs/>
          <w:color w:val="2E75B6"/>
          <w:sz w:val="22"/>
          <w:szCs w:val="22"/>
        </w:rPr>
        <w:t>Empty Tile Filtering Consistency</w:t>
      </w:r>
    </w:p>
    <w:p>
      <w:pPr>
        <w:pStyle w:val="Normal"/>
        <w:spacing w:before="80" w:after="80"/>
        <w:jc w:val="both"/>
        <w:rPr/>
      </w:pPr>
      <w:r>
        <w:rPr>
          <w:rFonts w:eastAsia="Arial" w:cs="Arial"/>
          <w:sz w:val="22"/>
          <w:szCs w:val="22"/>
        </w:rPr>
        <w:t>The JointTileDataset filters tiles at initialization based on label file existence and non-empty content. However, it does not validate that bounding box coordinates are valid (all values in [0,1], w &gt; 0, h &gt; 0). Malformed YOLO labels that pass the text-existence check but contain degenerate boxes would generate NaN in the NWD computation.</w:t>
      </w:r>
    </w:p>
    <w:p>
      <w:pPr>
        <w:pStyle w:val="Heading1"/>
        <w:shd w:val="clear" w:fill="1F3864"/>
        <w:spacing w:before="360" w:after="200"/>
        <w:ind w:start="200" w:end="200"/>
        <w:rPr/>
      </w:pPr>
      <w:r>
        <w:rPr>
          <w:rFonts w:eastAsia="Arial" w:cs="Arial" w:ascii="Arial" w:hAnsi="Arial"/>
          <w:b/>
          <w:bCs/>
          <w:color w:val="FFFFFF"/>
          <w:sz w:val="32"/>
          <w:szCs w:val="32"/>
        </w:rPr>
        <w:t>10.  Reproducibility &amp; Environment</w:t>
      </w:r>
    </w:p>
    <w:p>
      <w:pPr>
        <w:pStyle w:val="Heading2"/>
        <w:pBdr>
          <w:bottom w:val="single" w:sz="4" w:space="1" w:color="2E75B6"/>
        </w:pBdr>
        <w:spacing w:before="280" w:after="140"/>
        <w:rPr/>
      </w:pPr>
      <w:r>
        <w:rPr>
          <w:rFonts w:eastAsia="Arial" w:cs="Arial" w:ascii="Arial" w:hAnsi="Arial"/>
          <w:b/>
          <w:bCs/>
          <w:color w:val="1F3864"/>
          <w:sz w:val="26"/>
          <w:szCs w:val="26"/>
        </w:rPr>
        <w:t>10.1  Environment Dependencies</w:t>
      </w:r>
    </w:p>
    <w:tbl>
      <w:tblPr>
        <w:tblW w:w="9360" w:type="dxa"/>
        <w:jc w:val="start"/>
        <w:tblInd w:w="0" w:type="dxa"/>
        <w:tblLayout w:type="fixed"/>
        <w:tblCellMar>
          <w:top w:w="100" w:type="dxa"/>
          <w:start w:w="140" w:type="dxa"/>
          <w:bottom w:w="100" w:type="dxa"/>
          <w:end w:w="140" w:type="dxa"/>
        </w:tblCellMar>
      </w:tblPr>
      <w:tblGrid>
        <w:gridCol w:w="2799"/>
        <w:gridCol w:w="2000"/>
        <w:gridCol w:w="4561"/>
      </w:tblGrid>
      <w:tr>
        <w:trPr>
          <w:tblHeader w:val="true"/>
        </w:trPr>
        <w:tc>
          <w:tcPr>
            <w:tcW w:w="2799"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Package</w:t>
            </w:r>
          </w:p>
        </w:tc>
        <w:tc>
          <w:tcPr>
            <w:tcW w:w="200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Version / Source</w:t>
            </w:r>
          </w:p>
        </w:tc>
        <w:tc>
          <w:tcPr>
            <w:tcW w:w="4561"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Purpose</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PyTorch</w:t>
            </w:r>
          </w:p>
        </w:tc>
        <w:tc>
          <w:tcPr>
            <w:tcW w:w="20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 xml:space="preserve">≥ </w:t>
            </w:r>
            <w:r>
              <w:rPr>
                <w:rFonts w:eastAsia="Arial" w:cs="Arial"/>
                <w:b w:val="false"/>
                <w:bCs w:val="false"/>
                <w:color w:val="000000"/>
                <w:sz w:val="20"/>
                <w:szCs w:val="20"/>
              </w:rPr>
              <w:t>2.6</w:t>
            </w:r>
          </w:p>
        </w:tc>
        <w:tc>
          <w:tcPr>
            <w:tcW w:w="456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Core deep learning framework (patched for load compatibility)</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bCs/>
                <w:color w:val="1F3864"/>
                <w:sz w:val="20"/>
                <w:szCs w:val="20"/>
              </w:rPr>
              <w:t>ultralytics</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latest (upgraded)</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RT-DETR model, val() evaluation pipeline</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realesrgan</w:t>
            </w:r>
          </w:p>
        </w:tc>
        <w:tc>
          <w:tcPr>
            <w:tcW w:w="20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pip install</w:t>
            </w:r>
          </w:p>
        </w:tc>
        <w:tc>
          <w:tcPr>
            <w:tcW w:w="456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RealESRGANer upsampler class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bCs/>
                <w:color w:val="1F3864"/>
                <w:sz w:val="20"/>
                <w:szCs w:val="20"/>
              </w:rPr>
              <w:t>basicsr</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pip install (patched)</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RRDBNet architecture; torchvision import patched</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pycocotools</w:t>
            </w:r>
          </w:p>
        </w:tc>
        <w:tc>
          <w:tcPr>
            <w:tcW w:w="20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pip install</w:t>
            </w:r>
          </w:p>
        </w:tc>
        <w:tc>
          <w:tcPr>
            <w:tcW w:w="456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COCO JSON annotation parsing</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bCs/>
                <w:color w:val="1F3864"/>
                <w:sz w:val="20"/>
                <w:szCs w:val="20"/>
              </w:rPr>
              <w:t>opencv-python</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pre-installed</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Image I/O, resizing, color conversion</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bCs/>
                <w:color w:val="1F3864"/>
                <w:sz w:val="20"/>
                <w:szCs w:val="20"/>
              </w:rPr>
              <w:t>CUDA GPU</w:t>
            </w:r>
          </w:p>
        </w:tc>
        <w:tc>
          <w:tcPr>
            <w:tcW w:w="20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Recommended (P100/T4/V100)</w:t>
            </w:r>
          </w:p>
        </w:tc>
        <w:tc>
          <w:tcPr>
            <w:tcW w:w="456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AMP, ESRGAN half precision require CUDA</w:t>
            </w:r>
          </w:p>
        </w:tc>
      </w:tr>
    </w:tbl>
    <w:p>
      <w:pPr>
        <w:pStyle w:val="Normal"/>
        <w:spacing w:before="60" w:after="60"/>
        <w:rPr/>
      </w:pPr>
      <w:r>
        <w:rPr/>
      </w:r>
    </w:p>
    <w:p>
      <w:pPr>
        <w:pStyle w:val="Heading2"/>
        <w:pBdr>
          <w:bottom w:val="single" w:sz="4" w:space="1" w:color="2E75B6"/>
        </w:pBdr>
        <w:spacing w:before="280" w:after="140"/>
        <w:rPr/>
      </w:pPr>
      <w:r>
        <w:rPr>
          <w:rFonts w:eastAsia="Arial" w:cs="Arial" w:ascii="Arial" w:hAnsi="Arial"/>
          <w:b/>
          <w:bCs/>
          <w:color w:val="1F3864"/>
          <w:sz w:val="26"/>
          <w:szCs w:val="26"/>
        </w:rPr>
        <w:t>10.2  Execution Order</w:t>
      </w:r>
    </w:p>
    <w:p>
      <w:pPr>
        <w:pStyle w:val="Normal"/>
        <w:spacing w:before="80" w:after="80"/>
        <w:jc w:val="both"/>
        <w:rPr/>
      </w:pPr>
      <w:r>
        <w:rPr>
          <w:rFonts w:eastAsia="Arial" w:cs="Arial"/>
          <w:sz w:val="22"/>
          <w:szCs w:val="22"/>
        </w:rPr>
        <w:t>Cells must be run strictly in sequence (1 → 18). Key dependencies:</w:t>
      </w:r>
    </w:p>
    <w:p>
      <w:pPr>
        <w:pStyle w:val="Normal"/>
        <w:spacing w:before="60" w:after="60"/>
        <w:rPr/>
      </w:pPr>
      <w:r>
        <w:rPr/>
      </w:r>
    </w:p>
    <w:p>
      <w:pPr>
        <w:pStyle w:val="ListParagraph"/>
        <w:numPr>
          <w:ilvl w:val="0"/>
          <w:numId w:val="5"/>
        </w:numPr>
        <w:spacing w:before="60" w:after="60"/>
        <w:rPr/>
      </w:pPr>
      <w:r>
        <w:rPr>
          <w:rFonts w:eastAsia="Arial" w:cs="Arial"/>
          <w:sz w:val="22"/>
          <w:szCs w:val="22"/>
        </w:rPr>
        <w:t>Cell 1: Install packages + basicsr patch + CUDA setup</w:t>
      </w:r>
    </w:p>
    <w:p>
      <w:pPr>
        <w:pStyle w:val="ListParagraph"/>
        <w:numPr>
          <w:ilvl w:val="0"/>
          <w:numId w:val="2"/>
        </w:numPr>
        <w:spacing w:before="60" w:after="60"/>
        <w:rPr/>
      </w:pPr>
      <w:r>
        <w:rPr>
          <w:rFonts w:eastAsia="Arial" w:cs="Arial"/>
          <w:sz w:val="22"/>
          <w:szCs w:val="22"/>
        </w:rPr>
        <w:t>Cell 2: All global paths, config constants, imports (must precede all other cells)</w:t>
      </w:r>
    </w:p>
    <w:p>
      <w:pPr>
        <w:pStyle w:val="ListParagraph"/>
        <w:numPr>
          <w:ilvl w:val="0"/>
          <w:numId w:val="2"/>
        </w:numPr>
        <w:spacing w:before="60" w:after="60"/>
        <w:rPr/>
      </w:pPr>
      <w:r>
        <w:rPr>
          <w:rFonts w:eastAsia="Arial" w:cs="Arial"/>
          <w:sz w:val="22"/>
          <w:szCs w:val="22"/>
        </w:rPr>
        <w:t>Cells 3–4: Dataset verification (diagnostic, not required for training)</w:t>
      </w:r>
    </w:p>
    <w:p>
      <w:pPr>
        <w:pStyle w:val="ListParagraph"/>
        <w:numPr>
          <w:ilvl w:val="0"/>
          <w:numId w:val="2"/>
        </w:numPr>
        <w:spacing w:before="60" w:after="60"/>
        <w:rPr/>
      </w:pPr>
      <w:r>
        <w:rPr>
          <w:rFonts w:eastAsia="Arial" w:cs="Arial"/>
          <w:sz w:val="22"/>
          <w:szCs w:val="22"/>
        </w:rPr>
        <w:t>Cell 5: SAHI tiling — must complete before Cells 7–13</w:t>
      </w:r>
    </w:p>
    <w:p>
      <w:pPr>
        <w:pStyle w:val="ListParagraph"/>
        <w:numPr>
          <w:ilvl w:val="0"/>
          <w:numId w:val="2"/>
        </w:numPr>
        <w:spacing w:before="60" w:after="60"/>
        <w:rPr/>
      </w:pPr>
      <w:r>
        <w:rPr>
          <w:rFonts w:eastAsia="Arial" w:cs="Arial"/>
          <w:sz w:val="22"/>
          <w:szCs w:val="22"/>
        </w:rPr>
        <w:t>Cells 6 &amp; 9–10: ESRGAN weight download and validation</w:t>
      </w:r>
    </w:p>
    <w:p>
      <w:pPr>
        <w:pStyle w:val="ListParagraph"/>
        <w:numPr>
          <w:ilvl w:val="0"/>
          <w:numId w:val="2"/>
        </w:numPr>
        <w:spacing w:before="60" w:after="60"/>
        <w:rPr/>
      </w:pPr>
      <w:r>
        <w:rPr>
          <w:rFonts w:eastAsia="Arial" w:cs="Arial"/>
          <w:sz w:val="22"/>
          <w:szCs w:val="22"/>
        </w:rPr>
        <w:t>Cells 11–12: Define architecture + loss classes (must precede Cell 13)</w:t>
      </w:r>
    </w:p>
    <w:p>
      <w:pPr>
        <w:pStyle w:val="ListParagraph"/>
        <w:numPr>
          <w:ilvl w:val="0"/>
          <w:numId w:val="2"/>
        </w:numPr>
        <w:spacing w:before="60" w:after="60"/>
        <w:rPr/>
      </w:pPr>
      <w:r>
        <w:rPr>
          <w:rFonts w:eastAsia="Arial" w:cs="Arial"/>
          <w:sz w:val="22"/>
          <w:szCs w:val="22"/>
        </w:rPr>
        <w:t>Cell 13: Main training loop (long-running)</w:t>
      </w:r>
    </w:p>
    <w:p>
      <w:pPr>
        <w:pStyle w:val="ListParagraph"/>
        <w:numPr>
          <w:ilvl w:val="0"/>
          <w:numId w:val="2"/>
        </w:numPr>
        <w:spacing w:before="60" w:after="60"/>
        <w:rPr/>
      </w:pPr>
      <w:r>
        <w:rPr>
          <w:rFonts w:eastAsia="Arial" w:cs="Arial"/>
          <w:sz w:val="22"/>
          <w:szCs w:val="22"/>
        </w:rPr>
        <w:t>Cells 14–18: Diagnostics, evaluation, and visualization (can be re-run independently)</w:t>
      </w:r>
    </w:p>
    <w:p>
      <w:pPr>
        <w:pStyle w:val="Normal"/>
        <w:spacing w:before="60" w:after="60"/>
        <w:rPr/>
      </w:pPr>
      <w:r>
        <w:rPr/>
      </w:r>
    </w:p>
    <w:p>
      <w:pPr>
        <w:pStyle w:val="Heading1"/>
        <w:shd w:val="clear" w:fill="1F3864"/>
        <w:spacing w:before="360" w:after="200"/>
        <w:ind w:start="200" w:end="200"/>
        <w:rPr/>
      </w:pPr>
      <w:r>
        <w:rPr>
          <w:rFonts w:eastAsia="Arial" w:cs="Arial" w:ascii="Arial" w:hAnsi="Arial"/>
          <w:b/>
          <w:bCs/>
          <w:color w:val="FFFFFF"/>
          <w:sz w:val="32"/>
          <w:szCs w:val="32"/>
        </w:rPr>
        <w:t>11.  Future Work &amp; Recommendations</w:t>
      </w:r>
    </w:p>
    <w:p>
      <w:pPr>
        <w:pStyle w:val="Heading2"/>
        <w:pBdr>
          <w:bottom w:val="single" w:sz="4" w:space="1" w:color="2E75B6"/>
        </w:pBdr>
        <w:spacing w:before="280" w:after="140"/>
        <w:rPr/>
      </w:pPr>
      <w:r>
        <w:rPr>
          <w:rFonts w:eastAsia="Arial" w:cs="Arial" w:ascii="Arial" w:hAnsi="Arial"/>
          <w:b/>
          <w:bCs/>
          <w:color w:val="1F3864"/>
          <w:sz w:val="26"/>
          <w:szCs w:val="26"/>
        </w:rPr>
        <w:t>11.1  Architectural Improvements</w:t>
      </w:r>
    </w:p>
    <w:p>
      <w:pPr>
        <w:pStyle w:val="ListParagraph"/>
        <w:numPr>
          <w:ilvl w:val="0"/>
          <w:numId w:val="1"/>
        </w:numPr>
        <w:spacing w:before="60" w:after="60"/>
        <w:rPr/>
      </w:pPr>
      <w:r>
        <w:rPr>
          <w:rFonts w:eastAsia="Arial" w:cs="Arial"/>
          <w:sz w:val="22"/>
          <w:szCs w:val="22"/>
        </w:rPr>
        <w:t>Full RT-DETR backbone integration: Replace the custom DetectionHead with the actual RT-DETR-L encoder-decoder and train end-to-end. Requires multi-GPU or gradient checkpointing to manage memory with ESRGAN in the same forward pass.</w:t>
      </w:r>
    </w:p>
    <w:p>
      <w:pPr>
        <w:pStyle w:val="ListParagraph"/>
        <w:numPr>
          <w:ilvl w:val="0"/>
          <w:numId w:val="1"/>
        </w:numPr>
        <w:spacing w:before="60" w:after="60"/>
        <w:rPr/>
      </w:pPr>
      <w:r>
        <w:rPr>
          <w:rFonts w:eastAsia="Arial" w:cs="Arial"/>
          <w:sz w:val="22"/>
          <w:szCs w:val="22"/>
        </w:rPr>
        <w:t>Feature Pyramid Network (FPN) alignment: Align ESRGAN output features with RT-DETR multi-scale feature maps to allow the SR module to directly enhance the feature pyramid rather than just the pixel space.</w:t>
      </w:r>
    </w:p>
    <w:p>
      <w:pPr>
        <w:pStyle w:val="ListParagraph"/>
        <w:numPr>
          <w:ilvl w:val="0"/>
          <w:numId w:val="1"/>
        </w:numPr>
        <w:spacing w:before="60" w:after="60"/>
        <w:rPr/>
      </w:pPr>
      <w:r>
        <w:rPr>
          <w:rFonts w:eastAsia="Arial" w:cs="Arial"/>
          <w:sz w:val="22"/>
          <w:szCs w:val="22"/>
        </w:rPr>
        <w:t>Attention-guided SR: Integrate a spatial attention mechanism that weights SR reconstruction by detection saliency maps, more explicitly coupling the two modules.</w:t>
      </w:r>
    </w:p>
    <w:p>
      <w:pPr>
        <w:pStyle w:val="Normal"/>
        <w:spacing w:before="60" w:after="60"/>
        <w:rPr/>
      </w:pPr>
      <w:r>
        <w:rPr/>
      </w:r>
    </w:p>
    <w:p>
      <w:pPr>
        <w:pStyle w:val="Heading2"/>
        <w:pBdr>
          <w:bottom w:val="single" w:sz="4" w:space="1" w:color="2E75B6"/>
        </w:pBdr>
        <w:spacing w:before="280" w:after="140"/>
        <w:rPr/>
      </w:pPr>
      <w:r>
        <w:rPr>
          <w:rFonts w:eastAsia="Arial" w:cs="Arial" w:ascii="Arial" w:hAnsi="Arial"/>
          <w:b/>
          <w:bCs/>
          <w:color w:val="1F3864"/>
          <w:sz w:val="26"/>
          <w:szCs w:val="26"/>
        </w:rPr>
        <w:t>11.2  Training Improvements</w:t>
      </w:r>
    </w:p>
    <w:p>
      <w:pPr>
        <w:pStyle w:val="ListParagraph"/>
        <w:numPr>
          <w:ilvl w:val="0"/>
          <w:numId w:val="1"/>
        </w:numPr>
        <w:spacing w:before="60" w:after="60"/>
        <w:rPr/>
      </w:pPr>
      <w:r>
        <w:rPr>
          <w:rFonts w:eastAsia="Arial" w:cs="Arial"/>
          <w:sz w:val="22"/>
          <w:szCs w:val="22"/>
        </w:rPr>
        <w:t>Longer 4× training: The 3-epoch budget for 4× experiments is insufficient for convergence. Extending to 8–10 epochs with learning rate warm-up would allow proper joint optimization.</w:t>
      </w:r>
    </w:p>
    <w:p>
      <w:pPr>
        <w:pStyle w:val="ListParagraph"/>
        <w:numPr>
          <w:ilvl w:val="0"/>
          <w:numId w:val="1"/>
        </w:numPr>
        <w:spacing w:before="60" w:after="60"/>
        <w:rPr/>
      </w:pPr>
      <w:r>
        <w:rPr>
          <w:rFonts w:eastAsia="Arial" w:cs="Arial"/>
          <w:sz w:val="22"/>
          <w:szCs w:val="22"/>
        </w:rPr>
        <w:t>Learning rate scheduling: Add cosine annealing or step decay; the current constant LR likely leads to oscillation in later epochs.</w:t>
      </w:r>
    </w:p>
    <w:p>
      <w:pPr>
        <w:pStyle w:val="ListParagraph"/>
        <w:numPr>
          <w:ilvl w:val="0"/>
          <w:numId w:val="1"/>
        </w:numPr>
        <w:spacing w:before="60" w:after="60"/>
        <w:rPr/>
      </w:pPr>
      <w:r>
        <w:rPr>
          <w:rFonts w:eastAsia="Arial" w:cs="Arial"/>
          <w:sz w:val="22"/>
          <w:szCs w:val="22"/>
        </w:rPr>
        <w:t>Augmentation: Apply RandAugment, mosaic augmentation, and mixup to the LR tiles to improve detector robustness to blur, noise, and compression artifacts common in real drone sensors.</w:t>
      </w:r>
    </w:p>
    <w:p>
      <w:pPr>
        <w:pStyle w:val="Normal"/>
        <w:spacing w:before="60" w:after="60"/>
        <w:rPr/>
      </w:pPr>
      <w:r>
        <w:rPr/>
      </w:r>
    </w:p>
    <w:p>
      <w:pPr>
        <w:pStyle w:val="Heading2"/>
        <w:pBdr>
          <w:bottom w:val="single" w:sz="4" w:space="1" w:color="2E75B6"/>
        </w:pBdr>
        <w:spacing w:before="280" w:after="140"/>
        <w:rPr/>
      </w:pPr>
      <w:r>
        <w:rPr>
          <w:rFonts w:eastAsia="Arial" w:cs="Arial" w:ascii="Arial" w:hAnsi="Arial"/>
          <w:b/>
          <w:bCs/>
          <w:color w:val="1F3864"/>
          <w:sz w:val="26"/>
          <w:szCs w:val="26"/>
        </w:rPr>
        <w:t>11.3  Evaluation Improvements</w:t>
      </w:r>
    </w:p>
    <w:p>
      <w:pPr>
        <w:pStyle w:val="ListParagraph"/>
        <w:numPr>
          <w:ilvl w:val="0"/>
          <w:numId w:val="1"/>
        </w:numPr>
        <w:spacing w:before="60" w:after="60"/>
        <w:rPr/>
      </w:pPr>
      <w:r>
        <w:rPr>
          <w:rFonts w:eastAsia="Arial" w:cs="Arial"/>
          <w:sz w:val="22"/>
          <w:szCs w:val="22"/>
        </w:rPr>
        <w:t>Per-class mAP: Report per-class AP curves, especially for vehicle sub-classes (car, motorcycle, truck) which have different size distributions.</w:t>
      </w:r>
    </w:p>
    <w:p>
      <w:pPr>
        <w:pStyle w:val="ListParagraph"/>
        <w:numPr>
          <w:ilvl w:val="0"/>
          <w:numId w:val="1"/>
        </w:numPr>
        <w:spacing w:before="60" w:after="60"/>
        <w:rPr/>
      </w:pPr>
      <w:r>
        <w:rPr>
          <w:rFonts w:eastAsia="Arial" w:cs="Arial"/>
          <w:sz w:val="22"/>
          <w:szCs w:val="22"/>
        </w:rPr>
        <w:t>Ablation study: Report results for (a) no SR, (b) SR without joint training, (c) NWD loss vs. IoU loss, and (d) full joint training — to quantify each component's contribution.</w:t>
      </w:r>
    </w:p>
    <w:p>
      <w:pPr>
        <w:pStyle w:val="ListParagraph"/>
        <w:numPr>
          <w:ilvl w:val="0"/>
          <w:numId w:val="1"/>
        </w:numPr>
        <w:spacing w:before="60" w:after="60"/>
        <w:rPr/>
      </w:pPr>
      <w:r>
        <w:rPr>
          <w:rFonts w:eastAsia="Arial" w:cs="Arial"/>
          <w:sz w:val="22"/>
          <w:szCs w:val="22"/>
        </w:rPr>
        <w:t>SSIM/PSNR tracking: Add SR quality metrics (SSIM, PSNR vs HR tiles) to the training history to monitor whether detection gradients degrade SR fidelity.</w:t>
      </w:r>
    </w:p>
    <w:p>
      <w:pPr>
        <w:pStyle w:val="Normal"/>
        <w:spacing w:before="60" w:after="60"/>
        <w:rPr/>
      </w:pPr>
      <w:r>
        <w:rPr/>
      </w:r>
    </w:p>
    <w:p>
      <w:pPr>
        <w:pStyle w:val="Heading1"/>
        <w:shd w:val="clear" w:fill="1F3864"/>
        <w:spacing w:before="360" w:after="200"/>
        <w:ind w:start="200" w:end="200"/>
        <w:rPr/>
      </w:pPr>
      <w:r>
        <w:rPr>
          <w:rFonts w:eastAsia="Arial" w:cs="Arial" w:ascii="Arial" w:hAnsi="Arial"/>
          <w:b/>
          <w:bCs/>
          <w:color w:val="FFFFFF"/>
          <w:sz w:val="32"/>
          <w:szCs w:val="32"/>
        </w:rPr>
        <w:t>12.  Conclusion</w:t>
      </w:r>
    </w:p>
    <w:p>
      <w:pPr>
        <w:pStyle w:val="Normal"/>
        <w:spacing w:before="80" w:after="80"/>
        <w:jc w:val="both"/>
        <w:rPr/>
      </w:pPr>
      <w:r>
        <w:rPr>
          <w:rFonts w:eastAsia="Arial" w:cs="Arial"/>
          <w:sz w:val="22"/>
          <w:szCs w:val="22"/>
        </w:rPr>
        <w:t>This notebook implements a technically sophisticated joint training pipeline for tiny object detection that addresses the problem from three complementary angles: image quality (ESRGAN super-resolution), detection architecture (RT-DETR with transformer-based queries), and loss design (NWD for tiny-object-aware regression).</w:t>
      </w:r>
    </w:p>
    <w:p>
      <w:pPr>
        <w:pStyle w:val="Normal"/>
        <w:spacing w:before="60" w:after="60"/>
        <w:rPr/>
      </w:pPr>
      <w:r>
        <w:rPr/>
      </w:r>
    </w:p>
    <w:p>
      <w:pPr>
        <w:pStyle w:val="Normal"/>
        <w:spacing w:before="80" w:after="80"/>
        <w:jc w:val="both"/>
        <w:rPr/>
      </w:pPr>
      <w:r>
        <w:rPr>
          <w:rFonts w:eastAsia="Arial" w:cs="Arial"/>
          <w:sz w:val="22"/>
          <w:szCs w:val="22"/>
        </w:rPr>
        <w:t>The four-experiment design across two SR scales and two datasets (VisDrone Tiny for vehicle detection, AI-TOD for multi-category aerial object detection) provides a thorough empirical coverage of the design space. Key engineering decisions — SAHI tiling, empty-tile filtering, FP16 training, gradient accumulation, and memory management — demonstrate production-quality awareness beyond a simple research prototype.</w:t>
      </w:r>
    </w:p>
    <w:p>
      <w:pPr>
        <w:pStyle w:val="Normal"/>
        <w:spacing w:before="60" w:after="60"/>
        <w:rPr/>
      </w:pPr>
      <w:r>
        <w:rPr/>
      </w:r>
    </w:p>
    <w:p>
      <w:pPr>
        <w:pStyle w:val="Normal"/>
        <w:spacing w:before="80" w:after="80"/>
        <w:jc w:val="both"/>
        <w:rPr/>
      </w:pPr>
      <w:r>
        <w:rPr>
          <w:rFonts w:eastAsia="Arial" w:cs="Arial"/>
          <w:sz w:val="22"/>
          <w:szCs w:val="22"/>
        </w:rPr>
        <w:t>The primary open challenge is the architectural gap between the proxy DetectionHead used in joint training and the full RT-DETR-L model used in evaluation. Bridging this gap — either by training the full model end-to-end or by designing a careful knowledge distillation protocol — is the single most impactful avenue for improving the final mAP metrics reported by this system.</w:t>
      </w:r>
    </w:p>
    <w:p>
      <w:pPr>
        <w:pStyle w:val="Normal"/>
        <w:spacing w:before="60" w:after="60"/>
        <w:rPr/>
      </w:pPr>
      <w:r>
        <w:rPr/>
      </w:r>
    </w:p>
    <w:p>
      <w:pPr>
        <w:pStyle w:val="Normal"/>
        <w:pBdr>
          <w:left w:val="single" w:sz="12" w:space="4" w:color="2E75B6"/>
        </w:pBdr>
        <w:shd w:val="clear" w:fill="D6E4F7"/>
        <w:spacing w:before="120" w:after="120"/>
        <w:ind w:start="360" w:end="360"/>
        <w:rPr/>
      </w:pPr>
      <w:r>
        <w:rPr>
          <w:rFonts w:eastAsia="Arial" w:cs="Arial"/>
          <w:b/>
          <w:bCs/>
          <w:color w:val="1F3864"/>
          <w:sz w:val="22"/>
          <w:szCs w:val="22"/>
        </w:rPr>
        <w:t>The NWD loss + Super-Resolution + Transformer Detection trifecta represents a compelling and theoretically grounded approach to one of computer vision's hardest unsolved problems: reliably detecting sub-16-pixel objects in noisy, compressed aerial imagery at real-time inference speeds.</w:t>
      </w:r>
    </w:p>
    <w:p>
      <w:pPr>
        <w:pStyle w:val="Normal"/>
        <w:spacing w:before="60" w:after="60"/>
        <w:rPr/>
      </w:pPr>
      <w:r>
        <w:rPr/>
      </w:r>
    </w:p>
    <w:p>
      <w:pPr>
        <w:pStyle w:val="Normal"/>
        <w:spacing w:before="60" w:after="60"/>
        <w:rPr/>
      </w:pPr>
      <w:r>
        <w:rPr/>
      </w:r>
    </w:p>
    <w:p>
      <w:pPr>
        <w:pStyle w:val="Normal"/>
        <w:rPr/>
      </w:pPr>
      <w:r>
        <w:rPr/>
      </w:r>
      <w:r>
        <w:br w:type="page"/>
      </w:r>
    </w:p>
    <w:p>
      <w:pPr>
        <w:pStyle w:val="Heading1"/>
        <w:shd w:val="clear" w:fill="1F3864"/>
        <w:spacing w:before="0" w:after="200"/>
        <w:ind w:start="200" w:end="200"/>
        <w:rPr/>
      </w:pPr>
      <w:r>
        <w:rPr>
          <w:rFonts w:eastAsia="Arial" w:cs="Arial" w:ascii="Arial" w:hAnsi="Arial"/>
          <w:b/>
          <w:bCs/>
          <w:color w:val="FFFFFF"/>
          <w:sz w:val="32"/>
          <w:szCs w:val="32"/>
        </w:rPr>
        <w:t>Appendix A — Class Label Mappings</w:t>
      </w:r>
    </w:p>
    <w:p>
      <w:pPr>
        <w:pStyle w:val="Normal"/>
        <w:spacing w:before="60" w:after="60"/>
        <w:rPr/>
      </w:pPr>
      <w:r>
        <w:rPr/>
      </w:r>
    </w:p>
    <w:p>
      <w:pPr>
        <w:pStyle w:val="Heading2"/>
        <w:pBdr>
          <w:bottom w:val="single" w:sz="4" w:space="1" w:color="2E75B6"/>
        </w:pBdr>
        <w:spacing w:before="280" w:after="140"/>
        <w:rPr/>
      </w:pPr>
      <w:r>
        <w:rPr>
          <w:rFonts w:eastAsia="Arial" w:cs="Arial" w:ascii="Arial" w:hAnsi="Arial"/>
          <w:b/>
          <w:bCs/>
          <w:color w:val="1F3864"/>
          <w:sz w:val="26"/>
          <w:szCs w:val="26"/>
        </w:rPr>
        <w:t>VisDrone Classes (6 Categories)</w:t>
      </w:r>
    </w:p>
    <w:tbl>
      <w:tblPr>
        <w:tblW w:w="9360" w:type="dxa"/>
        <w:jc w:val="start"/>
        <w:tblInd w:w="0" w:type="dxa"/>
        <w:tblLayout w:type="fixed"/>
        <w:tblCellMar>
          <w:top w:w="100" w:type="dxa"/>
          <w:start w:w="140" w:type="dxa"/>
          <w:bottom w:w="100" w:type="dxa"/>
          <w:end w:w="140" w:type="dxa"/>
        </w:tblCellMar>
      </w:tblPr>
      <w:tblGrid>
        <w:gridCol w:w="2340"/>
        <w:gridCol w:w="2340"/>
        <w:gridCol w:w="4680"/>
      </w:tblGrid>
      <w:tr>
        <w:trPr>
          <w:tblHeader w:val="true"/>
        </w:trPr>
        <w:tc>
          <w:tcPr>
            <w:tcW w:w="234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Raw VisDrone ID</w:t>
            </w:r>
          </w:p>
        </w:tc>
        <w:tc>
          <w:tcPr>
            <w:tcW w:w="234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YOLO Index</w:t>
            </w:r>
          </w:p>
        </w:tc>
        <w:tc>
          <w:tcPr>
            <w:tcW w:w="468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Class Name</w:t>
            </w:r>
          </w:p>
        </w:tc>
      </w:tr>
      <w:tr>
        <w:trPr/>
        <w:tc>
          <w:tcPr>
            <w:tcW w:w="234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1</w:t>
            </w:r>
          </w:p>
        </w:tc>
        <w:tc>
          <w:tcPr>
            <w:tcW w:w="234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bCs/>
                <w:color w:val="2E75B6"/>
                <w:sz w:val="20"/>
                <w:szCs w:val="20"/>
              </w:rPr>
              <w:t>0</w:t>
            </w:r>
          </w:p>
        </w:tc>
        <w:tc>
          <w:tcPr>
            <w:tcW w:w="468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pedestrian</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2</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bCs/>
                <w:color w:val="2E75B6"/>
                <w:sz w:val="20"/>
                <w:szCs w:val="20"/>
              </w:rPr>
              <w:t>1</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people</w:t>
            </w:r>
          </w:p>
        </w:tc>
      </w:tr>
      <w:tr>
        <w:trPr/>
        <w:tc>
          <w:tcPr>
            <w:tcW w:w="234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3</w:t>
            </w:r>
          </w:p>
        </w:tc>
        <w:tc>
          <w:tcPr>
            <w:tcW w:w="234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bCs/>
                <w:color w:val="2E75B6"/>
                <w:sz w:val="20"/>
                <w:szCs w:val="20"/>
              </w:rPr>
              <w:t>2</w:t>
            </w:r>
          </w:p>
        </w:tc>
        <w:tc>
          <w:tcPr>
            <w:tcW w:w="468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bicycle</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4</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bCs/>
                <w:color w:val="2E75B6"/>
                <w:sz w:val="20"/>
                <w:szCs w:val="20"/>
              </w:rPr>
              <w:t>3</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car</w:t>
            </w:r>
          </w:p>
        </w:tc>
      </w:tr>
      <w:tr>
        <w:trPr/>
        <w:tc>
          <w:tcPr>
            <w:tcW w:w="234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7</w:t>
            </w:r>
          </w:p>
        </w:tc>
        <w:tc>
          <w:tcPr>
            <w:tcW w:w="234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bCs/>
                <w:color w:val="2E75B6"/>
                <w:sz w:val="20"/>
                <w:szCs w:val="20"/>
              </w:rPr>
              <w:t>4</w:t>
            </w:r>
          </w:p>
        </w:tc>
        <w:tc>
          <w:tcPr>
            <w:tcW w:w="468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tricycle</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10</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bCs/>
                <w:color w:val="2E75B6"/>
                <w:sz w:val="20"/>
                <w:szCs w:val="20"/>
              </w:rPr>
              <w:t>5</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motor</w:t>
            </w:r>
          </w:p>
        </w:tc>
      </w:tr>
    </w:tbl>
    <w:p>
      <w:pPr>
        <w:pStyle w:val="Normal"/>
        <w:spacing w:before="60" w:after="60"/>
        <w:rPr/>
      </w:pPr>
      <w:r>
        <w:rPr/>
      </w:r>
    </w:p>
    <w:p>
      <w:pPr>
        <w:pStyle w:val="Heading2"/>
        <w:pBdr>
          <w:bottom w:val="single" w:sz="4" w:space="1" w:color="2E75B6"/>
        </w:pBdr>
        <w:spacing w:before="280" w:after="140"/>
        <w:rPr/>
      </w:pPr>
      <w:r>
        <w:rPr>
          <w:rFonts w:eastAsia="Arial" w:cs="Arial" w:ascii="Arial" w:hAnsi="Arial"/>
          <w:b/>
          <w:bCs/>
          <w:color w:val="1F3864"/>
          <w:sz w:val="26"/>
          <w:szCs w:val="26"/>
        </w:rPr>
        <w:t>AI-TOD Classes (8 Categories)</w:t>
      </w:r>
    </w:p>
    <w:tbl>
      <w:tblPr>
        <w:tblW w:w="9360" w:type="dxa"/>
        <w:jc w:val="start"/>
        <w:tblInd w:w="0" w:type="dxa"/>
        <w:tblLayout w:type="fixed"/>
        <w:tblCellMar>
          <w:top w:w="100" w:type="dxa"/>
          <w:start w:w="140" w:type="dxa"/>
          <w:bottom w:w="100" w:type="dxa"/>
          <w:end w:w="140" w:type="dxa"/>
        </w:tblCellMar>
      </w:tblPr>
      <w:tblGrid>
        <w:gridCol w:w="2340"/>
        <w:gridCol w:w="2340"/>
        <w:gridCol w:w="4680"/>
      </w:tblGrid>
      <w:tr>
        <w:trPr>
          <w:tblHeader w:val="true"/>
        </w:trPr>
        <w:tc>
          <w:tcPr>
            <w:tcW w:w="234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COCO Category ID</w:t>
            </w:r>
          </w:p>
        </w:tc>
        <w:tc>
          <w:tcPr>
            <w:tcW w:w="234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YOLO Index</w:t>
            </w:r>
          </w:p>
        </w:tc>
        <w:tc>
          <w:tcPr>
            <w:tcW w:w="4680" w:type="dxa"/>
            <w:tcBorders>
              <w:top w:val="single" w:sz="2" w:space="0" w:color="AAAAAA"/>
              <w:start w:val="single" w:sz="2" w:space="0" w:color="AAAAAA"/>
              <w:bottom w:val="single" w:sz="2" w:space="0" w:color="AAAAAA"/>
              <w:end w:val="single" w:sz="2" w:space="0" w:color="AAAAAA"/>
            </w:tcBorders>
            <w:shd w:fill="2E75B6" w:val="clear"/>
            <w:vAlign w:val="center"/>
          </w:tcPr>
          <w:p>
            <w:pPr>
              <w:pStyle w:val="Normal"/>
              <w:jc w:val="center"/>
              <w:rPr/>
            </w:pPr>
            <w:r>
              <w:rPr>
                <w:rFonts w:eastAsia="Arial" w:cs="Arial"/>
                <w:b/>
                <w:bCs/>
                <w:color w:val="FFFFFF"/>
                <w:sz w:val="20"/>
                <w:szCs w:val="20"/>
              </w:rPr>
              <w:t>Class Name</w:t>
            </w:r>
          </w:p>
        </w:tc>
      </w:tr>
      <w:tr>
        <w:trPr/>
        <w:tc>
          <w:tcPr>
            <w:tcW w:w="234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1</w:t>
            </w:r>
          </w:p>
        </w:tc>
        <w:tc>
          <w:tcPr>
            <w:tcW w:w="234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bCs/>
                <w:color w:val="2E75B6"/>
                <w:sz w:val="20"/>
                <w:szCs w:val="20"/>
              </w:rPr>
              <w:t>0</w:t>
            </w:r>
          </w:p>
        </w:tc>
        <w:tc>
          <w:tcPr>
            <w:tcW w:w="468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airplane</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2</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bCs/>
                <w:color w:val="2E75B6"/>
                <w:sz w:val="20"/>
                <w:szCs w:val="20"/>
              </w:rPr>
              <w:t>1</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bridge</w:t>
            </w:r>
          </w:p>
        </w:tc>
      </w:tr>
      <w:tr>
        <w:trPr/>
        <w:tc>
          <w:tcPr>
            <w:tcW w:w="234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3</w:t>
            </w:r>
          </w:p>
        </w:tc>
        <w:tc>
          <w:tcPr>
            <w:tcW w:w="234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bCs/>
                <w:color w:val="2E75B6"/>
                <w:sz w:val="20"/>
                <w:szCs w:val="20"/>
              </w:rPr>
              <w:t>2</w:t>
            </w:r>
          </w:p>
        </w:tc>
        <w:tc>
          <w:tcPr>
            <w:tcW w:w="468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storage-tank</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4</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bCs/>
                <w:color w:val="2E75B6"/>
                <w:sz w:val="20"/>
                <w:szCs w:val="20"/>
              </w:rPr>
              <w:t>3</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ship</w:t>
            </w:r>
          </w:p>
        </w:tc>
      </w:tr>
      <w:tr>
        <w:trPr/>
        <w:tc>
          <w:tcPr>
            <w:tcW w:w="234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5</w:t>
            </w:r>
          </w:p>
        </w:tc>
        <w:tc>
          <w:tcPr>
            <w:tcW w:w="234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bCs/>
                <w:color w:val="2E75B6"/>
                <w:sz w:val="20"/>
                <w:szCs w:val="20"/>
              </w:rPr>
              <w:t>4</w:t>
            </w:r>
          </w:p>
        </w:tc>
        <w:tc>
          <w:tcPr>
            <w:tcW w:w="468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swimming-pool</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6</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bCs/>
                <w:color w:val="2E75B6"/>
                <w:sz w:val="20"/>
                <w:szCs w:val="20"/>
              </w:rPr>
              <w:t>5</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vehicle</w:t>
            </w:r>
          </w:p>
        </w:tc>
      </w:tr>
      <w:tr>
        <w:trPr/>
        <w:tc>
          <w:tcPr>
            <w:tcW w:w="234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val="false"/>
                <w:bCs w:val="false"/>
                <w:color w:val="000000"/>
                <w:sz w:val="20"/>
                <w:szCs w:val="20"/>
              </w:rPr>
              <w:t>7</w:t>
            </w:r>
          </w:p>
        </w:tc>
        <w:tc>
          <w:tcPr>
            <w:tcW w:w="234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center"/>
              <w:rPr/>
            </w:pPr>
            <w:r>
              <w:rPr>
                <w:rFonts w:eastAsia="Arial" w:cs="Arial"/>
                <w:b/>
                <w:bCs/>
                <w:color w:val="2E75B6"/>
                <w:sz w:val="20"/>
                <w:szCs w:val="20"/>
              </w:rPr>
              <w:t>6</w:t>
            </w:r>
          </w:p>
        </w:tc>
        <w:tc>
          <w:tcPr>
            <w:tcW w:w="468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vAlign w:val="center"/>
          </w:tcPr>
          <w:p>
            <w:pPr>
              <w:pStyle w:val="Normal"/>
              <w:jc w:val="start"/>
              <w:rPr/>
            </w:pPr>
            <w:r>
              <w:rPr>
                <w:rFonts w:eastAsia="Arial" w:cs="Arial"/>
                <w:b w:val="false"/>
                <w:bCs w:val="false"/>
                <w:color w:val="000000"/>
                <w:sz w:val="20"/>
                <w:szCs w:val="20"/>
              </w:rPr>
              <w:t>person</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8</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center"/>
              <w:rPr/>
            </w:pPr>
            <w:r>
              <w:rPr>
                <w:rFonts w:eastAsia="Arial" w:cs="Arial"/>
                <w:b/>
                <w:bCs/>
                <w:color w:val="2E75B6"/>
                <w:sz w:val="20"/>
                <w:szCs w:val="20"/>
              </w:rPr>
              <w:t>7</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vAlign w:val="center"/>
          </w:tcPr>
          <w:p>
            <w:pPr>
              <w:pStyle w:val="Normal"/>
              <w:jc w:val="start"/>
              <w:rPr/>
            </w:pPr>
            <w:r>
              <w:rPr>
                <w:rFonts w:eastAsia="Arial" w:cs="Arial"/>
                <w:b w:val="false"/>
                <w:bCs w:val="false"/>
                <w:color w:val="000000"/>
                <w:sz w:val="20"/>
                <w:szCs w:val="20"/>
              </w:rPr>
              <w:t>wind-mill</w:t>
            </w:r>
          </w:p>
        </w:tc>
      </w:tr>
    </w:tbl>
    <w:p>
      <w:pPr>
        <w:pStyle w:val="Normal"/>
        <w:spacing w:before="60" w:after="60"/>
        <w:rPr/>
      </w:pPr>
      <w:r>
        <w:rPr/>
      </w:r>
    </w:p>
    <w:p>
      <w:pPr>
        <w:pStyle w:val="Heading1"/>
        <w:shd w:val="clear" w:fill="1F3864"/>
        <w:spacing w:before="360" w:after="200"/>
        <w:ind w:start="200" w:end="200"/>
        <w:rPr/>
      </w:pPr>
      <w:r>
        <w:rPr>
          <w:rFonts w:eastAsia="Arial" w:cs="Arial" w:ascii="Arial" w:hAnsi="Arial"/>
          <w:b/>
          <w:bCs/>
          <w:color w:val="FFFFFF"/>
          <w:sz w:val="32"/>
          <w:szCs w:val="32"/>
        </w:rPr>
        <w:t>Appendix B — NWD Loss Implementation</w:t>
      </w:r>
    </w:p>
    <w:p>
      <w:pPr>
        <w:pStyle w:val="Normal"/>
        <w:pBdr>
          <w:left w:val="single" w:sz="8" w:space="4" w:color="2E75B6"/>
        </w:pBdr>
        <w:shd w:val="clear" w:fill="F9F2F4"/>
        <w:spacing w:before="80" w:after="80"/>
        <w:ind w:start="360"/>
        <w:rPr/>
      </w:pPr>
      <w:r>
        <w:rPr>
          <w:rFonts w:eastAsia="Courier New" w:cs="Courier New" w:ascii="Courier New" w:hAnsi="Courier New"/>
          <w:color w:val="C0392B"/>
          <w:sz w:val="18"/>
          <w:szCs w:val="18"/>
        </w:rPr>
        <w:t>def nwd_loss(pred_boxes, gt_boxes, C=12.8):</w:t>
      </w:r>
    </w:p>
    <w:p>
      <w:pPr>
        <w:pStyle w:val="Normal"/>
        <w:pBdr>
          <w:left w:val="single" w:sz="8" w:space="4" w:color="2E75B6"/>
        </w:pBdr>
        <w:shd w:val="clear" w:fill="F9F2F4"/>
        <w:spacing w:before="80" w:after="80"/>
        <w:ind w:start="3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 pred_boxes, gt_boxes: [N, 4] in (cx, cy, w, h) format</w:t>
      </w:r>
    </w:p>
    <w:p>
      <w:pPr>
        <w:pStyle w:val="Normal"/>
        <w:pBdr>
          <w:left w:val="single" w:sz="8" w:space="4" w:color="2E75B6"/>
        </w:pBdr>
        <w:shd w:val="clear" w:fill="F9F2F4"/>
        <w:spacing w:before="80" w:after="80"/>
        <w:ind w:start="3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mu_p  = pred_boxes[:, :2]   # predicted centers</w:t>
      </w:r>
    </w:p>
    <w:p>
      <w:pPr>
        <w:pStyle w:val="Normal"/>
        <w:pBdr>
          <w:left w:val="single" w:sz="8" w:space="4" w:color="2E75B6"/>
        </w:pBdr>
        <w:shd w:val="clear" w:fill="F9F2F4"/>
        <w:spacing w:before="80" w:after="80"/>
        <w:ind w:start="3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sig_p = pred_boxes[:, 2:] / 2  # predicted half-dims (σ)</w:t>
      </w:r>
    </w:p>
    <w:p>
      <w:pPr>
        <w:pStyle w:val="Normal"/>
        <w:pBdr>
          <w:left w:val="single" w:sz="8" w:space="4" w:color="2E75B6"/>
        </w:pBdr>
        <w:shd w:val="clear" w:fill="F9F2F4"/>
        <w:spacing w:before="80" w:after="80"/>
        <w:ind w:start="3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mu_g  = gt_boxes[:, :2]    # ground-truth centers</w:t>
      </w:r>
    </w:p>
    <w:p>
      <w:pPr>
        <w:pStyle w:val="Normal"/>
        <w:pBdr>
          <w:left w:val="single" w:sz="8" w:space="4" w:color="2E75B6"/>
        </w:pBdr>
        <w:shd w:val="clear" w:fill="F9F2F4"/>
        <w:spacing w:before="80" w:after="80"/>
        <w:ind w:start="3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sig_g = gt_boxes[:, 2:] / 2   # ground-truth half-dims</w:t>
      </w:r>
    </w:p>
    <w:p>
      <w:pPr>
        <w:pStyle w:val="Normal"/>
        <w:pBdr>
          <w:left w:val="single" w:sz="8" w:space="4" w:color="2E75B6"/>
        </w:pBdr>
        <w:shd w:val="clear" w:fill="F9F2F4"/>
        <w:spacing w:before="80" w:after="80"/>
        <w:ind w:start="3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 Wasserstein-2 distance (closed form for Gaussian)</w:t>
      </w:r>
    </w:p>
    <w:p>
      <w:pPr>
        <w:pStyle w:val="Normal"/>
        <w:pBdr>
          <w:left w:val="single" w:sz="8" w:space="4" w:color="2E75B6"/>
        </w:pBdr>
        <w:shd w:val="clear" w:fill="F9F2F4"/>
        <w:spacing w:before="80" w:after="80"/>
        <w:ind w:start="3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cd = ((mu_p.unsqueeze(1) - mu_g.unsqueeze(0))**2).sum(-1)</w:t>
      </w:r>
    </w:p>
    <w:p>
      <w:pPr>
        <w:pStyle w:val="Normal"/>
        <w:pBdr>
          <w:left w:val="single" w:sz="8" w:space="4" w:color="2E75B6"/>
        </w:pBdr>
        <w:shd w:val="clear" w:fill="F9F2F4"/>
        <w:spacing w:before="80" w:after="80"/>
        <w:ind w:start="3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sd = ((sig_p.unsqueeze(1) - sig_g.unsqueeze(0))**2).sum(-1)</w:t>
      </w:r>
    </w:p>
    <w:p>
      <w:pPr>
        <w:pStyle w:val="Normal"/>
        <w:pBdr>
          <w:left w:val="single" w:sz="8" w:space="4" w:color="2E75B6"/>
        </w:pBdr>
        <w:shd w:val="clear" w:fill="F9F2F4"/>
        <w:spacing w:before="80" w:after="80"/>
        <w:ind w:start="3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w2 = torch.sqrt(cd + sd + 1e-7)</w:t>
      </w:r>
    </w:p>
    <w:p>
      <w:pPr>
        <w:pStyle w:val="Normal"/>
        <w:pBdr>
          <w:left w:val="single" w:sz="8" w:space="4" w:color="2E75B6"/>
        </w:pBdr>
        <w:shd w:val="clear" w:fill="F9F2F4"/>
        <w:spacing w:before="80" w:after="80"/>
        <w:ind w:start="3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 Normalized NWD similarity matrix [N_pred × N_gt]</w:t>
      </w:r>
    </w:p>
    <w:p>
      <w:pPr>
        <w:pStyle w:val="Normal"/>
        <w:pBdr>
          <w:left w:val="single" w:sz="8" w:space="4" w:color="2E75B6"/>
        </w:pBdr>
        <w:shd w:val="clear" w:fill="F9F2F4"/>
        <w:spacing w:before="80" w:after="80"/>
        <w:ind w:start="3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nwd_mat = torch.exp(-w2 / C)</w:t>
      </w:r>
    </w:p>
    <w:p>
      <w:pPr>
        <w:pStyle w:val="Normal"/>
        <w:pBdr>
          <w:left w:val="single" w:sz="8" w:space="4" w:color="2E75B6"/>
        </w:pBdr>
        <w:shd w:val="clear" w:fill="F9F2F4"/>
        <w:spacing w:before="80" w:after="80"/>
        <w:ind w:start="3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 Best-match NWD per ground-truth box</w:t>
      </w:r>
    </w:p>
    <w:p>
      <w:pPr>
        <w:pStyle w:val="Normal"/>
        <w:pBdr>
          <w:left w:val="single" w:sz="8" w:space="4" w:color="2E75B6"/>
        </w:pBdr>
        <w:shd w:val="clear" w:fill="F9F2F4"/>
        <w:spacing w:before="80" w:after="80"/>
        <w:ind w:start="3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best_nwd = nwd_mat.max(dim=0).values</w:t>
      </w:r>
    </w:p>
    <w:p>
      <w:pPr>
        <w:pStyle w:val="Normal"/>
        <w:pBdr>
          <w:left w:val="single" w:sz="8" w:space="4" w:color="2E75B6"/>
        </w:pBdr>
        <w:shd w:val="clear" w:fill="F9F2F4"/>
        <w:spacing w:before="80" w:after="80"/>
        <w:ind w:start="3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return (1.0 - best_nwd).mean()</w:t>
      </w:r>
    </w:p>
    <w:p>
      <w:pPr>
        <w:pStyle w:val="Normal"/>
        <w:spacing w:before="60" w:after="6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260" w:right="126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2E75B6"/>
      </w:pBdr>
      <w:tabs>
        <w:tab w:val="clear" w:pos="720"/>
        <w:tab w:val="right" w:pos="9360" w:leader="none"/>
      </w:tabs>
      <w:spacing w:before="0" w:after="0"/>
      <w:rPr/>
    </w:pPr>
    <w:r>
      <w:rPr>
        <w:rFonts w:eastAsia="Arial" w:cs="Arial"/>
        <w:color w:val="777777"/>
        <w:sz w:val="18"/>
        <w:szCs w:val="18"/>
      </w:rPr>
      <w:t>Confidential — Research Technical Report</w:t>
    </w:r>
    <w:r>
      <w:rPr>
        <w:sz w:val="18"/>
        <w:szCs w:val="18"/>
      </w:rPr>
      <w:tab/>
    </w:r>
    <w:r>
      <w:rPr>
        <w:rFonts w:eastAsia="Arial" w:cs="Arial"/>
        <w:color w:val="777777"/>
        <w:sz w:val="18"/>
        <w:szCs w:val="18"/>
      </w:rPr>
      <w:t xml:space="preserve">Page </w:t>
    </w: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2E75B6"/>
      </w:pBdr>
      <w:tabs>
        <w:tab w:val="clear" w:pos="720"/>
        <w:tab w:val="right" w:pos="9360" w:leader="none"/>
      </w:tabs>
      <w:spacing w:before="0" w:after="0"/>
      <w:rPr/>
    </w:pPr>
    <w:r>
      <w:rPr>
        <w:rFonts w:eastAsia="Arial" w:cs="Arial"/>
        <w:color w:val="777777"/>
        <w:sz w:val="18"/>
        <w:szCs w:val="18"/>
      </w:rPr>
      <w:t>Confidential — Research Technical Report</w:t>
    </w:r>
    <w:r>
      <w:rPr>
        <w:sz w:val="18"/>
        <w:szCs w:val="18"/>
      </w:rPr>
      <w:tab/>
    </w:r>
    <w:r>
      <w:rPr>
        <w:rFonts w:eastAsia="Arial" w:cs="Arial"/>
        <w:color w:val="777777"/>
        <w:sz w:val="18"/>
        <w:szCs w:val="18"/>
      </w:rPr>
      <w:t xml:space="preserve">Page </w:t>
    </w:r>
    <w:r>
      <w:rPr/>
      <w:fldChar w:fldCharType="begin"/>
    </w:r>
    <w:r>
      <w:rPr/>
      <w:instrText xml:space="preserve"> PAGE </w:instrText>
    </w:r>
    <w:r>
      <w:rPr/>
      <w:fldChar w:fldCharType="separate"/>
    </w:r>
    <w:r>
      <w:rPr/>
      <w:t>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E75B6"/>
      </w:pBdr>
      <w:tabs>
        <w:tab w:val="clear" w:pos="720"/>
        <w:tab w:val="right" w:pos="9360" w:leader="none"/>
      </w:tabs>
      <w:spacing w:before="0" w:after="0"/>
      <w:rPr/>
    </w:pPr>
    <w:r>
      <w:rPr>
        <w:rFonts w:eastAsia="Arial" w:cs="Arial"/>
        <w:i/>
        <w:iCs/>
        <w:color w:val="777777"/>
        <w:sz w:val="18"/>
        <w:szCs w:val="18"/>
      </w:rPr>
      <w:t>RT-DETR + NWD-ESRGAN Joint Training for Tiny Object Detection</w:t>
    </w:r>
    <w:r>
      <w:rPr>
        <w:sz w:val="18"/>
        <w:szCs w:val="18"/>
      </w:rPr>
      <w:tab/>
    </w:r>
    <w:r>
      <w:rPr>
        <w:rFonts w:eastAsia="Arial" w:cs="Arial"/>
        <w:b/>
        <w:bCs/>
        <w:color w:val="2E75B6"/>
        <w:sz w:val="18"/>
        <w:szCs w:val="18"/>
      </w:rPr>
      <w:t>Technical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E75B6"/>
      </w:pBdr>
      <w:tabs>
        <w:tab w:val="clear" w:pos="720"/>
        <w:tab w:val="right" w:pos="9360" w:leader="none"/>
      </w:tabs>
      <w:spacing w:before="0" w:after="0"/>
      <w:rPr/>
    </w:pPr>
    <w:r>
      <w:rPr>
        <w:rFonts w:eastAsia="Arial" w:cs="Arial"/>
        <w:i/>
        <w:iCs/>
        <w:color w:val="777777"/>
        <w:sz w:val="18"/>
        <w:szCs w:val="18"/>
      </w:rPr>
      <w:t>RT-DETR + NWD-ESRGAN Joint Training for Tiny Object Detection</w:t>
    </w:r>
    <w:r>
      <w:rPr>
        <w:sz w:val="18"/>
        <w:szCs w:val="18"/>
      </w:rPr>
      <w:tab/>
    </w:r>
    <w:r>
      <w:rPr>
        <w:rFonts w:eastAsia="Arial" w:cs="Arial"/>
        <w:b/>
        <w:bCs/>
        <w:color w:val="2E75B6"/>
        <w:sz w:val="18"/>
        <w:szCs w:val="18"/>
      </w:rPr>
      <w:t>Technical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30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540" w:hanging="30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57"/>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FFFFFF"/>
      <w:sz w:val="32"/>
      <w:szCs w:val="32"/>
    </w:rPr>
  </w:style>
  <w:style w:type="paragraph" w:styleId="Heading2">
    <w:name w:val="heading 2"/>
    <w:basedOn w:val="Heading"/>
    <w:qFormat/>
    <w:pPr>
      <w:spacing w:before="280" w:after="140"/>
      <w:outlineLvl w:val="1"/>
    </w:pPr>
    <w:rPr>
      <w:rFonts w:ascii="Arial" w:hAnsi="Arial" w:eastAsia="Arial" w:cs="Arial"/>
      <w:b/>
      <w:bCs/>
      <w:color w:val="1F3864"/>
      <w:sz w:val="26"/>
      <w:szCs w:val="26"/>
    </w:rPr>
  </w:style>
  <w:style w:type="paragraph" w:styleId="Heading3">
    <w:name w:val="heading 3"/>
    <w:basedOn w:val="Heading"/>
    <w:qFormat/>
    <w:pPr>
      <w:spacing w:before="200" w:after="100"/>
      <w:outlineLvl w:val="2"/>
    </w:pPr>
    <w:rPr>
      <w:rFonts w:ascii="Arial" w:hAnsi="Arial" w:eastAsia="Arial" w:cs="Arial"/>
      <w:b/>
      <w:bCs/>
      <w:color w:val="2E75B6"/>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701</TotalTime>
  <Application>LibreOffice/26.2.3.2$Linux_X86_64 LibreOffice_project/d4d5ed47b6084125f28d269a5650105d54dde034</Application>
  <AppVersion>15.0000</AppVersion>
  <Pages>15</Pages>
  <Words>3364</Words>
  <Characters>19671</Characters>
  <CharactersWithSpaces>22650</CharactersWithSpaces>
  <Paragraphs>457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2026-06-07T10:04:19Z</dcterms:created>
  <dc:creator>Un-named</dc:creator>
  <dc:description/>
  <dc:language>en-US</dc:language>
  <cp:lastModifiedBy/>
  <cp:lastPrinted>2026-06-08T11:21:38Z</cp:lastPrinted>
  <dcterms:modified xsi:type="dcterms:W3CDTF">2026-06-08T11:19:36Z</dcterms:modified>
  <cp:revision>2</cp:revision>
  <dc:subject/>
  <dc:title/>
</cp:coreProperties>
</file>