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B2A4A"/>
        <w:spacing w:before="0" w:after="0"/>
        <w:jc w:val="center"/>
        <w:rPr/>
      </w:pPr>
      <w:r>
        <w:rPr/>
      </w:r>
    </w:p>
    <w:p>
      <w:pPr>
        <w:pStyle w:val="Normal"/>
        <w:shd w:val="clear" w:fill="1B2A4A"/>
        <w:spacing w:before="200" w:after="0"/>
        <w:jc w:val="center"/>
        <w:rPr/>
      </w:pPr>
      <w:r>
        <w:rPr>
          <w:rFonts w:eastAsia="Arial" w:cs="Arial"/>
          <w:b/>
          <w:bCs/>
          <w:color w:val="9AC4E8"/>
          <w:sz w:val="20"/>
          <w:szCs w:val="20"/>
        </w:rPr>
        <w:t>DEEP-DIVE TECHNICAL REPORT</w:t>
      </w:r>
    </w:p>
    <w:p>
      <w:pPr>
        <w:pStyle w:val="Normal"/>
        <w:shd w:val="clear" w:fill="1B2A4A"/>
        <w:spacing w:before="120" w:after="0"/>
        <w:jc w:val="center"/>
        <w:rPr/>
      </w:pPr>
      <w:r>
        <w:rPr>
          <w:rFonts w:eastAsia="Arial" w:cs="Arial"/>
          <w:b/>
          <w:bCs/>
          <w:color w:val="FFFFFF"/>
          <w:sz w:val="52"/>
          <w:szCs w:val="52"/>
        </w:rPr>
        <w:t>Normalized Wasserstein Distance</w:t>
      </w:r>
    </w:p>
    <w:p>
      <w:pPr>
        <w:pStyle w:val="Normal"/>
        <w:shd w:val="clear" w:fill="1B2A4A"/>
        <w:spacing w:before="40" w:after="0"/>
        <w:jc w:val="center"/>
        <w:rPr/>
      </w:pPr>
      <w:r>
        <w:rPr>
          <w:rFonts w:eastAsia="Arial" w:cs="Arial"/>
          <w:b/>
          <w:bCs/>
          <w:color w:val="9AC4E8"/>
          <w:sz w:val="44"/>
          <w:szCs w:val="44"/>
        </w:rPr>
        <w:t>(NWD) Loss</w:t>
      </w:r>
    </w:p>
    <w:p>
      <w:pPr>
        <w:pStyle w:val="Normal"/>
        <w:shd w:val="clear" w:fill="1B2A4A"/>
        <w:spacing w:before="0" w:after="0"/>
        <w:jc w:val="center"/>
        <w:rPr/>
      </w:pPr>
      <w:r>
        <w:rPr/>
      </w:r>
    </w:p>
    <w:p>
      <w:pPr>
        <w:pStyle w:val="Normal"/>
        <w:shd w:val="clear" w:fill="1B2A4A"/>
        <w:spacing w:before="80" w:after="0"/>
        <w:jc w:val="center"/>
        <w:rPr/>
      </w:pPr>
      <w:r>
        <w:rPr>
          <w:rFonts w:eastAsia="Arial" w:cs="Arial"/>
          <w:i/>
          <w:iCs/>
          <w:color w:val="7AADD4"/>
          <w:sz w:val="19"/>
          <w:szCs w:val="19"/>
        </w:rPr>
        <w:t>Definition · Mathematics · Intuition · Implementation · Role in RT-DETR + ESRGAN Joint Training</w:t>
      </w:r>
    </w:p>
    <w:p>
      <w:pPr>
        <w:pStyle w:val="Normal"/>
        <w:shd w:val="clear" w:fill="1B2A4A"/>
        <w:spacing w:before="0" w:after="240"/>
        <w:jc w:val="center"/>
        <w:rPr/>
      </w:pPr>
      <w:r>
        <w:rPr/>
      </w:r>
    </w:p>
    <w:p>
      <w:pPr>
        <w:pStyle w:val="Normal"/>
        <w:spacing w:before="80" w:after="0"/>
        <w:rPr/>
      </w:pPr>
      <w:r>
        <w:rPr/>
      </w:r>
    </w:p>
    <w:tbl>
      <w:tblPr>
        <w:tblW w:w="9360" w:type="dxa"/>
        <w:jc w:val="start"/>
        <w:tblInd w:w="0" w:type="dxa"/>
        <w:tblLayout w:type="fixed"/>
        <w:tblCellMar>
          <w:top w:w="80" w:type="dxa"/>
          <w:start w:w="120" w:type="dxa"/>
          <w:bottom w:w="80" w:type="dxa"/>
          <w:end w:w="120" w:type="dxa"/>
        </w:tblCellMar>
      </w:tblPr>
      <w:tblGrid>
        <w:gridCol w:w="2199"/>
        <w:gridCol w:w="2401"/>
        <w:gridCol w:w="159"/>
        <w:gridCol w:w="2201"/>
        <w:gridCol w:w="2400"/>
      </w:tblGrid>
      <w:tr>
        <w:trPr/>
        <w:tc>
          <w:tcPr>
            <w:tcW w:w="2199"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Loss family</w:t>
            </w:r>
          </w:p>
        </w:tc>
        <w:tc>
          <w:tcPr>
            <w:tcW w:w="2401"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1A6FA8"/>
                <w:sz w:val="19"/>
                <w:szCs w:val="19"/>
              </w:rPr>
              <w:t>Regression / bounding-box</w:t>
            </w:r>
          </w:p>
        </w:tc>
        <w:tc>
          <w:tcPr>
            <w:tcW w:w="159" w:type="dxa"/>
            <w:tcBorders/>
            <w:shd w:fill="F4F6F8" w:val="clear"/>
            <w:tcMar>
              <w:top w:w="0" w:type="dxa"/>
              <w:start w:w="0" w:type="dxa"/>
              <w:bottom w:w="0" w:type="dxa"/>
              <w:end w:w="0" w:type="dxa"/>
            </w:tcMar>
          </w:tcPr>
          <w:p>
            <w:pPr>
              <w:pStyle w:val="Normal"/>
              <w:rPr/>
            </w:pPr>
            <w:r>
              <w:rPr/>
            </w:r>
          </w:p>
        </w:tc>
        <w:tc>
          <w:tcPr>
            <w:tcW w:w="2201"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Designed for</w:t>
            </w:r>
          </w:p>
        </w:tc>
        <w:tc>
          <w:tcPr>
            <w:tcW w:w="2400"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A93226"/>
                <w:sz w:val="19"/>
                <w:szCs w:val="19"/>
              </w:rPr>
              <w:t>Tiny object detection</w:t>
            </w:r>
          </w:p>
        </w:tc>
      </w:tr>
      <w:tr>
        <w:trPr/>
        <w:tc>
          <w:tcPr>
            <w:tcW w:w="2199"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Metric basis</w:t>
            </w:r>
          </w:p>
        </w:tc>
        <w:tc>
          <w:tcPr>
            <w:tcW w:w="2401"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0D7377"/>
                <w:sz w:val="19"/>
                <w:szCs w:val="19"/>
              </w:rPr>
              <w:t>Wasserstein-2 distance</w:t>
            </w:r>
          </w:p>
        </w:tc>
        <w:tc>
          <w:tcPr>
            <w:tcW w:w="159" w:type="dxa"/>
            <w:tcBorders/>
            <w:shd w:fill="F4F6F8" w:val="clear"/>
            <w:tcMar>
              <w:top w:w="0" w:type="dxa"/>
              <w:start w:w="0" w:type="dxa"/>
              <w:bottom w:w="0" w:type="dxa"/>
              <w:end w:w="0" w:type="dxa"/>
            </w:tcMar>
          </w:tcPr>
          <w:p>
            <w:pPr>
              <w:pStyle w:val="Normal"/>
              <w:rPr/>
            </w:pPr>
            <w:r>
              <w:rPr/>
            </w:r>
          </w:p>
        </w:tc>
        <w:tc>
          <w:tcPr>
            <w:tcW w:w="2201"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Box representation</w:t>
            </w:r>
          </w:p>
        </w:tc>
        <w:tc>
          <w:tcPr>
            <w:tcW w:w="2400"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5B2C8C"/>
                <w:sz w:val="19"/>
                <w:szCs w:val="19"/>
              </w:rPr>
              <w:t>2D Gaussian distribution</w:t>
            </w:r>
          </w:p>
        </w:tc>
      </w:tr>
      <w:tr>
        <w:trPr/>
        <w:tc>
          <w:tcPr>
            <w:tcW w:w="2199"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Output range</w:t>
            </w:r>
          </w:p>
        </w:tc>
        <w:tc>
          <w:tcPr>
            <w:tcW w:w="2401"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1E6B3C"/>
                <w:sz w:val="19"/>
                <w:szCs w:val="19"/>
              </w:rPr>
              <w:t>NWD ∈ [0, 1]</w:t>
            </w:r>
          </w:p>
        </w:tc>
        <w:tc>
          <w:tcPr>
            <w:tcW w:w="159" w:type="dxa"/>
            <w:tcBorders/>
            <w:shd w:fill="F4F6F8" w:val="clear"/>
            <w:tcMar>
              <w:top w:w="0" w:type="dxa"/>
              <w:start w:w="0" w:type="dxa"/>
              <w:bottom w:w="0" w:type="dxa"/>
              <w:end w:w="0" w:type="dxa"/>
            </w:tcMar>
          </w:tcPr>
          <w:p>
            <w:pPr>
              <w:pStyle w:val="Normal"/>
              <w:rPr/>
            </w:pPr>
            <w:r>
              <w:rPr/>
            </w:r>
          </w:p>
        </w:tc>
        <w:tc>
          <w:tcPr>
            <w:tcW w:w="2201"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Loss range</w:t>
            </w:r>
          </w:p>
        </w:tc>
        <w:tc>
          <w:tcPr>
            <w:tcW w:w="2400"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C55A11"/>
                <w:sz w:val="19"/>
                <w:szCs w:val="19"/>
              </w:rPr>
              <w:t>L_NWD ∈ [0, 1]</w:t>
            </w:r>
          </w:p>
        </w:tc>
      </w:tr>
      <w:tr>
        <w:trPr/>
        <w:tc>
          <w:tcPr>
            <w:tcW w:w="2199"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Gradient at IoU = 0</w:t>
            </w:r>
          </w:p>
        </w:tc>
        <w:tc>
          <w:tcPr>
            <w:tcW w:w="2401"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1E6B3C"/>
                <w:sz w:val="19"/>
                <w:szCs w:val="19"/>
              </w:rPr>
              <w:t>Non-zero (key advantage)</w:t>
            </w:r>
          </w:p>
        </w:tc>
        <w:tc>
          <w:tcPr>
            <w:tcW w:w="159" w:type="dxa"/>
            <w:tcBorders/>
            <w:shd w:fill="F4F6F8" w:val="clear"/>
            <w:tcMar>
              <w:top w:w="0" w:type="dxa"/>
              <w:start w:w="0" w:type="dxa"/>
              <w:bottom w:w="0" w:type="dxa"/>
              <w:end w:w="0" w:type="dxa"/>
            </w:tcMar>
          </w:tcPr>
          <w:p>
            <w:pPr>
              <w:pStyle w:val="Normal"/>
              <w:rPr/>
            </w:pPr>
            <w:r>
              <w:rPr/>
            </w:r>
          </w:p>
        </w:tc>
        <w:tc>
          <w:tcPr>
            <w:tcW w:w="2201"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NWD constant C</w:t>
            </w:r>
          </w:p>
        </w:tc>
        <w:tc>
          <w:tcPr>
            <w:tcW w:w="2400"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1B2A4A"/>
                <w:sz w:val="19"/>
                <w:szCs w:val="19"/>
              </w:rPr>
              <w:t>12.8 px (AI-TOD default)</w:t>
            </w:r>
          </w:p>
        </w:tc>
      </w:tr>
      <w:tr>
        <w:trPr/>
        <w:tc>
          <w:tcPr>
            <w:tcW w:w="2199"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Project implementation</w:t>
            </w:r>
          </w:p>
        </w:tc>
        <w:tc>
          <w:tcPr>
            <w:tcW w:w="2401"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1A6FA8"/>
                <w:sz w:val="19"/>
                <w:szCs w:val="19"/>
              </w:rPr>
              <w:t>nwd_loss() in Cell 12</w:t>
            </w:r>
          </w:p>
        </w:tc>
        <w:tc>
          <w:tcPr>
            <w:tcW w:w="159" w:type="dxa"/>
            <w:tcBorders/>
            <w:shd w:fill="F4F6F8" w:val="clear"/>
            <w:tcMar>
              <w:top w:w="0" w:type="dxa"/>
              <w:start w:w="0" w:type="dxa"/>
              <w:bottom w:w="0" w:type="dxa"/>
              <w:end w:w="0" w:type="dxa"/>
            </w:tcMar>
          </w:tcPr>
          <w:p>
            <w:pPr>
              <w:pStyle w:val="Normal"/>
              <w:rPr/>
            </w:pPr>
            <w:r>
              <w:rPr/>
            </w:r>
          </w:p>
        </w:tc>
        <w:tc>
          <w:tcPr>
            <w:tcW w:w="2201"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Project loss weight</w:t>
            </w:r>
          </w:p>
        </w:tc>
        <w:tc>
          <w:tcPr>
            <w:tcW w:w="2400"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1B2A4A"/>
                <w:sz w:val="19"/>
                <w:szCs w:val="19"/>
              </w:rPr>
              <w:t>λ_NWD = 1.0 (unweighted)</w:t>
            </w:r>
          </w:p>
        </w:tc>
      </w:tr>
      <w:tr>
        <w:trPr/>
        <w:tc>
          <w:tcPr>
            <w:tcW w:w="2199"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Used in training on</w:t>
            </w:r>
          </w:p>
        </w:tc>
        <w:tc>
          <w:tcPr>
            <w:tcW w:w="2401"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0D7377"/>
                <w:sz w:val="19"/>
                <w:szCs w:val="19"/>
              </w:rPr>
              <w:t>VisDrone + AI-TOD</w:t>
            </w:r>
          </w:p>
        </w:tc>
        <w:tc>
          <w:tcPr>
            <w:tcW w:w="159" w:type="dxa"/>
            <w:tcBorders/>
            <w:shd w:fill="F4F6F8" w:val="clear"/>
            <w:tcMar>
              <w:top w:w="0" w:type="dxa"/>
              <w:start w:w="0" w:type="dxa"/>
              <w:bottom w:w="0" w:type="dxa"/>
              <w:end w:w="0" w:type="dxa"/>
            </w:tcMar>
          </w:tcPr>
          <w:p>
            <w:pPr>
              <w:pStyle w:val="Normal"/>
              <w:rPr/>
            </w:pPr>
            <w:r>
              <w:rPr/>
            </w:r>
          </w:p>
        </w:tc>
        <w:tc>
          <w:tcPr>
            <w:tcW w:w="2201" w:type="dxa"/>
            <w:tcBorders>
              <w:top w:val="single" w:sz="2" w:space="0" w:color="3A82C3"/>
              <w:start w:val="single" w:sz="2" w:space="0" w:color="3A82C3"/>
              <w:bottom w:val="single" w:sz="2" w:space="0" w:color="3A82C3"/>
              <w:end w:val="single" w:sz="2" w:space="0" w:color="3A82C3"/>
            </w:tcBorders>
            <w:shd w:fill="D6E4F7" w:val="clear"/>
          </w:tcPr>
          <w:p>
            <w:pPr>
              <w:pStyle w:val="Normal"/>
              <w:jc w:val="end"/>
              <w:rPr/>
            </w:pPr>
            <w:r>
              <w:rPr>
                <w:rFonts w:eastAsia="Arial" w:cs="Arial"/>
                <w:b/>
                <w:bCs/>
                <w:color w:val="1A6FA8"/>
                <w:sz w:val="19"/>
                <w:szCs w:val="19"/>
              </w:rPr>
              <w:t>SR scale variants</w:t>
            </w:r>
          </w:p>
        </w:tc>
        <w:tc>
          <w:tcPr>
            <w:tcW w:w="2400" w:type="dxa"/>
            <w:tcBorders>
              <w:top w:val="single" w:sz="2" w:space="0" w:color="3A82C3"/>
              <w:start w:val="single" w:sz="2" w:space="0" w:color="3A82C3"/>
              <w:bottom w:val="single" w:sz="2" w:space="0" w:color="3A82C3"/>
              <w:end w:val="single" w:sz="2" w:space="0" w:color="3A82C3"/>
            </w:tcBorders>
            <w:shd w:fill="FFFFFF" w:val="clear"/>
          </w:tcPr>
          <w:p>
            <w:pPr>
              <w:pStyle w:val="Normal"/>
              <w:rPr/>
            </w:pPr>
            <w:r>
              <w:rPr>
                <w:rFonts w:eastAsia="Arial" w:cs="Arial"/>
                <w:color w:val="1A6FA8"/>
                <w:sz w:val="19"/>
                <w:szCs w:val="19"/>
              </w:rPr>
              <w:t>2× and 4× experiments</w:t>
            </w:r>
          </w:p>
        </w:tc>
      </w:tr>
    </w:tbl>
    <w:p>
      <w:pPr>
        <w:pStyle w:val="Normal"/>
        <w:spacing w:before="120" w:after="0"/>
        <w:rPr/>
      </w:pPr>
      <w:r>
        <w:rPr/>
      </w:r>
    </w:p>
    <w:p>
      <w:pPr>
        <w:pStyle w:val="Normal"/>
        <w:shd w:val="clear" w:fill="1B2A4A"/>
        <w:spacing w:before="300" w:after="160"/>
        <w:ind w:start="180" w:end="180"/>
        <w:rPr/>
      </w:pPr>
      <w:r>
        <w:rPr>
          <w:rFonts w:eastAsia="Arial" w:cs="Arial"/>
          <w:b/>
          <w:bCs/>
          <w:color w:val="FFFFFF"/>
          <w:sz w:val="28"/>
          <w:szCs w:val="28"/>
        </w:rPr>
        <w:t>1.  THE PROBLEM NWD SOLVES</w:t>
      </w:r>
    </w:p>
    <w:p>
      <w:pPr>
        <w:pStyle w:val="Normal"/>
        <w:spacing w:before="80" w:after="0"/>
        <w:rPr/>
      </w:pPr>
      <w:r>
        <w:rPr/>
      </w:r>
    </w:p>
    <w:p>
      <w:pPr>
        <w:pStyle w:val="Normal"/>
        <w:spacing w:before="80" w:after="80"/>
        <w:ind w:start="180"/>
        <w:jc w:val="both"/>
        <w:rPr/>
      </w:pPr>
      <w:r>
        <w:rPr>
          <w:rFonts w:eastAsia="Arial" w:cs="Arial"/>
          <w:color w:val="1A1A2E"/>
          <w:sz w:val="21"/>
          <w:szCs w:val="21"/>
        </w:rPr>
        <w:t>To understand why the Normalized Wasserstein Distance loss exists, it is necessary to first understand why every detection loss that came before it fails for tiny objects. This section establishes the fundamental problem that NWD was designed to address.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1.1  What is a Tiny Object?</w:t>
      </w:r>
    </w:p>
    <w:p>
      <w:pPr>
        <w:pStyle w:val="Normal"/>
        <w:spacing w:before="80" w:after="80"/>
        <w:ind w:start="180"/>
        <w:jc w:val="both"/>
        <w:rPr/>
      </w:pPr>
      <w:r>
        <w:rPr>
          <w:rFonts w:eastAsia="Arial" w:cs="Arial"/>
          <w:color w:val="1A1A2E"/>
          <w:sz w:val="21"/>
          <w:szCs w:val="21"/>
        </w:rPr>
        <w:t>A tiny object in the detection literature is generally defined as a target occupying fewer than 32×32 pixels in the source image (following the COCO small-object threshold). In practice, the most challenging scenarios involve objects of 4–16 pixels — a category that represents:</w:t>
      </w:r>
    </w:p>
    <w:p>
      <w:pPr>
        <w:pStyle w:val="Normal"/>
        <w:spacing w:before="60" w:after="0"/>
        <w:rPr/>
      </w:pPr>
      <w:r>
        <w:rPr/>
      </w:r>
    </w:p>
    <w:p>
      <w:pPr>
        <w:pStyle w:val="ListParagraph"/>
        <w:numPr>
          <w:ilvl w:val="0"/>
          <w:numId w:val="4"/>
        </w:numPr>
        <w:spacing w:before="55" w:after="55"/>
        <w:rPr/>
      </w:pPr>
      <w:r>
        <w:rPr>
          <w:rFonts w:eastAsia="Arial" w:cs="Arial"/>
          <w:color w:val="1A1A2E"/>
          <w:sz w:val="21"/>
          <w:szCs w:val="21"/>
        </w:rPr>
        <w:t>~86% of all annotations in the AI-TOD satellite dataset (vehicles, ships, persons at altitude).</w:t>
      </w:r>
    </w:p>
    <w:p>
      <w:pPr>
        <w:pStyle w:val="ListParagraph"/>
        <w:numPr>
          <w:ilvl w:val="0"/>
          <w:numId w:val="1"/>
        </w:numPr>
        <w:spacing w:before="55" w:after="55"/>
        <w:rPr/>
      </w:pPr>
      <w:r>
        <w:rPr>
          <w:rFonts w:eastAsia="Arial" w:cs="Arial"/>
          <w:color w:val="1A1A2E"/>
          <w:sz w:val="21"/>
          <w:szCs w:val="21"/>
        </w:rPr>
        <w:t>~22% of VisDrone annotations (pedestrians, motorcycles at low-altitude drone view).</w:t>
      </w:r>
    </w:p>
    <w:p>
      <w:pPr>
        <w:pStyle w:val="ListParagraph"/>
        <w:numPr>
          <w:ilvl w:val="0"/>
          <w:numId w:val="1"/>
        </w:numPr>
        <w:spacing w:before="55" w:after="55"/>
        <w:rPr/>
      </w:pPr>
      <w:r>
        <w:rPr>
          <w:rFonts w:eastAsia="Arial" w:cs="Arial"/>
          <w:color w:val="1A1A2E"/>
          <w:sz w:val="21"/>
          <w:szCs w:val="21"/>
        </w:rPr>
        <w:t>Virtually all targets in the joint training project, after SAHI tiling produces 640×640 crops of dense aerial scenes.</w:t>
      </w:r>
    </w:p>
    <w:p>
      <w:pPr>
        <w:pStyle w:val="Normal"/>
        <w:spacing w:before="80" w:after="0"/>
        <w:rPr/>
      </w:pPr>
      <w:r>
        <w:rPr/>
      </w:r>
    </w:p>
    <w:p>
      <w:pPr>
        <w:pStyle w:val="Normal"/>
        <w:spacing w:before="80" w:after="80"/>
        <w:ind w:start="180"/>
        <w:jc w:val="both"/>
        <w:rPr/>
      </w:pPr>
      <w:r>
        <w:rPr>
          <w:rFonts w:eastAsia="Arial" w:cs="Arial"/>
          <w:color w:val="1A1A2E"/>
          <w:sz w:val="21"/>
          <w:szCs w:val="21"/>
        </w:rPr>
        <w:t>At these scales, a 12-pixel vehicle from 500m altitude projects to a 0.75-pixel feature map cell at backbone stride 16 — effectively a single noisy activation with no spatial structure for the regression head to work with.</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1.2  Why IoU Fails for Tiny Objects</w:t>
      </w:r>
    </w:p>
    <w:p>
      <w:pPr>
        <w:pStyle w:val="Normal"/>
        <w:spacing w:before="80" w:after="80"/>
        <w:ind w:start="180"/>
        <w:jc w:val="both"/>
        <w:rPr/>
      </w:pPr>
      <w:r>
        <w:rPr>
          <w:rFonts w:eastAsia="Arial" w:cs="Arial"/>
          <w:color w:val="1A1A2E"/>
          <w:sz w:val="21"/>
          <w:szCs w:val="21"/>
        </w:rPr>
        <w:t>The Intersection-over-Union (IoU) metric — and all IoU variants (GIoU, DIoU, CIoU) — share a critical weakness at small scales: the gradient of IoU with respect to box coordinates becomes uninformative or zero whenever the predicted and ground-truth boxes do not overlap.</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IoU(P, G)  =  Area(P ∩ G) / Area(P ∪ G)</w:t>
      </w:r>
    </w:p>
    <w:p>
      <w:pPr>
        <w:pStyle w:val="Normal"/>
        <w:spacing w:before="80" w:after="0"/>
        <w:rPr/>
      </w:pPr>
      <w:r>
        <w:rPr/>
      </w:r>
    </w:p>
    <w:p>
      <w:pPr>
        <w:pStyle w:val="Normal"/>
        <w:spacing w:before="80" w:after="80"/>
        <w:ind w:start="180"/>
        <w:jc w:val="both"/>
        <w:rPr/>
      </w:pPr>
      <w:r>
        <w:rPr>
          <w:rFonts w:eastAsia="Arial" w:cs="Arial"/>
          <w:color w:val="1A1A2E"/>
          <w:sz w:val="21"/>
          <w:szCs w:val="21"/>
        </w:rPr>
        <w:t>For a tiny 8×8 pixel object, any predicted box displaced by more than 8 pixels in any direction produces IoU = 0 and therefore ∂(IoU)/∂(prediction) = 0. Training stalls because the loss surface is flat everywhere except in the tiny region of overlap.</w:t>
      </w:r>
    </w:p>
    <w:p>
      <w:pPr>
        <w:pStyle w:val="Normal"/>
        <w:spacing w:before="80" w:after="0"/>
        <w:rPr/>
      </w:pPr>
      <w:r>
        <w:rPr/>
      </w:r>
    </w:p>
    <w:tbl>
      <w:tblPr>
        <w:tblW w:w="10760" w:type="dxa"/>
        <w:jc w:val="start"/>
        <w:tblInd w:w="0" w:type="dxa"/>
        <w:tblLayout w:type="fixed"/>
        <w:tblCellMar>
          <w:top w:w="90" w:type="dxa"/>
          <w:start w:w="140" w:type="dxa"/>
          <w:bottom w:w="90" w:type="dxa"/>
          <w:end w:w="140" w:type="dxa"/>
        </w:tblCellMar>
      </w:tblPr>
      <w:tblGrid>
        <w:gridCol w:w="2399"/>
        <w:gridCol w:w="2000"/>
        <w:gridCol w:w="2001"/>
        <w:gridCol w:w="1199"/>
        <w:gridCol w:w="1600"/>
        <w:gridCol w:w="1561"/>
      </w:tblGrid>
      <w:tr>
        <w:trPr>
          <w:tblHeader w:val="true"/>
        </w:trPr>
        <w:tc>
          <w:tcPr>
            <w:tcW w:w="23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Scenario</w:t>
            </w:r>
          </w:p>
        </w:tc>
        <w:tc>
          <w:tcPr>
            <w:tcW w:w="20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Box A</w:t>
            </w:r>
          </w:p>
        </w:tc>
        <w:tc>
          <w:tcPr>
            <w:tcW w:w="20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Box B</w:t>
            </w:r>
          </w:p>
        </w:tc>
        <w:tc>
          <w:tcPr>
            <w:tcW w:w="11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IoU</w:t>
            </w:r>
          </w:p>
        </w:tc>
        <w:tc>
          <w:tcPr>
            <w:tcW w:w="16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Gradient</w:t>
            </w:r>
          </w:p>
        </w:tc>
        <w:tc>
          <w:tcPr>
            <w:tcW w:w="15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Problem?</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Large objects (40×40 px)</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(100,100,40,40)</w:t>
            </w:r>
          </w:p>
        </w:tc>
        <w:tc>
          <w:tcPr>
            <w:tcW w:w="20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(104,102,40,40)</w:t>
            </w:r>
          </w:p>
        </w:tc>
        <w:tc>
          <w:tcPr>
            <w:tcW w:w="11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 xml:space="preserve">≈ </w:t>
            </w:r>
            <w:r>
              <w:rPr>
                <w:rFonts w:eastAsia="Arial" w:cs="Arial"/>
                <w:b w:val="false"/>
                <w:bCs w:val="false"/>
                <w:color w:val="1A1A2E"/>
                <w:sz w:val="19"/>
                <w:szCs w:val="19"/>
              </w:rPr>
              <w:t>0.74</w:t>
            </w:r>
          </w:p>
        </w:tc>
        <w:tc>
          <w:tcPr>
            <w:tcW w:w="1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Strong, informative</w:t>
            </w:r>
          </w:p>
        </w:tc>
        <w:tc>
          <w:tcPr>
            <w:tcW w:w="15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 problem</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Tiny objects (8×8 px)</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(100,100,8,8)</w:t>
            </w:r>
          </w:p>
        </w:tc>
        <w:tc>
          <w:tcPr>
            <w:tcW w:w="20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(104,102,8,8)</w:t>
            </w:r>
          </w:p>
        </w:tc>
        <w:tc>
          <w:tcPr>
            <w:tcW w:w="11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0.0</w:t>
            </w:r>
          </w:p>
        </w:tc>
        <w:tc>
          <w:tcPr>
            <w:tcW w:w="1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Zero — stalled</w:t>
            </w:r>
          </w:p>
        </w:tc>
        <w:tc>
          <w:tcPr>
            <w:tcW w:w="15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CRITICAL BUG</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Tiny, touching</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(100,100,8,8)</w:t>
            </w:r>
          </w:p>
        </w:tc>
        <w:tc>
          <w:tcPr>
            <w:tcW w:w="20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(108,100,8,8)</w:t>
            </w:r>
          </w:p>
        </w:tc>
        <w:tc>
          <w:tcPr>
            <w:tcW w:w="11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w:t>
            </w:r>
          </w:p>
        </w:tc>
        <w:tc>
          <w:tcPr>
            <w:tcW w:w="1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Zero — stalled</w:t>
            </w:r>
          </w:p>
        </w:tc>
        <w:tc>
          <w:tcPr>
            <w:tcW w:w="15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Still broken</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Tiny, shifted 1 px</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(100,100,8,8)</w:t>
            </w:r>
          </w:p>
        </w:tc>
        <w:tc>
          <w:tcPr>
            <w:tcW w:w="20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(101,100,8,8)</w:t>
            </w:r>
          </w:p>
        </w:tc>
        <w:tc>
          <w:tcPr>
            <w:tcW w:w="11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 xml:space="preserve">≈ </w:t>
            </w:r>
            <w:r>
              <w:rPr>
                <w:rFonts w:eastAsia="Arial" w:cs="Arial"/>
                <w:b w:val="false"/>
                <w:bCs w:val="false"/>
                <w:color w:val="1A1A2E"/>
                <w:sz w:val="19"/>
                <w:szCs w:val="19"/>
              </w:rPr>
              <w:t>0.42</w:t>
            </w:r>
          </w:p>
        </w:tc>
        <w:tc>
          <w:tcPr>
            <w:tcW w:w="1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Modest</w:t>
            </w:r>
          </w:p>
        </w:tc>
        <w:tc>
          <w:tcPr>
            <w:tcW w:w="15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Works — barely</w:t>
            </w:r>
          </w:p>
        </w:tc>
      </w:tr>
    </w:tbl>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A93226"/>
              <w:start w:val="single" w:sz="2" w:space="0" w:color="A93226"/>
              <w:bottom w:val="single" w:sz="2" w:space="0" w:color="A93226"/>
              <w:end w:val="single" w:sz="2" w:space="0" w:color="A93226"/>
            </w:tcBorders>
            <w:shd w:fill="A93226" w:val="clear"/>
            <w:vAlign w:val="center"/>
          </w:tcPr>
          <w:p>
            <w:pPr>
              <w:pStyle w:val="Normal"/>
              <w:jc w:val="center"/>
              <w:rPr/>
            </w:pPr>
            <w:r>
              <w:rPr>
                <w:rFonts w:eastAsia="Arial" w:cs="Arial"/>
                <w:b/>
                <w:bCs/>
                <w:color w:val="FFFFFF"/>
                <w:sz w:val="26"/>
                <w:szCs w:val="26"/>
              </w:rPr>
              <w:t>✗</w:t>
            </w:r>
          </w:p>
        </w:tc>
        <w:tc>
          <w:tcPr>
            <w:tcW w:w="9040" w:type="dxa"/>
            <w:tcBorders>
              <w:top w:val="single" w:sz="2" w:space="0" w:color="A93226"/>
              <w:start w:val="single" w:sz="2" w:space="0" w:color="A93226"/>
              <w:bottom w:val="single" w:sz="2" w:space="0" w:color="A93226"/>
              <w:end w:val="single" w:sz="2" w:space="0" w:color="A93226"/>
            </w:tcBorders>
            <w:shd w:fill="FDECEA" w:val="clear"/>
            <w:tcMar>
              <w:top w:w="100" w:type="dxa"/>
              <w:start w:w="160" w:type="dxa"/>
              <w:bottom w:w="100" w:type="dxa"/>
              <w:end w:w="160" w:type="dxa"/>
            </w:tcMar>
          </w:tcPr>
          <w:p>
            <w:pPr>
              <w:pStyle w:val="Normal"/>
              <w:spacing w:before="0" w:after="50"/>
              <w:rPr/>
            </w:pPr>
            <w:r>
              <w:rPr>
                <w:rFonts w:eastAsia="Arial" w:cs="Arial"/>
                <w:b/>
                <w:bCs/>
                <w:color w:val="A93226"/>
                <w:sz w:val="21"/>
                <w:szCs w:val="21"/>
              </w:rPr>
              <w:t>The IoU Zero-Gradient Zone</w:t>
            </w:r>
          </w:p>
          <w:p>
            <w:pPr>
              <w:pStyle w:val="Normal"/>
              <w:spacing w:before="0" w:after="0"/>
              <w:rPr/>
            </w:pPr>
            <w:r>
              <w:rPr>
                <w:rFonts w:eastAsia="Arial" w:cs="Arial"/>
                <w:color w:val="1A1A2E"/>
                <w:sz w:val="20"/>
                <w:szCs w:val="20"/>
              </w:rPr>
              <w:t>For a tiny object of width w pixels, any prediction displaced by more than w pixels from ground truth produces IoU = 0. Since early training epochs produce random predictions far from targets, the gradient is zero for the majority of the training iterations on tiny objects — making it nearly impossible for the model to learn to localise them from scratch.</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1.3  Why GIoU, DIoU, and CIoU Don't Fully Fix It</w:t>
      </w:r>
    </w:p>
    <w:p>
      <w:pPr>
        <w:pStyle w:val="Normal"/>
        <w:spacing w:before="80" w:after="80"/>
        <w:ind w:start="180"/>
        <w:jc w:val="both"/>
        <w:rPr/>
      </w:pPr>
      <w:r>
        <w:rPr>
          <w:rFonts w:eastAsia="Arial" w:cs="Arial"/>
          <w:color w:val="1A1A2E"/>
          <w:sz w:val="21"/>
          <w:szCs w:val="21"/>
        </w:rPr>
        <w:t>GIoU (Generalised IoU) introduced a penalty term for the enclosing box to provide gradients even at IoU = 0:</w:t>
      </w:r>
    </w:p>
    <w:p>
      <w:pPr>
        <w:pStyle w:val="Normal"/>
        <w:spacing w:before="6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GIoU(P, G)  =  IoU  −  (Area(C) − Area(P ∪ G)) / Area(C)</w:t>
      </w:r>
    </w:p>
    <w:p>
      <w:pPr>
        <w:pStyle w:val="Normal"/>
        <w:spacing w:before="60" w:after="0"/>
        <w:rPr/>
      </w:pPr>
      <w:r>
        <w:rPr/>
      </w:r>
    </w:p>
    <w:p>
      <w:pPr>
        <w:pStyle w:val="Normal"/>
        <w:spacing w:before="80" w:after="80"/>
        <w:ind w:start="180"/>
        <w:jc w:val="both"/>
        <w:rPr/>
      </w:pPr>
      <w:r>
        <w:rPr>
          <w:rFonts w:eastAsia="Arial" w:cs="Arial"/>
          <w:color w:val="1A1A2E"/>
          <w:sz w:val="21"/>
          <w:szCs w:val="21"/>
        </w:rPr>
        <w:t>where C is the smallest enclosing box. While GIoU provides non-zero gradients for non-overlapping boxes, it remains scale-blind: the penalty term is based on absolute area differences rather than object-relative distances. For a 4-pixel object, even a 1-pixel displacement represents a 25% relative error, but the GIoU penalty for that displacement is identical to the penalty for the same displacement on a 400-pixel object — making GIoU orders of magnitude less sensitive to the tiny-object case.</w:t>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1799"/>
        <w:gridCol w:w="2400"/>
        <w:gridCol w:w="1601"/>
        <w:gridCol w:w="1399"/>
        <w:gridCol w:w="2161"/>
      </w:tblGrid>
      <w:tr>
        <w:trPr>
          <w:tblHeader w:val="true"/>
        </w:trPr>
        <w:tc>
          <w:tcPr>
            <w:tcW w:w="17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Loss</w:t>
            </w:r>
          </w:p>
        </w:tc>
        <w:tc>
          <w:tcPr>
            <w:tcW w:w="24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Gradient at IoU=0</w:t>
            </w:r>
          </w:p>
        </w:tc>
        <w:tc>
          <w:tcPr>
            <w:tcW w:w="16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Scale-Aware</w:t>
            </w:r>
          </w:p>
        </w:tc>
        <w:tc>
          <w:tcPr>
            <w:tcW w:w="13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NaN-Free</w:t>
            </w:r>
          </w:p>
        </w:tc>
        <w:tc>
          <w:tcPr>
            <w:tcW w:w="21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Tiny Object Rank</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Zero — no learning</w:t>
            </w:r>
          </w:p>
        </w:tc>
        <w:tc>
          <w:tcPr>
            <w:tcW w:w="16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w:t>
            </w:r>
          </w:p>
        </w:tc>
        <w:tc>
          <w:tcPr>
            <w:tcW w:w="1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Yes</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Very Poor</w:t>
            </w:r>
          </w:p>
        </w:tc>
      </w:tr>
      <w:tr>
        <w:trPr/>
        <w:tc>
          <w:tcPr>
            <w:tcW w:w="1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GIoU</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Partial — some gradient</w:t>
            </w:r>
          </w:p>
        </w:tc>
        <w:tc>
          <w:tcPr>
            <w:tcW w:w="16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No</w:t>
            </w:r>
          </w:p>
        </w:tc>
        <w:tc>
          <w:tcPr>
            <w:tcW w:w="1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Yes</w:t>
            </w:r>
          </w:p>
        </w:tc>
        <w:tc>
          <w:tcPr>
            <w:tcW w:w="21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Poor</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DIoU</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Partial</w:t>
            </w:r>
          </w:p>
        </w:tc>
        <w:tc>
          <w:tcPr>
            <w:tcW w:w="16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w:t>
            </w:r>
          </w:p>
        </w:tc>
        <w:tc>
          <w:tcPr>
            <w:tcW w:w="1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Yes</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Poor–Moderate</w:t>
            </w:r>
          </w:p>
        </w:tc>
      </w:tr>
      <w:tr>
        <w:trPr/>
        <w:tc>
          <w:tcPr>
            <w:tcW w:w="1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CIoU</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Partial</w:t>
            </w:r>
          </w:p>
        </w:tc>
        <w:tc>
          <w:tcPr>
            <w:tcW w:w="16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No</w:t>
            </w:r>
          </w:p>
        </w:tc>
        <w:tc>
          <w:tcPr>
            <w:tcW w:w="1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Yes</w:t>
            </w:r>
          </w:p>
        </w:tc>
        <w:tc>
          <w:tcPr>
            <w:tcW w:w="21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Moderate</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Always non-zero</w:t>
            </w:r>
          </w:p>
        </w:tc>
        <w:tc>
          <w:tcPr>
            <w:tcW w:w="16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Yes</w:t>
            </w:r>
          </w:p>
        </w:tc>
        <w:tc>
          <w:tcPr>
            <w:tcW w:w="1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Yes</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Excellent</w:t>
            </w:r>
          </w:p>
        </w:tc>
      </w:tr>
    </w:tbl>
    <w:p>
      <w:pPr>
        <w:pStyle w:val="Normal"/>
        <w:spacing w:before="120" w:after="0"/>
        <w:rPr/>
      </w:pPr>
      <w:r>
        <w:rPr/>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400800" cy="42672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400800" cy="4267200"/>
                    </a:xfrm>
                    <a:prstGeom prst="rect">
                      <a:avLst/>
                    </a:prstGeom>
                    <a:noFill/>
                  </pic:spPr>
                </pic:pic>
              </a:graphicData>
            </a:graphic>
          </wp:anchor>
        </w:drawing>
      </w:r>
      <w:r>
        <w:br w:type="page"/>
      </w:r>
    </w:p>
    <w:p>
      <w:pPr>
        <w:pStyle w:val="Normal"/>
        <w:shd w:val="clear" w:fill="1B2A4A"/>
        <w:spacing w:before="0" w:after="160"/>
        <w:ind w:start="180" w:end="180"/>
        <w:rPr/>
      </w:pPr>
      <w:r>
        <w:rPr>
          <w:rFonts w:eastAsia="Arial" w:cs="Arial"/>
          <w:b/>
          <w:bCs/>
          <w:color w:val="FFFFFF"/>
          <w:sz w:val="28"/>
          <w:szCs w:val="28"/>
        </w:rPr>
        <w:t>2.  NWD — FORMAL MATHEMATICAL DEFINITION</w:t>
      </w:r>
    </w:p>
    <w:p>
      <w:pPr>
        <w:pStyle w:val="Normal"/>
        <w:spacing w:before="80" w:after="0"/>
        <w:rPr/>
      </w:pPr>
      <w:r>
        <w:rPr/>
      </w:r>
    </w:p>
    <w:p>
      <w:pPr>
        <w:pStyle w:val="Normal"/>
        <w:spacing w:before="80" w:after="80"/>
        <w:ind w:start="180"/>
        <w:jc w:val="both"/>
        <w:rPr/>
      </w:pPr>
      <w:r>
        <w:rPr>
          <w:rFonts w:eastAsia="Arial" w:cs="Arial"/>
          <w:color w:val="1A1A2E"/>
          <w:sz w:val="21"/>
          <w:szCs w:val="21"/>
        </w:rPr>
        <w:t>The Normalized Wasserstein Distance loss was introduced in the paper 'A Normalized Gaussian Wasserstein Distance for Tiny Object Detection' (Wang et al., 2021). The core idea is to abandon the intersection-based representation of bounding boxes and instead model each box as a 2D Gaussian distribution in pixel space.</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2.1  Step 1 — Bounding Box as a 2D Gaussian</w:t>
      </w:r>
    </w:p>
    <w:p>
      <w:pPr>
        <w:pStyle w:val="Normal"/>
        <w:spacing w:before="80" w:after="80"/>
        <w:ind w:start="180"/>
        <w:jc w:val="both"/>
        <w:rPr/>
      </w:pPr>
      <w:r>
        <w:rPr>
          <w:rFonts w:eastAsia="Arial" w:cs="Arial"/>
          <w:color w:val="1A1A2E"/>
          <w:sz w:val="21"/>
          <w:szCs w:val="21"/>
        </w:rPr>
        <w:t>Each bounding box B = (cx, cy, w, h) — where (cx, cy) is the box centre and (w, h) are the width and height — is mapped to a 2D Gaussian distribution:</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B  →  N(μ, Σ)</w:t>
      </w:r>
    </w:p>
    <w:p>
      <w:pPr>
        <w:pStyle w:val="Normal"/>
        <w:spacing w:before="60" w:after="0"/>
        <w:rPr/>
      </w:pPr>
      <w:r>
        <w:rPr/>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μ  =  (cₓ, cᵧ)</w:t>
      </w:r>
      <w:r>
        <w:rPr>
          <w:rFonts w:eastAsia="Courier New" w:cs="Courier New" w:ascii="Courier New" w:hAnsi="Courier New"/>
          <w:i/>
          <w:iCs/>
          <w:color w:val="445566"/>
          <w:sz w:val="18"/>
          <w:szCs w:val="18"/>
        </w:rPr>
        <w:t xml:space="preserve">   // Centre coordinates = Gaussian mean</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σₓ  =  w / 2</w:t>
      </w:r>
      <w:r>
        <w:rPr>
          <w:rFonts w:eastAsia="Courier New" w:cs="Courier New" w:ascii="Courier New" w:hAnsi="Courier New"/>
          <w:i/>
          <w:iCs/>
          <w:color w:val="445566"/>
          <w:sz w:val="18"/>
          <w:szCs w:val="18"/>
        </w:rPr>
        <w:t xml:space="preserve">   // Half-width = x standard deviation</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σᵧ  =  h / 2</w:t>
      </w:r>
      <w:r>
        <w:rPr>
          <w:rFonts w:eastAsia="Courier New" w:cs="Courier New" w:ascii="Courier New" w:hAnsi="Courier New"/>
          <w:i/>
          <w:iCs/>
          <w:color w:val="445566"/>
          <w:sz w:val="18"/>
          <w:szCs w:val="18"/>
        </w:rPr>
        <w:t xml:space="preserve">   // Half-height = y standard deviation</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Σ  =  diag(σₓ², σᵧ²)</w:t>
      </w:r>
      <w:r>
        <w:rPr>
          <w:rFonts w:eastAsia="Courier New" w:cs="Courier New" w:ascii="Courier New" w:hAnsi="Courier New"/>
          <w:i/>
          <w:iCs/>
          <w:color w:val="445566"/>
          <w:sz w:val="18"/>
          <w:szCs w:val="18"/>
        </w:rPr>
        <w:t xml:space="preserve">   // Diagonal covariance (axis-aligned Gaussian)</w:t>
      </w:r>
    </w:p>
    <w:p>
      <w:pPr>
        <w:pStyle w:val="Normal"/>
        <w:spacing w:before="80" w:after="0"/>
        <w:rPr/>
      </w:pPr>
      <w:r>
        <w:rPr/>
      </w:r>
    </w:p>
    <w:p>
      <w:pPr>
        <w:pStyle w:val="Normal"/>
        <w:spacing w:before="80" w:after="80"/>
        <w:ind w:start="180"/>
        <w:jc w:val="both"/>
        <w:rPr/>
      </w:pPr>
      <w:r>
        <w:rPr>
          <w:rFonts w:eastAsia="Arial" w:cs="Arial"/>
          <w:color w:val="1A1A2E"/>
          <w:sz w:val="21"/>
          <w:szCs w:val="21"/>
        </w:rPr>
        <w:t>This mapping has deep geometric meaning: the Gaussian distribution N(μ, Σ) places most of its probability mass inside the bounding box, with the highest density at the box centre. Two boxes that are geometrically similar produce statistically similar Gaussians, and the Wasserstein distance between those Gaussians provides a principled measure of box dissimilarity.</w:t>
      </w:r>
    </w:p>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1A6FA8"/>
              <w:start w:val="single" w:sz="2" w:space="0" w:color="1A6FA8"/>
              <w:bottom w:val="single" w:sz="2" w:space="0" w:color="1A6FA8"/>
              <w:end w:val="single" w:sz="2" w:space="0" w:color="1A6FA8"/>
            </w:tcBorders>
            <w:shd w:fill="1A6FA8" w:val="clear"/>
            <w:vAlign w:val="center"/>
          </w:tcPr>
          <w:p>
            <w:pPr>
              <w:pStyle w:val="Normal"/>
              <w:jc w:val="center"/>
              <w:rPr/>
            </w:pPr>
            <w:r>
              <w:rPr>
                <w:rFonts w:eastAsia="Arial" w:cs="Arial"/>
                <w:b/>
                <w:bCs/>
                <w:color w:val="FFFFFF"/>
                <w:sz w:val="26"/>
                <w:szCs w:val="26"/>
              </w:rPr>
              <w:t>ℹ</w:t>
            </w:r>
          </w:p>
        </w:tc>
        <w:tc>
          <w:tcPr>
            <w:tcW w:w="9040" w:type="dxa"/>
            <w:tcBorders>
              <w:top w:val="single" w:sz="2" w:space="0" w:color="1A6FA8"/>
              <w:start w:val="single" w:sz="2" w:space="0" w:color="1A6FA8"/>
              <w:bottom w:val="single" w:sz="2" w:space="0" w:color="1A6FA8"/>
              <w:end w:val="single" w:sz="2" w:space="0" w:color="1A6FA8"/>
            </w:tcBorders>
            <w:shd w:fill="D6E4F7" w:val="clear"/>
            <w:tcMar>
              <w:top w:w="100" w:type="dxa"/>
              <w:start w:w="160" w:type="dxa"/>
              <w:bottom w:w="100" w:type="dxa"/>
              <w:end w:w="160" w:type="dxa"/>
            </w:tcMar>
          </w:tcPr>
          <w:p>
            <w:pPr>
              <w:pStyle w:val="Normal"/>
              <w:spacing w:before="0" w:after="50"/>
              <w:rPr/>
            </w:pPr>
            <w:r>
              <w:rPr>
                <w:rFonts w:eastAsia="Arial" w:cs="Arial"/>
                <w:b/>
                <w:bCs/>
                <w:color w:val="1A6FA8"/>
                <w:sz w:val="21"/>
                <w:szCs w:val="21"/>
              </w:rPr>
              <w:t>Why Gaussian? The Key Intuition</w:t>
            </w:r>
          </w:p>
          <w:p>
            <w:pPr>
              <w:pStyle w:val="Normal"/>
              <w:spacing w:before="0" w:after="0"/>
              <w:rPr/>
            </w:pPr>
            <w:r>
              <w:rPr>
                <w:rFonts w:eastAsia="Arial" w:cs="Arial"/>
                <w:color w:val="1A1A2E"/>
                <w:sz w:val="20"/>
                <w:szCs w:val="20"/>
              </w:rPr>
              <w:t>A bounding box can be thought of as a 'soft region' — the target is most likely at the centre and gradually less likely toward the edges. Modelling this as a Gaussian converts the discrete geometric overlap problem (IoU) into a continuous statistical distance problem (Wasserstein). This allows distance to be measured even when boxes don't overlap, and that distance naturally scales with object size because σ = w/2 embeds object dimensions into the metric.</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2.2  Step 2 — Wasserstein-2 Distance Between Box Gaussians</w:t>
      </w:r>
    </w:p>
    <w:p>
      <w:pPr>
        <w:pStyle w:val="Normal"/>
        <w:spacing w:before="80" w:after="80"/>
        <w:ind w:start="180"/>
        <w:jc w:val="both"/>
        <w:rPr/>
      </w:pPr>
      <w:r>
        <w:rPr>
          <w:rFonts w:eastAsia="Arial" w:cs="Arial"/>
          <w:color w:val="1A1A2E"/>
          <w:sz w:val="21"/>
          <w:szCs w:val="21"/>
        </w:rPr>
        <w:t>Given two boxes P (predicted) and G (ground truth) represented as Gaussians N(μ_P, Σ_P) and N(μ_G, Σ_G), the Wasserstein-2 distance (also known as the Earth Mover's Distance for Gaussian distributions) has a closed-form solution:</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W₂²(P, G)  =  ‖μ_P − μ_G‖²  +  ‖σ_P − σ_G‖²</w:t>
      </w:r>
    </w:p>
    <w:p>
      <w:pPr>
        <w:pStyle w:val="Normal"/>
        <w:spacing w:before="60" w:after="0"/>
        <w:rPr/>
      </w:pPr>
      <w:r>
        <w:rPr/>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 xml:space="preserve">         </w:t>
      </w:r>
      <w:r>
        <w:rPr>
          <w:rFonts w:eastAsia="Courier New" w:cs="Courier New" w:ascii="Courier New" w:hAnsi="Courier New"/>
          <w:b/>
          <w:bCs/>
          <w:color w:val="1B2A4A"/>
          <w:sz w:val="22"/>
          <w:szCs w:val="22"/>
        </w:rPr>
        <w:t>=  (cₓᴾ−cₓᴳ)²  +  (cᵧᴾ−cᵧᴳ)²  +  (σₓᴾ−σₓᴳ)²  +  (σᵧᴾ−σᵧᴳ)²</w:t>
      </w:r>
    </w:p>
    <w:p>
      <w:pPr>
        <w:pStyle w:val="Normal"/>
        <w:spacing w:before="60" w:after="0"/>
        <w:rPr/>
      </w:pPr>
      <w:r>
        <w:rPr/>
      </w:r>
    </w:p>
    <w:p>
      <w:pPr>
        <w:pStyle w:val="Normal"/>
        <w:spacing w:before="80" w:after="80"/>
        <w:ind w:start="180"/>
        <w:jc w:val="both"/>
        <w:rPr/>
      </w:pPr>
      <w:r>
        <w:rPr>
          <w:rFonts w:eastAsia="Arial" w:cs="Arial"/>
          <w:color w:val="1A1A2E"/>
          <w:sz w:val="21"/>
          <w:szCs w:val="21"/>
        </w:rPr>
        <w:t>Expanding with σ = (w/2, h/2):</w:t>
      </w:r>
    </w:p>
    <w:p>
      <w:pPr>
        <w:pStyle w:val="Normal"/>
        <w:spacing w:before="60" w:after="0"/>
        <w:rPr/>
      </w:pPr>
      <w:r>
        <w:rPr/>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  =  (cₓᴾ−cₓᴳ)²  +  (cᵧᴾ−cᵧᴳ)²  +  (wᴾ/2−wᴳ/2)²  +  (hᴾ/2−hᴳ/2)²</w:t>
      </w:r>
    </w:p>
    <w:p>
      <w:pPr>
        <w:pStyle w:val="Normal"/>
        <w:spacing w:before="60" w:after="0"/>
        <w:rPr/>
      </w:pPr>
      <w:r>
        <w:rPr/>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   =  √( W₂² + ε )</w:t>
      </w:r>
      <w:r>
        <w:rPr>
          <w:rFonts w:eastAsia="Courier New" w:cs="Courier New" w:ascii="Courier New" w:hAnsi="Courier New"/>
          <w:i/>
          <w:iCs/>
          <w:color w:val="445566"/>
          <w:sz w:val="18"/>
          <w:szCs w:val="18"/>
        </w:rPr>
        <w:t xml:space="preserve">   // ε = 1e-7 for numerical stability</w:t>
      </w:r>
    </w:p>
    <w:p>
      <w:pPr>
        <w:pStyle w:val="Normal"/>
        <w:spacing w:before="80" w:after="0"/>
        <w:rPr/>
      </w:pPr>
      <w:r>
        <w:rPr/>
      </w:r>
    </w:p>
    <w:p>
      <w:pPr>
        <w:pStyle w:val="Normal"/>
        <w:spacing w:before="80" w:after="80"/>
        <w:ind w:start="180"/>
        <w:jc w:val="both"/>
        <w:rPr/>
      </w:pPr>
      <w:r>
        <w:rPr>
          <w:rFonts w:eastAsia="Arial" w:cs="Arial"/>
          <w:color w:val="1A1A2E"/>
          <w:sz w:val="21"/>
          <w:szCs w:val="21"/>
        </w:rPr>
        <w:t>The Wasserstein-2 distance has four component terms, each with a clear geometric interpretation:</w:t>
      </w:r>
    </w:p>
    <w:p>
      <w:pPr>
        <w:pStyle w:val="Normal"/>
        <w:spacing w:before="60" w:after="0"/>
        <w:rPr/>
      </w:pPr>
      <w:r>
        <w:rPr/>
      </w:r>
    </w:p>
    <w:tbl>
      <w:tblPr>
        <w:tblW w:w="9360" w:type="dxa"/>
        <w:jc w:val="start"/>
        <w:tblInd w:w="0" w:type="dxa"/>
        <w:tblLayout w:type="fixed"/>
        <w:tblCellMar>
          <w:top w:w="90" w:type="dxa"/>
          <w:start w:w="140" w:type="dxa"/>
          <w:bottom w:w="90" w:type="dxa"/>
          <w:end w:w="140" w:type="dxa"/>
        </w:tblCellMar>
      </w:tblPr>
      <w:tblGrid>
        <w:gridCol w:w="2000"/>
        <w:gridCol w:w="2600"/>
        <w:gridCol w:w="2599"/>
        <w:gridCol w:w="2161"/>
      </w:tblGrid>
      <w:tr>
        <w:trPr>
          <w:tblHeader w:val="true"/>
        </w:trPr>
        <w:tc>
          <w:tcPr>
            <w:tcW w:w="20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Term</w:t>
            </w:r>
          </w:p>
        </w:tc>
        <w:tc>
          <w:tcPr>
            <w:tcW w:w="26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Formula</w:t>
            </w:r>
          </w:p>
        </w:tc>
        <w:tc>
          <w:tcPr>
            <w:tcW w:w="25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Measures</w:t>
            </w:r>
          </w:p>
        </w:tc>
        <w:tc>
          <w:tcPr>
            <w:tcW w:w="21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Zero when...</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Centre x error</w:t>
            </w:r>
          </w:p>
        </w:tc>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(cₓᴾ − cₓᴳ)²</w:t>
            </w:r>
          </w:p>
        </w:tc>
        <w:tc>
          <w:tcPr>
            <w:tcW w:w="2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Horizontal centre displacement</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Boxes aligned on x-axis</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Centre y error</w:t>
            </w:r>
          </w:p>
        </w:tc>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(cᵧᴾ − cᵧᴳ)²</w:t>
            </w:r>
          </w:p>
        </w:tc>
        <w:tc>
          <w:tcPr>
            <w:tcW w:w="2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Vertical centre displacement</w:t>
            </w:r>
          </w:p>
        </w:tc>
        <w:tc>
          <w:tcPr>
            <w:tcW w:w="21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Boxes aligned on y-axis</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Width error</w:t>
            </w:r>
          </w:p>
        </w:tc>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((wᴾ − wᴳ)/2)²</w:t>
            </w:r>
          </w:p>
        </w:tc>
        <w:tc>
          <w:tcPr>
            <w:tcW w:w="2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Width mismatch (half-width diff)</w:t>
            </w:r>
          </w:p>
        </w:tc>
        <w:tc>
          <w:tcPr>
            <w:tcW w:w="21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Boxes have same width</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Height error</w:t>
            </w:r>
          </w:p>
        </w:tc>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((hᴾ − hᴳ)/2)²</w:t>
            </w:r>
          </w:p>
        </w:tc>
        <w:tc>
          <w:tcPr>
            <w:tcW w:w="2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Height mismatch (half-height)</w:t>
            </w:r>
          </w:p>
        </w:tc>
        <w:tc>
          <w:tcPr>
            <w:tcW w:w="21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Boxes have same height</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2.3  Step 3 — Normalization to [0, 1] Similarity Score</w:t>
      </w:r>
    </w:p>
    <w:p>
      <w:pPr>
        <w:pStyle w:val="Normal"/>
        <w:spacing w:before="80" w:after="80"/>
        <w:ind w:start="180"/>
        <w:jc w:val="both"/>
        <w:rPr/>
      </w:pPr>
      <w:r>
        <w:rPr>
          <w:rFonts w:eastAsia="Arial" w:cs="Arial"/>
          <w:color w:val="1A1A2E"/>
          <w:sz w:val="21"/>
          <w:szCs w:val="21"/>
        </w:rPr>
        <w:t>The raw W₂ distance is unbounded (ranges from 0 to ∞) and depends on the absolute scale of the image and objects. To produce a loss that is bounded, scale-normalised, and numerically stable, W₂ is mapped through a negative exponential with a dataset-calibrated constant C:</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NWD(P, G)  =  exp( −W₂(P, G) / C )</w:t>
      </w:r>
    </w:p>
    <w:p>
      <w:pPr>
        <w:pStyle w:val="Normal"/>
        <w:spacing w:before="80" w:after="0"/>
        <w:rPr/>
      </w:pPr>
      <w:r>
        <w:rPr/>
      </w:r>
    </w:p>
    <w:p>
      <w:pPr>
        <w:pStyle w:val="Normal"/>
        <w:spacing w:before="80" w:after="80"/>
        <w:ind w:start="180"/>
        <w:jc w:val="both"/>
        <w:rPr/>
      </w:pPr>
      <w:r>
        <w:rPr>
          <w:rFonts w:eastAsia="Arial" w:cs="Arial"/>
          <w:color w:val="1A1A2E"/>
          <w:sz w:val="21"/>
          <w:szCs w:val="21"/>
        </w:rPr>
        <w:t>The properties of this mapping are:</w:t>
      </w:r>
    </w:p>
    <w:p>
      <w:pPr>
        <w:pStyle w:val="Normal"/>
        <w:spacing w:before="60" w:after="0"/>
        <w:rPr/>
      </w:pPr>
      <w:r>
        <w:rPr/>
      </w:r>
    </w:p>
    <w:p>
      <w:pPr>
        <w:pStyle w:val="ListParagraph"/>
        <w:numPr>
          <w:ilvl w:val="0"/>
          <w:numId w:val="1"/>
        </w:numPr>
        <w:spacing w:before="55" w:after="55"/>
        <w:rPr/>
      </w:pPr>
      <w:r>
        <w:rPr>
          <w:rFonts w:eastAsia="Arial" w:cs="Arial"/>
          <w:b/>
          <w:bCs/>
          <w:color w:val="1A6FA8"/>
          <w:sz w:val="21"/>
          <w:szCs w:val="21"/>
        </w:rPr>
        <w:t xml:space="preserve">W₂ = 0: </w:t>
      </w:r>
      <w:r>
        <w:rPr>
          <w:rFonts w:eastAsia="Arial" w:cs="Arial"/>
          <w:color w:val="1A1A2E"/>
          <w:sz w:val="21"/>
          <w:szCs w:val="21"/>
        </w:rPr>
        <w:t>When P = G (perfect prediction): W₂ = 0, NWD = exp(0) = 1.0. Maximum similarity.</w:t>
      </w:r>
    </w:p>
    <w:p>
      <w:pPr>
        <w:pStyle w:val="ListParagraph"/>
        <w:numPr>
          <w:ilvl w:val="0"/>
          <w:numId w:val="1"/>
        </w:numPr>
        <w:spacing w:before="55" w:after="55"/>
        <w:rPr/>
      </w:pPr>
      <w:r>
        <w:rPr>
          <w:rFonts w:eastAsia="Arial" w:cs="Arial"/>
          <w:b/>
          <w:bCs/>
          <w:color w:val="1A6FA8"/>
          <w:sz w:val="21"/>
          <w:szCs w:val="21"/>
        </w:rPr>
        <w:t xml:space="preserve">W₂ = C: </w:t>
      </w:r>
      <w:r>
        <w:rPr>
          <w:rFonts w:eastAsia="Arial" w:cs="Arial"/>
          <w:color w:val="1A1A2E"/>
          <w:sz w:val="21"/>
          <w:szCs w:val="21"/>
        </w:rPr>
        <w:t>When P and G share the same centre but differ in size by one object-width: W₂ ≈ C, NWD = exp(−1) ≈ 0.37. Significant penalty.</w:t>
      </w:r>
    </w:p>
    <w:p>
      <w:pPr>
        <w:pStyle w:val="ListParagraph"/>
        <w:numPr>
          <w:ilvl w:val="0"/>
          <w:numId w:val="1"/>
        </w:numPr>
        <w:spacing w:before="55" w:after="55"/>
        <w:rPr/>
      </w:pPr>
      <w:r>
        <w:rPr>
          <w:rFonts w:eastAsia="Arial" w:cs="Arial"/>
          <w:b/>
          <w:bCs/>
          <w:color w:val="1A6FA8"/>
          <w:sz w:val="21"/>
          <w:szCs w:val="21"/>
        </w:rPr>
        <w:t xml:space="preserve">W₂ &gt;&gt; C: </w:t>
      </w:r>
      <w:r>
        <w:rPr>
          <w:rFonts w:eastAsia="Arial" w:cs="Arial"/>
          <w:color w:val="1A1A2E"/>
          <w:sz w:val="21"/>
          <w:szCs w:val="21"/>
        </w:rPr>
        <w:t>When P and G are far apart: W₂ &gt;&gt; C, NWD → 0. Minimum similarity.</w:t>
      </w:r>
    </w:p>
    <w:p>
      <w:pPr>
        <w:pStyle w:val="ListParagraph"/>
        <w:numPr>
          <w:ilvl w:val="0"/>
          <w:numId w:val="1"/>
        </w:numPr>
        <w:spacing w:before="55" w:after="55"/>
        <w:rPr/>
      </w:pPr>
      <w:r>
        <w:rPr>
          <w:rFonts w:eastAsia="Arial" w:cs="Arial"/>
          <w:b/>
          <w:bCs/>
          <w:color w:val="1A6FA8"/>
          <w:sz w:val="21"/>
          <w:szCs w:val="21"/>
        </w:rPr>
        <w:t xml:space="preserve">Boundedness: </w:t>
      </w:r>
      <w:r>
        <w:rPr>
          <w:rFonts w:eastAsia="Arial" w:cs="Arial"/>
          <w:color w:val="1A1A2E"/>
          <w:sz w:val="21"/>
          <w:szCs w:val="21"/>
        </w:rPr>
        <w:t>NWD ∈ (0, 1] always — bounded, numerically safe, no log singularities.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2.4  Step 4 — Converting Similarity to Loss</w:t>
      </w:r>
    </w:p>
    <w:p>
      <w:pPr>
        <w:pStyle w:val="Normal"/>
        <w:spacing w:before="80" w:after="80"/>
        <w:ind w:start="180"/>
        <w:jc w:val="both"/>
        <w:rPr/>
      </w:pPr>
      <w:r>
        <w:rPr>
          <w:rFonts w:eastAsia="Arial" w:cs="Arial"/>
          <w:color w:val="1A1A2E"/>
          <w:sz w:val="21"/>
          <w:szCs w:val="21"/>
        </w:rPr>
        <w:t>NWD is a similarity score (1 = perfect match, 0 = no match). To use it as a loss (which should be minimised toward zero), it is inverted:</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L_NWD  =  1  −  NWD(P, G)  =  1  −  exp( −W₂(P, G) / C )</w:t>
      </w:r>
    </w:p>
    <w:p>
      <w:pPr>
        <w:pStyle w:val="Normal"/>
        <w:spacing w:before="80" w:after="0"/>
        <w:rPr/>
      </w:pPr>
      <w:r>
        <w:rPr/>
      </w:r>
    </w:p>
    <w:p>
      <w:pPr>
        <w:pStyle w:val="Normal"/>
        <w:spacing w:before="80" w:after="80"/>
        <w:ind w:start="180"/>
        <w:jc w:val="both"/>
        <w:rPr/>
      </w:pPr>
      <w:r>
        <w:rPr>
          <w:rFonts w:eastAsia="Arial" w:cs="Arial"/>
          <w:color w:val="1A1A2E"/>
          <w:sz w:val="21"/>
          <w:szCs w:val="21"/>
        </w:rPr>
        <w:t>For a batch of predicted boxes matched against ground-truth boxes (one-to-one matching via Hungarian algorithm), the NWD loss is computed as the mean over all matches:</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L_NWD  =  mean_j( 1  −  max_i( NWD(Pᵢ, Gⱼ) ) )</w:t>
      </w:r>
    </w:p>
    <w:p>
      <w:pPr>
        <w:pStyle w:val="Normal"/>
        <w:spacing w:before="60" w:after="0"/>
        <w:rPr/>
      </w:pPr>
      <w:r>
        <w:rPr/>
      </w:r>
    </w:p>
    <w:p>
      <w:pPr>
        <w:pStyle w:val="Normal"/>
        <w:spacing w:before="80" w:after="80"/>
        <w:ind w:start="180"/>
        <w:jc w:val="both"/>
        <w:rPr/>
      </w:pPr>
      <w:r>
        <w:rPr>
          <w:rFonts w:eastAsia="Arial" w:cs="Arial"/>
          <w:color w:val="1A1A2E"/>
          <w:sz w:val="21"/>
          <w:szCs w:val="21"/>
        </w:rPr>
        <w:t>where for each ground-truth box Gⱼ, the maximum NWD over all predictions is taken (best-match assignment), then averaged across all GT boxes.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2.5  The Normalisation Constant C — Physical Meaning</w:t>
      </w:r>
    </w:p>
    <w:p>
      <w:pPr>
        <w:pStyle w:val="Normal"/>
        <w:spacing w:before="80" w:after="80"/>
        <w:ind w:start="180"/>
        <w:jc w:val="both"/>
        <w:rPr/>
      </w:pPr>
      <w:r>
        <w:rPr>
          <w:rFonts w:eastAsia="Arial" w:cs="Arial"/>
          <w:color w:val="1A1A2E"/>
          <w:sz w:val="21"/>
          <w:szCs w:val="21"/>
        </w:rPr>
        <w:t>C is the most important hyperparameter in NWD and its value is not arbitrary. The physical interpretation is:</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C  ≈  mean object scale in the dataset</w:t>
      </w:r>
    </w:p>
    <w:p>
      <w:pPr>
        <w:pStyle w:val="Normal"/>
        <w:spacing w:before="60" w:after="0"/>
        <w:rPr/>
      </w:pPr>
      <w:r>
        <w:rPr/>
      </w:r>
    </w:p>
    <w:tbl>
      <w:tblPr>
        <w:tblW w:w="9360" w:type="dxa"/>
        <w:jc w:val="start"/>
        <w:tblInd w:w="0" w:type="dxa"/>
        <w:tblLayout w:type="fixed"/>
        <w:tblCellMar>
          <w:top w:w="90" w:type="dxa"/>
          <w:start w:w="140" w:type="dxa"/>
          <w:bottom w:w="90" w:type="dxa"/>
          <w:end w:w="140" w:type="dxa"/>
        </w:tblCellMar>
      </w:tblPr>
      <w:tblGrid>
        <w:gridCol w:w="1799"/>
        <w:gridCol w:w="1800"/>
        <w:gridCol w:w="1800"/>
        <w:gridCol w:w="3961"/>
      </w:tblGrid>
      <w:tr>
        <w:trPr>
          <w:tblHeader w:val="true"/>
        </w:trPr>
        <w:tc>
          <w:tcPr>
            <w:tcW w:w="17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Dataset</w:t>
            </w:r>
          </w:p>
        </w:tc>
        <w:tc>
          <w:tcPr>
            <w:tcW w:w="1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Mean Object Size</w:t>
            </w:r>
          </w:p>
        </w:tc>
        <w:tc>
          <w:tcPr>
            <w:tcW w:w="1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Recommended C</w:t>
            </w:r>
          </w:p>
        </w:tc>
        <w:tc>
          <w:tcPr>
            <w:tcW w:w="39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Interpretation</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AI-TOD</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~12.8 px</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12.8 px</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 mean-object-width displacement → NWD = 0.37</w:t>
            </w:r>
          </w:p>
        </w:tc>
      </w:tr>
      <w:tr>
        <w:trPr/>
        <w:tc>
          <w:tcPr>
            <w:tcW w:w="1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VisDrone</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~40 px</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~16 px</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Larger objects → larger C for same relative sensitivity</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COCO</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~80+ px</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~32 px</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General object detection — larger scale</w:t>
            </w:r>
          </w:p>
        </w:tc>
      </w:tr>
      <w:tr>
        <w:trPr/>
        <w:tc>
          <w:tcPr>
            <w:tcW w:w="1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Project</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12.8 px</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12.8 px</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Matches AI-TOD default; used for both VisDrone and AI-TOD</w:t>
            </w:r>
          </w:p>
        </w:tc>
      </w:tr>
    </w:tbl>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5B2C8C"/>
              <w:start w:val="single" w:sz="2" w:space="0" w:color="5B2C8C"/>
              <w:bottom w:val="single" w:sz="2" w:space="0" w:color="5B2C8C"/>
              <w:end w:val="single" w:sz="2" w:space="0" w:color="5B2C8C"/>
            </w:tcBorders>
            <w:shd w:fill="5B2C8C" w:val="clear"/>
            <w:vAlign w:val="center"/>
          </w:tcPr>
          <w:p>
            <w:pPr>
              <w:pStyle w:val="Normal"/>
              <w:jc w:val="center"/>
              <w:rPr/>
            </w:pPr>
            <w:r>
              <w:rPr>
                <w:rFonts w:eastAsia="Arial" w:cs="Arial"/>
                <w:b/>
                <w:bCs/>
                <w:color w:val="FFFFFF"/>
                <w:sz w:val="26"/>
                <w:szCs w:val="26"/>
              </w:rPr>
              <w:t>★</w:t>
            </w:r>
          </w:p>
        </w:tc>
        <w:tc>
          <w:tcPr>
            <w:tcW w:w="9040" w:type="dxa"/>
            <w:tcBorders>
              <w:top w:val="single" w:sz="2" w:space="0" w:color="5B2C8C"/>
              <w:start w:val="single" w:sz="2" w:space="0" w:color="5B2C8C"/>
              <w:bottom w:val="single" w:sz="2" w:space="0" w:color="5B2C8C"/>
              <w:end w:val="single" w:sz="2" w:space="0" w:color="5B2C8C"/>
            </w:tcBorders>
            <w:shd w:fill="EDE7F6" w:val="clear"/>
            <w:tcMar>
              <w:top w:w="100" w:type="dxa"/>
              <w:start w:w="160" w:type="dxa"/>
              <w:bottom w:w="100" w:type="dxa"/>
              <w:end w:w="160" w:type="dxa"/>
            </w:tcMar>
          </w:tcPr>
          <w:p>
            <w:pPr>
              <w:pStyle w:val="Normal"/>
              <w:spacing w:before="0" w:after="50"/>
              <w:rPr/>
            </w:pPr>
            <w:r>
              <w:rPr>
                <w:rFonts w:eastAsia="Arial" w:cs="Arial"/>
                <w:b/>
                <w:bCs/>
                <w:color w:val="5B2C8C"/>
                <w:sz w:val="21"/>
                <w:szCs w:val="21"/>
              </w:rPr>
              <w:t>Choosing C: The Golden Rule</w:t>
            </w:r>
          </w:p>
          <w:p>
            <w:pPr>
              <w:pStyle w:val="Normal"/>
              <w:spacing w:before="0" w:after="0"/>
              <w:rPr/>
            </w:pPr>
            <w:r>
              <w:rPr>
                <w:rFonts w:eastAsia="Arial" w:cs="Arial"/>
                <w:color w:val="1A1A2E"/>
                <w:sz w:val="20"/>
                <w:szCs w:val="20"/>
              </w:rPr>
              <w:t>Set C equal to the mean object scale (in pixels) of your dataset. This ensures that when a prediction is displaced by exactly one mean-object-width from the ground truth, the NWD = exp(−1) ≈ 0.37 — a consistent, dataset-independent severity level. In the project, C = 12.8 is used across both VisDrone and AI-TOD experiments for simplicity and consistency with the NWD loss used during training.</w:t>
            </w:r>
          </w:p>
        </w:tc>
      </w:tr>
    </w:tbl>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3.  INTUITION — WORKED NUMERICAL EXAMPLES</w:t>
      </w:r>
    </w:p>
    <w:p>
      <w:pPr>
        <w:pStyle w:val="Normal"/>
        <w:spacing w:before="80" w:after="0"/>
        <w:rPr/>
      </w:pPr>
      <w:r>
        <w:rPr/>
      </w:r>
    </w:p>
    <w:p>
      <w:pPr>
        <w:pStyle w:val="Normal"/>
        <w:spacing w:before="80" w:after="80"/>
        <w:ind w:start="180"/>
        <w:jc w:val="both"/>
        <w:rPr/>
      </w:pPr>
      <w:r>
        <w:rPr>
          <w:rFonts w:eastAsia="Arial" w:cs="Arial"/>
          <w:color w:val="1A1A2E"/>
          <w:sz w:val="21"/>
          <w:szCs w:val="21"/>
        </w:rPr>
        <w:t>The following worked examples illustrate the NWD computation step by step for concrete scenarios, demonstrating how NWD behaves differently from IoU across a range of detection situations.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3.1  Setup: All Boxes in (cx, cy, w, h) Format</w:t>
      </w:r>
    </w:p>
    <w:p>
      <w:pPr>
        <w:pStyle w:val="Normal"/>
        <w:spacing w:before="80" w:after="80"/>
        <w:ind w:start="180"/>
        <w:jc w:val="both"/>
        <w:rPr/>
      </w:pPr>
      <w:r>
        <w:rPr>
          <w:rFonts w:eastAsia="Arial" w:cs="Arial"/>
          <w:color w:val="1A1A2E"/>
          <w:sz w:val="21"/>
          <w:szCs w:val="21"/>
        </w:rPr>
        <w:t>Consider a ground-truth box G = (100, 100, 12, 12) — a 12×12 pixel object centered at (100, 100), representative of an AI-TOD vehicle. The following predictions are evaluated:</w:t>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800"/>
        <w:gridCol w:w="2400"/>
        <w:gridCol w:w="2799"/>
        <w:gridCol w:w="3361"/>
      </w:tblGrid>
      <w:tr>
        <w:trPr>
          <w:tblHeader w:val="true"/>
        </w:trPr>
        <w:tc>
          <w:tcPr>
            <w:tcW w:w="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Case</w:t>
            </w:r>
          </w:p>
        </w:tc>
        <w:tc>
          <w:tcPr>
            <w:tcW w:w="24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Prediction P</w:t>
            </w:r>
          </w:p>
        </w:tc>
        <w:tc>
          <w:tcPr>
            <w:tcW w:w="27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Description</w:t>
            </w:r>
          </w:p>
        </w:tc>
        <w:tc>
          <w:tcPr>
            <w:tcW w:w="33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Expected Behaviour</w:t>
            </w:r>
          </w:p>
        </w:tc>
      </w:tr>
      <w:tr>
        <w:trPr/>
        <w:tc>
          <w:tcPr>
            <w:tcW w:w="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(100, 100, 12, 12)</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Perfect match</w:t>
            </w:r>
          </w:p>
        </w:tc>
        <w:tc>
          <w:tcPr>
            <w:tcW w:w="33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 1.0, L = 0.0</w:t>
            </w:r>
          </w:p>
        </w:tc>
      </w:tr>
      <w:tr>
        <w:trPr/>
        <w:tc>
          <w:tcPr>
            <w:tcW w:w="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(103, 100, 12, 12)</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 px centre shift (x only)</w:t>
            </w:r>
          </w:p>
        </w:tc>
        <w:tc>
          <w:tcPr>
            <w:tcW w:w="33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Small penalty — overlapping</w:t>
            </w:r>
          </w:p>
        </w:tc>
      </w:tr>
      <w:tr>
        <w:trPr/>
        <w:tc>
          <w:tcPr>
            <w:tcW w:w="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(106, 100, 12, 12)</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 px centre shift (x only)</w:t>
            </w:r>
          </w:p>
        </w:tc>
        <w:tc>
          <w:tcPr>
            <w:tcW w:w="33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Half-width displacement</w:t>
            </w:r>
          </w:p>
        </w:tc>
      </w:tr>
      <w:tr>
        <w:trPr/>
        <w:tc>
          <w:tcPr>
            <w:tcW w:w="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D</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(113, 100, 12, 12)</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13 px shift — no overlap</w:t>
            </w:r>
          </w:p>
        </w:tc>
        <w:tc>
          <w:tcPr>
            <w:tcW w:w="33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IoU = 0, NWD should still work</w:t>
            </w:r>
          </w:p>
        </w:tc>
      </w:tr>
      <w:tr>
        <w:trPr/>
        <w:tc>
          <w:tcPr>
            <w:tcW w:w="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w:t>
            </w:r>
          </w:p>
        </w:tc>
        <w:tc>
          <w:tcPr>
            <w:tcW w:w="2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(100, 100, 6, 6)</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Perfect centre, half size</w:t>
            </w:r>
          </w:p>
        </w:tc>
        <w:tc>
          <w:tcPr>
            <w:tcW w:w="33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Size error, no positional error</w:t>
            </w:r>
          </w:p>
        </w:tc>
      </w:tr>
      <w:tr>
        <w:trPr/>
        <w:tc>
          <w:tcPr>
            <w:tcW w:w="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F</w:t>
            </w:r>
          </w:p>
        </w:tc>
        <w:tc>
          <w:tcPr>
            <w:tcW w:w="2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(110, 110, 14, 10)</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Combined centre + size error</w:t>
            </w:r>
          </w:p>
        </w:tc>
        <w:tc>
          <w:tcPr>
            <w:tcW w:w="33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Mixed error</w:t>
            </w:r>
          </w:p>
        </w:tc>
      </w:tr>
    </w:tbl>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Case A — Perfect Match (Baseline)</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  =  (100−100)²+(100−100)²+(6−6)²+(6−6)²  =  0</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   =  0</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NWD  =  exp(−0/12.8)  =  exp(0)  =  1.000</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  =  1 − 1.000  =  0.000  ← zero loss, perfect prediction</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Case B — 3 px Shift (25% of object width)</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  =  (103−100)²+(100−100)²+(6−6)²+(6−6)²  =  9</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   =  √9  =  3.0</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NWD  =  exp(−3.0/12.8)  =  exp(−0.234)  =  0.791</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  =  1 − 0.791  =  0.209  ← small but meaningful gradient</w:t>
      </w:r>
    </w:p>
    <w:p>
      <w:pPr>
        <w:pStyle w:val="Normal"/>
        <w:spacing w:before="80" w:after="0"/>
        <w:rPr/>
      </w:pPr>
      <w:r>
        <w:rPr/>
      </w:r>
    </w:p>
    <w:p>
      <w:pPr>
        <w:pStyle w:val="Normal"/>
        <w:spacing w:before="80" w:after="80"/>
        <w:ind w:start="180"/>
        <w:jc w:val="both"/>
        <w:rPr/>
      </w:pPr>
      <w:r>
        <w:rPr>
          <w:rFonts w:eastAsia="Arial" w:cs="Arial"/>
          <w:color w:val="1A1A2E"/>
          <w:sz w:val="21"/>
          <w:szCs w:val="21"/>
        </w:rPr>
        <w:t>Compare: IoU for this case ≈ 0.50 (significant overlap at only 3px shift). NWD = 0.791 — both provide gradient, consistent results.</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Case C — 6 px Shift (50% of object width, touching)</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  =  (106−100)²  =  36</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   =  6.0</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NWD  =  exp(−6.0/12.8)  =  exp(−0.469)  =  0.626</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  =  1 − 0.626  =  0.374  ← moderate penalty</w:t>
      </w:r>
    </w:p>
    <w:p>
      <w:pPr>
        <w:pStyle w:val="Normal"/>
        <w:spacing w:before="80" w:after="0"/>
        <w:rPr/>
      </w:pPr>
      <w:r>
        <w:rPr/>
      </w:r>
    </w:p>
    <w:p>
      <w:pPr>
        <w:pStyle w:val="Normal"/>
        <w:spacing w:before="80" w:after="80"/>
        <w:ind w:start="180"/>
        <w:jc w:val="both"/>
        <w:rPr/>
      </w:pPr>
      <w:r>
        <w:rPr>
          <w:rFonts w:eastAsia="Arial" w:cs="Arial"/>
          <w:color w:val="1A1A2E"/>
          <w:sz w:val="21"/>
          <w:szCs w:val="21"/>
        </w:rPr>
        <w:t>Compare: IoU for this case = 0.0 (boxes just barely touching — zero overlap). NWD = 0.626 — gradient is still 0.374, training can continue.</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Case D — 13 px Shift (No Overlap) — The Critical Case</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  =  (113−100)²  =  169</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   =  13.0</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NWD  =  exp(−13.0/12.8)  =  exp(−1.016)  =  0.362</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  =  1 − 0.362  =  0.638  ← strong gradient despite zero IoU</w:t>
      </w:r>
    </w:p>
    <w:p>
      <w:pPr>
        <w:pStyle w:val="Normal"/>
        <w:spacing w:before="80" w:after="0"/>
        <w:rPr/>
      </w:pPr>
      <w:r>
        <w:rPr/>
      </w:r>
    </w:p>
    <w:p>
      <w:pPr>
        <w:pStyle w:val="Normal"/>
        <w:spacing w:before="80" w:after="80"/>
        <w:ind w:start="180"/>
        <w:jc w:val="both"/>
        <w:rPr/>
      </w:pPr>
      <w:r>
        <w:rPr>
          <w:rFonts w:eastAsia="Arial" w:cs="Arial"/>
          <w:color w:val="1A1A2E"/>
          <w:sz w:val="21"/>
          <w:szCs w:val="21"/>
        </w:rPr>
        <w:t>Compare: IoU = 0, GIoU ≈ −0.4. Both provide some gradient but IoU-based methods rely on the enclosing-box penalty, which is scale-blind. NWD provides 0.638 loss — a clear, informative signal that trains the model to close the 13-pixel gap.</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Case E — Perfect Centre, Half Size</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  =  0  +  0  +  (6−3)²  +  (6−3)²  =  18</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   =  √18  =  4.24</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NWD  =  exp(−4.24/12.8)  =  0.719</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  =  0.281  ← penalises size error independently of position</w:t>
      </w:r>
    </w:p>
    <w:p>
      <w:pPr>
        <w:pStyle w:val="Normal"/>
        <w:spacing w:before="80" w:after="0"/>
        <w:rPr/>
      </w:pPr>
      <w:r>
        <w:rPr/>
      </w:r>
    </w:p>
    <w:p>
      <w:pPr>
        <w:pStyle w:val="Normal"/>
        <w:spacing w:before="80" w:after="80"/>
        <w:ind w:start="180"/>
        <w:jc w:val="both"/>
        <w:rPr/>
      </w:pPr>
      <w:r>
        <w:rPr>
          <w:rFonts w:eastAsia="Arial" w:cs="Arial"/>
          <w:color w:val="1A1A2E"/>
          <w:sz w:val="21"/>
          <w:szCs w:val="21"/>
        </w:rPr>
        <w:t>This case shows NWD's ability to separately penalise size errors from positional errors — a property IoU shares, but NWD extends to non-overlapping scenarios.</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Case F — Combined Centre + Size Error</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  =  (110−100)²+(110−100)²+(7−6)²+(5−6)²  =  100+100+1+1  =  202</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   =  √202  ≈  14.21</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NWD  =  exp(−14.21/12.8)  ≈  0.331</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  =  0.669  ← high penalty for combined error</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3.2  NWD Similarity vs Displacement — Visual</w:t>
      </w:r>
    </w:p>
    <w:p>
      <w:pPr>
        <w:pStyle w:val="Normal"/>
        <w:spacing w:before="80" w:after="80"/>
        <w:ind w:start="180"/>
        <w:jc w:val="both"/>
        <w:rPr/>
      </w:pPr>
      <w:r>
        <w:rPr>
          <w:rFonts w:eastAsia="Arial" w:cs="Arial"/>
          <w:color w:val="1A1A2E"/>
          <w:sz w:val="21"/>
          <w:szCs w:val="21"/>
        </w:rPr>
        <w:t>The following chart shows NWD similarity as a function of centre displacement (d), holding object size constant at 12×12 px and C = 12.8. All displacements are evaluated for a 12×12 ground-truth box:</w:t>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2399"/>
        <w:gridCol w:w="5801"/>
        <w:gridCol w:w="1160"/>
      </w:tblGrid>
      <w:tr>
        <w:trPr>
          <w:tblHeader w:val="true"/>
        </w:trPr>
        <w:tc>
          <w:tcPr>
            <w:tcW w:w="23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Scenario</w:t>
            </w:r>
          </w:p>
        </w:tc>
        <w:tc>
          <w:tcPr>
            <w:tcW w:w="58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NWD Similarity</w:t>
            </w:r>
          </w:p>
        </w:tc>
        <w:tc>
          <w:tcPr>
            <w:tcW w:w="116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Value</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d = 0 px (perfect)</w:t>
            </w:r>
          </w:p>
        </w:tc>
        <w:tc>
          <w:tcPr>
            <w:tcW w:w="5801" w:type="dxa"/>
            <w:tcBorders>
              <w:top w:val="single" w:sz="2" w:space="0" w:color="C8D0DB"/>
              <w:start w:val="single" w:sz="2" w:space="0" w:color="C8D0DB"/>
              <w:bottom w:val="single" w:sz="2" w:space="0" w:color="C8D0DB"/>
              <w:end w:val="single" w:sz="2" w:space="0" w:color="C8D0DB"/>
            </w:tcBorders>
            <w:shd w:fill="FFFFFF" w:val="clear"/>
            <w:tcMar>
              <w:top w:w="60" w:type="dxa"/>
              <w:start w:w="60" w:type="dxa"/>
              <w:bottom w:w="60" w:type="dxa"/>
              <w:end w:w="60" w:type="dxa"/>
            </w:tcMar>
          </w:tcPr>
          <w:tbl>
            <w:tblPr>
              <w:tblW w:w="5600" w:type="dxa"/>
              <w:jc w:val="start"/>
              <w:tblInd w:w="0" w:type="dxa"/>
              <w:tblLayout w:type="fixed"/>
              <w:tblCellMar>
                <w:top w:w="0" w:type="dxa"/>
                <w:start w:w="108" w:type="dxa"/>
                <w:bottom w:w="0" w:type="dxa"/>
                <w:end w:w="108" w:type="dxa"/>
              </w:tblCellMar>
            </w:tblPr>
            <w:tblGrid>
              <w:gridCol w:w="5542"/>
              <w:gridCol w:w="58"/>
            </w:tblGrid>
            <w:tr>
              <w:trPr/>
              <w:tc>
                <w:tcPr>
                  <w:tcW w:w="5542" w:type="dxa"/>
                  <w:tcBorders>
                    <w:top w:val="single" w:sz="2" w:space="0" w:color="1E6B3C"/>
                    <w:start w:val="single" w:sz="2" w:space="0" w:color="1E6B3C"/>
                    <w:bottom w:val="single" w:sz="2" w:space="0" w:color="1E6B3C"/>
                    <w:end w:val="single" w:sz="2" w:space="0" w:color="1E6B3C"/>
                  </w:tcBorders>
                  <w:shd w:fill="1E6B3C" w:val="clear"/>
                </w:tcPr>
                <w:p>
                  <w:pPr>
                    <w:pStyle w:val="Normal"/>
                    <w:spacing w:before="100" w:after="100"/>
                    <w:rPr/>
                  </w:pPr>
                  <w:r>
                    <w:rPr/>
                  </w:r>
                </w:p>
              </w:tc>
              <w:tc>
                <w:tcPr>
                  <w:tcW w:w="58" w:type="dxa"/>
                  <w:tcBorders/>
                  <w:shd w:fill="F8F9FA" w:val="clear"/>
                </w:tcPr>
                <w:p>
                  <w:pPr>
                    <w:pStyle w:val="Normal"/>
                    <w:rPr/>
                  </w:pPr>
                  <w:r>
                    <w:rPr/>
                  </w:r>
                </w:p>
              </w:tc>
            </w:tr>
          </w:tbl>
          <w:p>
            <w:pPr>
              <w:pStyle w:val="Normal"/>
              <w:rPr/>
            </w:pPr>
            <w:r>
              <w:rPr/>
            </w:r>
          </w:p>
        </w:tc>
        <w:tc>
          <w:tcPr>
            <w:tcW w:w="1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center"/>
              <w:rPr/>
            </w:pPr>
            <w:r>
              <w:rPr>
                <w:rFonts w:eastAsia="Arial" w:cs="Arial"/>
                <w:b/>
                <w:bCs/>
                <w:color w:val="1E6B3C"/>
                <w:sz w:val="19"/>
                <w:szCs w:val="19"/>
              </w:rPr>
              <w:t>NWD = 1.000</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d = 3 px (25% width)</w:t>
            </w:r>
          </w:p>
        </w:tc>
        <w:tc>
          <w:tcPr>
            <w:tcW w:w="5801" w:type="dxa"/>
            <w:tcBorders>
              <w:top w:val="single" w:sz="2" w:space="0" w:color="C8D0DB"/>
              <w:start w:val="single" w:sz="2" w:space="0" w:color="C8D0DB"/>
              <w:bottom w:val="single" w:sz="2" w:space="0" w:color="C8D0DB"/>
              <w:end w:val="single" w:sz="2" w:space="0" w:color="C8D0DB"/>
            </w:tcBorders>
            <w:shd w:fill="F4F6F8" w:val="clear"/>
            <w:tcMar>
              <w:top w:w="60" w:type="dxa"/>
              <w:start w:w="60" w:type="dxa"/>
              <w:bottom w:w="60" w:type="dxa"/>
              <w:end w:w="60" w:type="dxa"/>
            </w:tcMar>
          </w:tcPr>
          <w:tbl>
            <w:tblPr>
              <w:tblW w:w="5600" w:type="dxa"/>
              <w:jc w:val="start"/>
              <w:tblInd w:w="0" w:type="dxa"/>
              <w:tblLayout w:type="fixed"/>
              <w:tblCellMar>
                <w:top w:w="0" w:type="dxa"/>
                <w:start w:w="108" w:type="dxa"/>
                <w:bottom w:w="0" w:type="dxa"/>
                <w:end w:w="108" w:type="dxa"/>
              </w:tblCellMar>
            </w:tblPr>
            <w:tblGrid>
              <w:gridCol w:w="4429"/>
              <w:gridCol w:w="1171"/>
            </w:tblGrid>
            <w:tr>
              <w:trPr/>
              <w:tc>
                <w:tcPr>
                  <w:tcW w:w="4429" w:type="dxa"/>
                  <w:tcBorders>
                    <w:top w:val="single" w:sz="2" w:space="0" w:color="0D7377"/>
                    <w:start w:val="single" w:sz="2" w:space="0" w:color="0D7377"/>
                    <w:bottom w:val="single" w:sz="2" w:space="0" w:color="0D7377"/>
                    <w:end w:val="single" w:sz="2" w:space="0" w:color="0D7377"/>
                  </w:tcBorders>
                  <w:shd w:fill="0D7377" w:val="clear"/>
                </w:tcPr>
                <w:p>
                  <w:pPr>
                    <w:pStyle w:val="Normal"/>
                    <w:spacing w:before="100" w:after="100"/>
                    <w:rPr/>
                  </w:pPr>
                  <w:r>
                    <w:rPr/>
                  </w:r>
                </w:p>
              </w:tc>
              <w:tc>
                <w:tcPr>
                  <w:tcW w:w="1171" w:type="dxa"/>
                  <w:tcBorders/>
                  <w:shd w:fill="F8F9FA" w:val="clear"/>
                </w:tcPr>
                <w:p>
                  <w:pPr>
                    <w:pStyle w:val="Normal"/>
                    <w:rPr/>
                  </w:pPr>
                  <w:r>
                    <w:rPr/>
                  </w:r>
                </w:p>
              </w:tc>
            </w:tr>
          </w:tbl>
          <w:p>
            <w:pPr>
              <w:pStyle w:val="Normal"/>
              <w:rPr/>
            </w:pPr>
            <w:r>
              <w:rPr/>
            </w:r>
          </w:p>
        </w:tc>
        <w:tc>
          <w:tcPr>
            <w:tcW w:w="1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center"/>
              <w:rPr/>
            </w:pPr>
            <w:r>
              <w:rPr>
                <w:rFonts w:eastAsia="Arial" w:cs="Arial"/>
                <w:b/>
                <w:bCs/>
                <w:color w:val="0D7377"/>
                <w:sz w:val="19"/>
                <w:szCs w:val="19"/>
              </w:rPr>
              <w:t>NWD = 0.791</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d = 6 px (50% width)</w:t>
            </w:r>
          </w:p>
        </w:tc>
        <w:tc>
          <w:tcPr>
            <w:tcW w:w="5801" w:type="dxa"/>
            <w:tcBorders>
              <w:top w:val="single" w:sz="2" w:space="0" w:color="C8D0DB"/>
              <w:start w:val="single" w:sz="2" w:space="0" w:color="C8D0DB"/>
              <w:bottom w:val="single" w:sz="2" w:space="0" w:color="C8D0DB"/>
              <w:end w:val="single" w:sz="2" w:space="0" w:color="C8D0DB"/>
            </w:tcBorders>
            <w:shd w:fill="FFFFFF" w:val="clear"/>
            <w:tcMar>
              <w:top w:w="60" w:type="dxa"/>
              <w:start w:w="60" w:type="dxa"/>
              <w:bottom w:w="60" w:type="dxa"/>
              <w:end w:w="60" w:type="dxa"/>
            </w:tcMar>
          </w:tcPr>
          <w:tbl>
            <w:tblPr>
              <w:tblW w:w="5600" w:type="dxa"/>
              <w:jc w:val="start"/>
              <w:tblInd w:w="0" w:type="dxa"/>
              <w:tblLayout w:type="fixed"/>
              <w:tblCellMar>
                <w:top w:w="0" w:type="dxa"/>
                <w:start w:w="108" w:type="dxa"/>
                <w:bottom w:w="0" w:type="dxa"/>
                <w:end w:w="108" w:type="dxa"/>
              </w:tblCellMar>
            </w:tblPr>
            <w:tblGrid>
              <w:gridCol w:w="3505"/>
              <w:gridCol w:w="2095"/>
            </w:tblGrid>
            <w:tr>
              <w:trPr/>
              <w:tc>
                <w:tcPr>
                  <w:tcW w:w="3505" w:type="dxa"/>
                  <w:tcBorders>
                    <w:top w:val="single" w:sz="2" w:space="0" w:color="1A6FA8"/>
                    <w:start w:val="single" w:sz="2" w:space="0" w:color="1A6FA8"/>
                    <w:bottom w:val="single" w:sz="2" w:space="0" w:color="1A6FA8"/>
                    <w:end w:val="single" w:sz="2" w:space="0" w:color="1A6FA8"/>
                  </w:tcBorders>
                  <w:shd w:fill="1A6FA8" w:val="clear"/>
                </w:tcPr>
                <w:p>
                  <w:pPr>
                    <w:pStyle w:val="Normal"/>
                    <w:spacing w:before="100" w:after="100"/>
                    <w:rPr/>
                  </w:pPr>
                  <w:r>
                    <w:rPr/>
                  </w:r>
                </w:p>
              </w:tc>
              <w:tc>
                <w:tcPr>
                  <w:tcW w:w="2095" w:type="dxa"/>
                  <w:tcBorders/>
                  <w:shd w:fill="F8F9FA" w:val="clear"/>
                </w:tcPr>
                <w:p>
                  <w:pPr>
                    <w:pStyle w:val="Normal"/>
                    <w:rPr/>
                  </w:pPr>
                  <w:r>
                    <w:rPr/>
                  </w:r>
                </w:p>
              </w:tc>
            </w:tr>
          </w:tbl>
          <w:p>
            <w:pPr>
              <w:pStyle w:val="Normal"/>
              <w:rPr/>
            </w:pPr>
            <w:r>
              <w:rPr/>
            </w:r>
          </w:p>
        </w:tc>
        <w:tc>
          <w:tcPr>
            <w:tcW w:w="1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center"/>
              <w:rPr/>
            </w:pPr>
            <w:r>
              <w:rPr>
                <w:rFonts w:eastAsia="Arial" w:cs="Arial"/>
                <w:b/>
                <w:bCs/>
                <w:color w:val="1A6FA8"/>
                <w:sz w:val="19"/>
                <w:szCs w:val="19"/>
              </w:rPr>
              <w:t>NWD = 0.626</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d = 9 px (75% width)</w:t>
            </w:r>
          </w:p>
        </w:tc>
        <w:tc>
          <w:tcPr>
            <w:tcW w:w="5801" w:type="dxa"/>
            <w:tcBorders>
              <w:top w:val="single" w:sz="2" w:space="0" w:color="C8D0DB"/>
              <w:start w:val="single" w:sz="2" w:space="0" w:color="C8D0DB"/>
              <w:bottom w:val="single" w:sz="2" w:space="0" w:color="C8D0DB"/>
              <w:end w:val="single" w:sz="2" w:space="0" w:color="C8D0DB"/>
            </w:tcBorders>
            <w:shd w:fill="F4F6F8" w:val="clear"/>
            <w:tcMar>
              <w:top w:w="60" w:type="dxa"/>
              <w:start w:w="60" w:type="dxa"/>
              <w:bottom w:w="60" w:type="dxa"/>
              <w:end w:w="60" w:type="dxa"/>
            </w:tcMar>
          </w:tcPr>
          <w:tbl>
            <w:tblPr>
              <w:tblW w:w="5600" w:type="dxa"/>
              <w:jc w:val="start"/>
              <w:tblInd w:w="0" w:type="dxa"/>
              <w:tblLayout w:type="fixed"/>
              <w:tblCellMar>
                <w:top w:w="0" w:type="dxa"/>
                <w:start w:w="108" w:type="dxa"/>
                <w:bottom w:w="0" w:type="dxa"/>
                <w:end w:w="108" w:type="dxa"/>
              </w:tblCellMar>
            </w:tblPr>
            <w:tblGrid>
              <w:gridCol w:w="2777"/>
              <w:gridCol w:w="2823"/>
            </w:tblGrid>
            <w:tr>
              <w:trPr/>
              <w:tc>
                <w:tcPr>
                  <w:tcW w:w="2777" w:type="dxa"/>
                  <w:tcBorders>
                    <w:top w:val="single" w:sz="2" w:space="0" w:color="3A82C3"/>
                    <w:start w:val="single" w:sz="2" w:space="0" w:color="3A82C3"/>
                    <w:bottom w:val="single" w:sz="2" w:space="0" w:color="3A82C3"/>
                    <w:end w:val="single" w:sz="2" w:space="0" w:color="3A82C3"/>
                  </w:tcBorders>
                  <w:shd w:fill="3A82C3" w:val="clear"/>
                </w:tcPr>
                <w:p>
                  <w:pPr>
                    <w:pStyle w:val="Normal"/>
                    <w:spacing w:before="100" w:after="100"/>
                    <w:rPr/>
                  </w:pPr>
                  <w:r>
                    <w:rPr/>
                  </w:r>
                </w:p>
              </w:tc>
              <w:tc>
                <w:tcPr>
                  <w:tcW w:w="2823" w:type="dxa"/>
                  <w:tcBorders/>
                  <w:shd w:fill="F8F9FA" w:val="clear"/>
                </w:tcPr>
                <w:p>
                  <w:pPr>
                    <w:pStyle w:val="Normal"/>
                    <w:rPr/>
                  </w:pPr>
                  <w:r>
                    <w:rPr/>
                  </w:r>
                </w:p>
              </w:tc>
            </w:tr>
          </w:tbl>
          <w:p>
            <w:pPr>
              <w:pStyle w:val="Normal"/>
              <w:rPr/>
            </w:pPr>
            <w:r>
              <w:rPr/>
            </w:r>
          </w:p>
        </w:tc>
        <w:tc>
          <w:tcPr>
            <w:tcW w:w="1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center"/>
              <w:rPr/>
            </w:pPr>
            <w:r>
              <w:rPr>
                <w:rFonts w:eastAsia="Arial" w:cs="Arial"/>
                <w:b/>
                <w:bCs/>
                <w:color w:val="3A82C3"/>
                <w:sz w:val="19"/>
                <w:szCs w:val="19"/>
              </w:rPr>
              <w:t>NWD = 0.496</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d = 12 px (= IoU cutoff)</w:t>
            </w:r>
          </w:p>
        </w:tc>
        <w:tc>
          <w:tcPr>
            <w:tcW w:w="5801" w:type="dxa"/>
            <w:tcBorders>
              <w:top w:val="single" w:sz="2" w:space="0" w:color="C8D0DB"/>
              <w:start w:val="single" w:sz="2" w:space="0" w:color="C8D0DB"/>
              <w:bottom w:val="single" w:sz="2" w:space="0" w:color="C8D0DB"/>
              <w:end w:val="single" w:sz="2" w:space="0" w:color="C8D0DB"/>
            </w:tcBorders>
            <w:shd w:fill="FFFFFF" w:val="clear"/>
            <w:tcMar>
              <w:top w:w="60" w:type="dxa"/>
              <w:start w:w="60" w:type="dxa"/>
              <w:bottom w:w="60" w:type="dxa"/>
              <w:end w:w="60" w:type="dxa"/>
            </w:tcMar>
          </w:tcPr>
          <w:tbl>
            <w:tblPr>
              <w:tblW w:w="5600" w:type="dxa"/>
              <w:jc w:val="start"/>
              <w:tblInd w:w="0" w:type="dxa"/>
              <w:tblLayout w:type="fixed"/>
              <w:tblCellMar>
                <w:top w:w="0" w:type="dxa"/>
                <w:start w:w="108" w:type="dxa"/>
                <w:bottom w:w="0" w:type="dxa"/>
                <w:end w:w="108" w:type="dxa"/>
              </w:tblCellMar>
            </w:tblPr>
            <w:tblGrid>
              <w:gridCol w:w="2200"/>
              <w:gridCol w:w="3400"/>
            </w:tblGrid>
            <w:tr>
              <w:trPr/>
              <w:tc>
                <w:tcPr>
                  <w:tcW w:w="2200" w:type="dxa"/>
                  <w:tcBorders>
                    <w:top w:val="single" w:sz="2" w:space="0" w:color="C55A11"/>
                    <w:start w:val="single" w:sz="2" w:space="0" w:color="C55A11"/>
                    <w:bottom w:val="single" w:sz="2" w:space="0" w:color="C55A11"/>
                    <w:end w:val="single" w:sz="2" w:space="0" w:color="C55A11"/>
                  </w:tcBorders>
                  <w:shd w:fill="C55A11" w:val="clear"/>
                </w:tcPr>
                <w:p>
                  <w:pPr>
                    <w:pStyle w:val="Normal"/>
                    <w:spacing w:before="100" w:after="100"/>
                    <w:rPr/>
                  </w:pPr>
                  <w:r>
                    <w:rPr/>
                  </w:r>
                </w:p>
              </w:tc>
              <w:tc>
                <w:tcPr>
                  <w:tcW w:w="3400" w:type="dxa"/>
                  <w:tcBorders/>
                  <w:shd w:fill="F8F9FA" w:val="clear"/>
                </w:tcPr>
                <w:p>
                  <w:pPr>
                    <w:pStyle w:val="Normal"/>
                    <w:rPr/>
                  </w:pPr>
                  <w:r>
                    <w:rPr/>
                  </w:r>
                </w:p>
              </w:tc>
            </w:tr>
          </w:tbl>
          <w:p>
            <w:pPr>
              <w:pStyle w:val="Normal"/>
              <w:rPr/>
            </w:pPr>
            <w:r>
              <w:rPr/>
            </w:r>
          </w:p>
        </w:tc>
        <w:tc>
          <w:tcPr>
            <w:tcW w:w="1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center"/>
              <w:rPr/>
            </w:pPr>
            <w:r>
              <w:rPr>
                <w:rFonts w:eastAsia="Arial" w:cs="Arial"/>
                <w:b/>
                <w:bCs/>
                <w:color w:val="C55A11"/>
                <w:sz w:val="19"/>
                <w:szCs w:val="19"/>
              </w:rPr>
              <w:t>NWD = 0.393</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d = 16 px (no overlap)</w:t>
            </w:r>
          </w:p>
        </w:tc>
        <w:tc>
          <w:tcPr>
            <w:tcW w:w="5801" w:type="dxa"/>
            <w:tcBorders>
              <w:top w:val="single" w:sz="2" w:space="0" w:color="C8D0DB"/>
              <w:start w:val="single" w:sz="2" w:space="0" w:color="C8D0DB"/>
              <w:bottom w:val="single" w:sz="2" w:space="0" w:color="C8D0DB"/>
              <w:end w:val="single" w:sz="2" w:space="0" w:color="C8D0DB"/>
            </w:tcBorders>
            <w:shd w:fill="F4F6F8" w:val="clear"/>
            <w:tcMar>
              <w:top w:w="60" w:type="dxa"/>
              <w:start w:w="60" w:type="dxa"/>
              <w:bottom w:w="60" w:type="dxa"/>
              <w:end w:w="60" w:type="dxa"/>
            </w:tcMar>
          </w:tcPr>
          <w:tbl>
            <w:tblPr>
              <w:tblW w:w="5600" w:type="dxa"/>
              <w:jc w:val="start"/>
              <w:tblInd w:w="0" w:type="dxa"/>
              <w:tblLayout w:type="fixed"/>
              <w:tblCellMar>
                <w:top w:w="0" w:type="dxa"/>
                <w:start w:w="108" w:type="dxa"/>
                <w:bottom w:w="0" w:type="dxa"/>
                <w:end w:w="108" w:type="dxa"/>
              </w:tblCellMar>
            </w:tblPr>
            <w:tblGrid>
              <w:gridCol w:w="1612"/>
              <w:gridCol w:w="3988"/>
            </w:tblGrid>
            <w:tr>
              <w:trPr/>
              <w:tc>
                <w:tcPr>
                  <w:tcW w:w="1612" w:type="dxa"/>
                  <w:tcBorders>
                    <w:top w:val="single" w:sz="2" w:space="0" w:color="A93226"/>
                    <w:start w:val="single" w:sz="2" w:space="0" w:color="A93226"/>
                    <w:bottom w:val="single" w:sz="2" w:space="0" w:color="A93226"/>
                    <w:end w:val="single" w:sz="2" w:space="0" w:color="A93226"/>
                  </w:tcBorders>
                  <w:shd w:fill="A93226" w:val="clear"/>
                </w:tcPr>
                <w:p>
                  <w:pPr>
                    <w:pStyle w:val="Normal"/>
                    <w:spacing w:before="100" w:after="100"/>
                    <w:rPr/>
                  </w:pPr>
                  <w:r>
                    <w:rPr/>
                  </w:r>
                </w:p>
              </w:tc>
              <w:tc>
                <w:tcPr>
                  <w:tcW w:w="3988" w:type="dxa"/>
                  <w:tcBorders/>
                  <w:shd w:fill="F8F9FA" w:val="clear"/>
                </w:tcPr>
                <w:p>
                  <w:pPr>
                    <w:pStyle w:val="Normal"/>
                    <w:rPr/>
                  </w:pPr>
                  <w:r>
                    <w:rPr/>
                  </w:r>
                </w:p>
              </w:tc>
            </w:tr>
          </w:tbl>
          <w:p>
            <w:pPr>
              <w:pStyle w:val="Normal"/>
              <w:rPr/>
            </w:pPr>
            <w:r>
              <w:rPr/>
            </w:r>
          </w:p>
        </w:tc>
        <w:tc>
          <w:tcPr>
            <w:tcW w:w="11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center"/>
              <w:rPr/>
            </w:pPr>
            <w:r>
              <w:rPr>
                <w:rFonts w:eastAsia="Arial" w:cs="Arial"/>
                <w:b/>
                <w:bCs/>
                <w:color w:val="A93226"/>
                <w:sz w:val="19"/>
                <w:szCs w:val="19"/>
              </w:rPr>
              <w:t>NWD = 0.288</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d = 25 px (far)</w:t>
            </w:r>
          </w:p>
        </w:tc>
        <w:tc>
          <w:tcPr>
            <w:tcW w:w="5801" w:type="dxa"/>
            <w:tcBorders>
              <w:top w:val="single" w:sz="2" w:space="0" w:color="C8D0DB"/>
              <w:start w:val="single" w:sz="2" w:space="0" w:color="C8D0DB"/>
              <w:bottom w:val="single" w:sz="2" w:space="0" w:color="C8D0DB"/>
              <w:end w:val="single" w:sz="2" w:space="0" w:color="C8D0DB"/>
            </w:tcBorders>
            <w:shd w:fill="FFFFFF" w:val="clear"/>
            <w:tcMar>
              <w:top w:w="60" w:type="dxa"/>
              <w:start w:w="60" w:type="dxa"/>
              <w:bottom w:w="60" w:type="dxa"/>
              <w:end w:w="60" w:type="dxa"/>
            </w:tcMar>
          </w:tcPr>
          <w:tbl>
            <w:tblPr>
              <w:tblW w:w="5600" w:type="dxa"/>
              <w:jc w:val="start"/>
              <w:tblInd w:w="0" w:type="dxa"/>
              <w:tblLayout w:type="fixed"/>
              <w:tblCellMar>
                <w:top w:w="0" w:type="dxa"/>
                <w:start w:w="108" w:type="dxa"/>
                <w:bottom w:w="0" w:type="dxa"/>
                <w:end w:w="108" w:type="dxa"/>
              </w:tblCellMar>
            </w:tblPr>
            <w:tblGrid>
              <w:gridCol w:w="784"/>
              <w:gridCol w:w="4816"/>
            </w:tblGrid>
            <w:tr>
              <w:trPr/>
              <w:tc>
                <w:tcPr>
                  <w:tcW w:w="784" w:type="dxa"/>
                  <w:tcBorders>
                    <w:top w:val="single" w:sz="2" w:space="0" w:color="A93226"/>
                    <w:start w:val="single" w:sz="2" w:space="0" w:color="A93226"/>
                    <w:bottom w:val="single" w:sz="2" w:space="0" w:color="A93226"/>
                    <w:end w:val="single" w:sz="2" w:space="0" w:color="A93226"/>
                  </w:tcBorders>
                  <w:shd w:fill="A93226" w:val="clear"/>
                </w:tcPr>
                <w:p>
                  <w:pPr>
                    <w:pStyle w:val="Normal"/>
                    <w:spacing w:before="100" w:after="100"/>
                    <w:rPr/>
                  </w:pPr>
                  <w:r>
                    <w:rPr/>
                  </w:r>
                </w:p>
              </w:tc>
              <w:tc>
                <w:tcPr>
                  <w:tcW w:w="4816" w:type="dxa"/>
                  <w:tcBorders/>
                  <w:shd w:fill="F8F9FA" w:val="clear"/>
                </w:tcPr>
                <w:p>
                  <w:pPr>
                    <w:pStyle w:val="Normal"/>
                    <w:rPr/>
                  </w:pPr>
                  <w:r>
                    <w:rPr/>
                  </w:r>
                </w:p>
              </w:tc>
            </w:tr>
          </w:tbl>
          <w:p>
            <w:pPr>
              <w:pStyle w:val="Normal"/>
              <w:rPr/>
            </w:pPr>
            <w:r>
              <w:rPr/>
            </w:r>
          </w:p>
        </w:tc>
        <w:tc>
          <w:tcPr>
            <w:tcW w:w="11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center"/>
              <w:rPr/>
            </w:pPr>
            <w:r>
              <w:rPr>
                <w:rFonts w:eastAsia="Arial" w:cs="Arial"/>
                <w:b/>
                <w:bCs/>
                <w:color w:val="A93226"/>
                <w:sz w:val="19"/>
                <w:szCs w:val="19"/>
              </w:rPr>
              <w:t>NWD = 0.140</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Key observation: NWD decreases smoothly from 1.0 to near-zero as displacement increases. IoU would show a cliff edge: 1.0 at d=0, dropping sharply, then flat at 0 for all d ≥ 12 px. NWD provides gradient everywhere on this curve; IoU only in the steep section before d = 12.</w:t>
      </w:r>
    </w:p>
    <w:p>
      <w:pPr>
        <w:pStyle w:val="Normal"/>
        <w:spacing w:before="120" w:after="0"/>
        <w:rPr/>
      </w:pPr>
      <w:r>
        <w:rPr/>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7653020" cy="63633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7653020" cy="6363335"/>
                    </a:xfrm>
                    <a:prstGeom prst="rect">
                      <a:avLst/>
                    </a:prstGeom>
                    <a:noFill/>
                  </pic:spPr>
                </pic:pic>
              </a:graphicData>
            </a:graphic>
          </wp:anchor>
        </w:drawing>
      </w:r>
      <w:r>
        <w:br w:type="page"/>
      </w:r>
    </w:p>
    <w:p>
      <w:pPr>
        <w:pStyle w:val="Normal"/>
        <w:shd w:val="clear" w:fill="1B2A4A"/>
        <w:spacing w:before="0" w:after="160"/>
        <w:ind w:start="180" w:end="180"/>
        <w:rPr/>
      </w:pPr>
      <w:r>
        <w:rPr>
          <w:rFonts w:eastAsia="Arial" w:cs="Arial"/>
          <w:b/>
          <w:bCs/>
          <w:color w:val="FFFFFF"/>
          <w:sz w:val="28"/>
          <w:szCs w:val="28"/>
        </w:rPr>
        <w:t>4.  NWD IN THE RT-DETR + ESRGAN JOINT TRAINING PROJECT</w:t>
      </w:r>
    </w:p>
    <w:p>
      <w:pPr>
        <w:pStyle w:val="Normal"/>
        <w:spacing w:before="80" w:after="0"/>
        <w:rPr/>
      </w:pPr>
      <w:r>
        <w:rPr/>
      </w:r>
    </w:p>
    <w:p>
      <w:pPr>
        <w:pStyle w:val="Normal"/>
        <w:spacing w:before="80" w:after="80"/>
        <w:ind w:start="180"/>
        <w:jc w:val="both"/>
        <w:rPr/>
      </w:pPr>
      <w:r>
        <w:rPr>
          <w:rFonts w:eastAsia="Arial" w:cs="Arial"/>
          <w:color w:val="1A1A2E"/>
          <w:sz w:val="21"/>
          <w:szCs w:val="21"/>
        </w:rPr>
        <w:t>The NWD loss is used in three distinct capacities in the joint training project: as a training loss component, as an inference-time NMS metric, and as the architectural motivation for key hyperparameter choices. Each role is documented below with direct reference to the notebook implementation.</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4.1  Role 1 — Training Loss Component</w:t>
      </w:r>
    </w:p>
    <w:p>
      <w:pPr>
        <w:pStyle w:val="Normal"/>
        <w:spacing w:before="80" w:after="80"/>
        <w:ind w:start="180"/>
        <w:jc w:val="both"/>
        <w:rPr/>
      </w:pPr>
      <w:r>
        <w:rPr>
          <w:rFonts w:eastAsia="Arial" w:cs="Arial"/>
          <w:color w:val="1A1A2E"/>
          <w:sz w:val="21"/>
          <w:szCs w:val="21"/>
        </w:rPr>
        <w:t>NWD is one of three loss terms in the composite joint training objective. The total loss is:</w:t>
      </w:r>
    </w:p>
    <w:p>
      <w:pPr>
        <w:pStyle w:val="Normal"/>
        <w:spacing w:before="80" w:after="0"/>
        <w:rPr/>
      </w:pPr>
      <w:r>
        <w:rPr/>
      </w:r>
    </w:p>
    <w:p>
      <w:pPr>
        <w:pStyle w:val="Normal"/>
        <w:pBdr>
          <w:left w:val="single" w:sz="12" w:space="6" w:color="1A6FA8"/>
          <w:right w:val="single" w:sz="12" w:space="6" w:color="1A6FA8"/>
        </w:pBdr>
        <w:shd w:val="clear" w:fill="EBF2FA"/>
        <w:spacing w:before="120" w:after="120"/>
        <w:ind w:start="720" w:end="720"/>
        <w:jc w:val="center"/>
        <w:rPr/>
      </w:pPr>
      <w:r>
        <w:rPr>
          <w:rFonts w:eastAsia="Courier New" w:cs="Courier New" w:ascii="Courier New" w:hAnsi="Courier New"/>
          <w:b/>
          <w:bCs/>
          <w:color w:val="1B2A4A"/>
          <w:sz w:val="23"/>
          <w:szCs w:val="23"/>
        </w:rPr>
        <w:t>L_total  =  L_NWD  +  L_cls  +  λ_SR × L_SR</w:t>
      </w:r>
    </w:p>
    <w:p>
      <w:pPr>
        <w:pStyle w:val="Normal"/>
        <w:spacing w:before="80" w:after="0"/>
        <w:rPr/>
      </w:pPr>
      <w:r>
        <w:rPr/>
      </w:r>
    </w:p>
    <w:tbl>
      <w:tblPr>
        <w:tblW w:w="11360" w:type="dxa"/>
        <w:jc w:val="start"/>
        <w:tblInd w:w="0" w:type="dxa"/>
        <w:tblLayout w:type="fixed"/>
        <w:tblCellMar>
          <w:top w:w="90" w:type="dxa"/>
          <w:start w:w="140" w:type="dxa"/>
          <w:bottom w:w="90" w:type="dxa"/>
          <w:end w:w="140" w:type="dxa"/>
        </w:tblCellMar>
      </w:tblPr>
      <w:tblGrid>
        <w:gridCol w:w="1599"/>
        <w:gridCol w:w="2800"/>
        <w:gridCol w:w="1801"/>
        <w:gridCol w:w="2199"/>
        <w:gridCol w:w="2961"/>
      </w:tblGrid>
      <w:tr>
        <w:trPr>
          <w:tblHeader w:val="true"/>
        </w:trPr>
        <w:tc>
          <w:tcPr>
            <w:tcW w:w="15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Loss Term</w:t>
            </w:r>
          </w:p>
        </w:tc>
        <w:tc>
          <w:tcPr>
            <w:tcW w:w="2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Formula</w:t>
            </w:r>
          </w:p>
        </w:tc>
        <w:tc>
          <w:tcPr>
            <w:tcW w:w="18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Weight</w:t>
            </w:r>
          </w:p>
        </w:tc>
        <w:tc>
          <w:tcPr>
            <w:tcW w:w="21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Module it Trains</w:t>
            </w:r>
          </w:p>
        </w:tc>
        <w:tc>
          <w:tcPr>
            <w:tcW w:w="29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Purpose</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L_NWD</w:t>
            </w:r>
          </w:p>
        </w:tc>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1 − mean(max_gt(NWD(pred,gt)))</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 (unweighted)</w:t>
            </w:r>
          </w:p>
        </w:tc>
        <w:tc>
          <w:tcPr>
            <w:tcW w:w="21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Detection head (box regression)</w:t>
            </w:r>
          </w:p>
        </w:tc>
        <w:tc>
          <w:tcPr>
            <w:tcW w:w="2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Tiny-object-aware bounding box regression</w:t>
            </w:r>
          </w:p>
        </w:tc>
      </w:tr>
      <w:tr>
        <w:trPr/>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L_cls</w:t>
            </w:r>
          </w:p>
        </w:tc>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Cross-entropy(pred_cls, gt_cls)</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 (unweighted)</w:t>
            </w:r>
          </w:p>
        </w:tc>
        <w:tc>
          <w:tcPr>
            <w:tcW w:w="21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Detection head (classification)</w:t>
            </w:r>
          </w:p>
        </w:tc>
        <w:tc>
          <w:tcPr>
            <w:tcW w:w="2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Object class prediction</w:t>
            </w:r>
          </w:p>
        </w:tc>
      </w:tr>
      <w:tr>
        <w:trPr/>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L_SR</w:t>
            </w:r>
          </w:p>
        </w:tc>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L1(ESRGAN(LR), HR)</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0.1 (λ_SR = 0.1)</w:t>
            </w:r>
          </w:p>
        </w:tc>
        <w:tc>
          <w:tcPr>
            <w:tcW w:w="21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ESRGAN super-resolution module</w:t>
            </w:r>
          </w:p>
        </w:tc>
        <w:tc>
          <w:tcPr>
            <w:tcW w:w="2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SR fidelity to HR tile reference</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The λ_SR weight of 0.1 deliberately down-weights the SR loss so that detection gradients — including NWD — dominate the ESRGAN module's parameter updates. This is the key insight of joint training: ESRGAN learns to prioritise reconstruction quality near object boundaries because the NWD gradient signal backpropagates through the detection head back into the ESRGAN upsampling layers.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4.2  Role 2 — The Project's nwd_loss() Implementation (Cell 12)</w:t>
      </w:r>
    </w:p>
    <w:p>
      <w:pPr>
        <w:pStyle w:val="Normal"/>
        <w:spacing w:before="80" w:after="80"/>
        <w:ind w:start="180"/>
        <w:jc w:val="both"/>
        <w:rPr/>
      </w:pPr>
      <w:r>
        <w:rPr>
          <w:rFonts w:eastAsia="Arial" w:cs="Arial"/>
          <w:color w:val="1A1A2E"/>
          <w:sz w:val="21"/>
          <w:szCs w:val="21"/>
        </w:rPr>
        <w:t>The NWD loss function is implemented in Cell 12 of the notebook as a standalone PyTorch function:</w:t>
      </w:r>
    </w:p>
    <w:p>
      <w:pPr>
        <w:pStyle w:val="Normal"/>
        <w:spacing w:before="80" w:after="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def nwd_loss(pred_boxes, gt_boxes, C=12.8):</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if pred_boxes.shape[0] == 0 or gt_boxes.shape[0] == 0:</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return torch.tensor(0.0, device=pred_boxes.device, requires_grad=True)</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 Extract centres and half-dimensions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mu_p  = pred_boxes[:, :2]        # (N_pred, 2)  — predicted centres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sig_p = pred_boxes[:, 2:] / 2    # (N_pred, 2)  — predicted σ = w/2, h/2</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mu_g  = gt_boxes[:, :2]           # (N_gt, 2)    — GT centres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sig_g = gt_boxes[:, 2:] / 2       # (N_gt, 2)    — GT σ</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 Pairwise Wasserstein-2 components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cd = ((mu_p.unsqueeze(1) - mu_g.unsqueeze(0))**2).sum(-1)   # centre dist² (N_pred,N_gt)</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sd = ((sig_p.unsqueeze(1) - sig_g.unsqueeze(0))**2).sum(-1) # size diff²  (N_pred,N_gt)</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 Wasserstein-2 distance</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w2 = torch.sqrt(cd + sd + 1e-7)</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 NWD similarity matrix in [0,1]</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nwd_mat = torch.exp(-w2 / C)</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 Best-match per GT box, average over all GT</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best_nwd = nwd_mat.max(dim=0).values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return (1.0 - best_nwd).mean()</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Line-by-Line Explanation</w:t>
      </w:r>
    </w:p>
    <w:tbl>
      <w:tblPr>
        <w:tblW w:w="9360" w:type="dxa"/>
        <w:jc w:val="start"/>
        <w:tblInd w:w="0" w:type="dxa"/>
        <w:tblLayout w:type="fixed"/>
        <w:tblCellMar>
          <w:top w:w="90" w:type="dxa"/>
          <w:start w:w="140" w:type="dxa"/>
          <w:bottom w:w="90" w:type="dxa"/>
          <w:end w:w="140" w:type="dxa"/>
        </w:tblCellMar>
      </w:tblPr>
      <w:tblGrid>
        <w:gridCol w:w="2600"/>
        <w:gridCol w:w="2799"/>
        <w:gridCol w:w="3961"/>
      </w:tblGrid>
      <w:tr>
        <w:trPr>
          <w:tblHeader w:val="true"/>
        </w:trPr>
        <w:tc>
          <w:tcPr>
            <w:tcW w:w="26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Code Line</w:t>
            </w:r>
          </w:p>
        </w:tc>
        <w:tc>
          <w:tcPr>
            <w:tcW w:w="27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What It Does</w:t>
            </w:r>
          </w:p>
        </w:tc>
        <w:tc>
          <w:tcPr>
            <w:tcW w:w="39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Mathematical Operation</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mu_p = pred_boxes[:,:2]</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Extract (cx, cy) from each predicted box</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μ_P = (cₓ, cᵧ) for all predictions</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sig_p = pred_boxes[:,2:] / 2</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Compute σ_P = (w/2, h/2) for each box</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σ_P = B[2:] / 2 — maps box to Gaussian σ</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mu_g, sig_g</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Same extraction for ground-truth boxes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μ_G, σ_G from GT annotations</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cd = ...unsqueeze...sum(-1)</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Pairwise centre distance² (broadcasting)</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(N_pred×N_gt) matrix of ‖μ_P−μ_G‖²</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sd = ...unsqueeze...sum(-1)</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Pairwise size difference² (broadcasting)</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(N_pred×N_gt) matrix of ‖σ_P−σ_G‖²</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w2 = sqrt(cd + sd + 1e-7)</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Wasserstein-2 distance + stability epsilon</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W₂ = √(cd + sd + ε)</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nwd_mat = exp(-w2 / C)</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similarity matrix ∈ [0,1]</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NWD(Pᵢ,Gⱼ) = exp(−W₂/C)</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best_nwd = nwd_mat.max(dim=0)</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Best-matching prediction per GT box</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best_NWDⱼ = max_i NWD(Pᵢ,Gⱼ)</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return (1-best_nwd).mean()</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Convert similarity to loss; average over GT</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 = mean_j(1 − best_NWDⱼ)</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4.3  Role 3 — NWD-NMS at Inference (Video Pipeline)</w:t>
      </w:r>
    </w:p>
    <w:p>
      <w:pPr>
        <w:pStyle w:val="Normal"/>
        <w:spacing w:before="80" w:after="80"/>
        <w:ind w:start="180"/>
        <w:jc w:val="both"/>
        <w:rPr/>
      </w:pPr>
      <w:r>
        <w:rPr>
          <w:rFonts w:eastAsia="Arial" w:cs="Arial"/>
          <w:color w:val="1A1A2E"/>
          <w:sz w:val="21"/>
          <w:szCs w:val="21"/>
        </w:rPr>
        <w:t>NWD is also used as the suppression metric in the NWD-NMS pipeline applied during the YouTube drone video inference experiment. Rather than using IoU to determine whether two predicted boxes refer to the same object (as in standard NMS), NWD-NMS uses the Wasserstein similarity:</w:t>
      </w:r>
    </w:p>
    <w:p>
      <w:pPr>
        <w:pStyle w:val="Normal"/>
        <w:spacing w:before="80" w:after="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NWD-NMS: suppress duplicate boxes using Wasserstein distance</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Step 1: Disable built-in NMS (set iou=0.99)</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results = model.predict(frame, iou=0.99, conf=0.25)</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Step 2: Compute NWD pairwise similarity</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mu   = boxes[:, :2]          # centres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sig  = boxes[:, 2:] / 2.0    # half-dims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cd   = pairwise_dist_sq(mu)  # (N,N)</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sd   = pairwise_dist_sq(sig) # (N,N)</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w2   = sqrt(cd + sd + 1e-7)</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nwd  = exp(-w2 / 12.8)       # similarity in [0,1]</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Step 3: Neighbourhood re-ranking</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density = (nwd * (nwd &gt; 0.3)).sum(dim=1)</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adj_scores = scores * (1 + 0.05 * density)</w:t>
      </w:r>
    </w:p>
    <w:p>
      <w:pPr>
        <w:pStyle w:val="Normal"/>
        <w:pBdr>
          <w:left w:val="single" w:sz="10" w:space="4" w:color="A93226"/>
        </w:pBdr>
        <w:shd w:val="clear" w:fill="FDF2F0"/>
        <w:spacing w:before="50" w:after="50"/>
        <w:ind w:start="36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Step 4: Greedy NWD-NMS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Suppress box j if NWD(i, j) &gt; threshold (0.65)</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Keep box i (higher adjusted score)</w:t>
      </w:r>
    </w:p>
    <w:p>
      <w:pPr>
        <w:pStyle w:val="Normal"/>
        <w:spacing w:before="80" w:after="0"/>
        <w:rPr/>
      </w:pPr>
      <w:r>
        <w:rPr/>
      </w:r>
    </w:p>
    <w:p>
      <w:pPr>
        <w:pStyle w:val="Normal"/>
        <w:spacing w:before="80" w:after="80"/>
        <w:ind w:start="180"/>
        <w:jc w:val="both"/>
        <w:rPr/>
      </w:pPr>
      <w:r>
        <w:rPr>
          <w:rFonts w:eastAsia="Arial" w:cs="Arial"/>
          <w:color w:val="1A1A2E"/>
          <w:sz w:val="21"/>
          <w:szCs w:val="21"/>
        </w:rPr>
        <w:t>The NWD-NMS threshold of 0.65 means: if two boxes are more than 65% Wasserstein-similar, they are treated as duplicates and the lower-confidence one is suppressed. This is significantly more tolerant than IoU-NMS with threshold 0.45, which suppresses boxes with even moderate geometric overlap — a problem for nearby but distinct vehicles in convoy.</w:t>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1799"/>
        <w:gridCol w:w="3000"/>
        <w:gridCol w:w="2801"/>
        <w:gridCol w:w="1760"/>
      </w:tblGrid>
      <w:tr>
        <w:trPr>
          <w:tblHeader w:val="true"/>
        </w:trPr>
        <w:tc>
          <w:tcPr>
            <w:tcW w:w="17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NMS Method</w:t>
            </w:r>
          </w:p>
        </w:tc>
        <w:tc>
          <w:tcPr>
            <w:tcW w:w="30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Suppression Criterion</w:t>
            </w:r>
          </w:p>
        </w:tc>
        <w:tc>
          <w:tcPr>
            <w:tcW w:w="28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Effect on Convoys</w:t>
            </w:r>
          </w:p>
        </w:tc>
        <w:tc>
          <w:tcPr>
            <w:tcW w:w="176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Threshold Used</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IoU-NMS</w:t>
            </w:r>
          </w:p>
        </w:tc>
        <w:tc>
          <w:tcPr>
            <w:tcW w:w="3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IoU(i,j) &gt; 0.45 → suppress j</w:t>
            </w:r>
          </w:p>
        </w:tc>
        <w:tc>
          <w:tcPr>
            <w:tcW w:w="2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May merge two nearby cars</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0.45 (standard)</w:t>
            </w:r>
          </w:p>
        </w:tc>
      </w:tr>
      <w:tr>
        <w:trPr/>
        <w:tc>
          <w:tcPr>
            <w:tcW w:w="1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NWD-NMS</w:t>
            </w:r>
          </w:p>
        </w:tc>
        <w:tc>
          <w:tcPr>
            <w:tcW w:w="3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NWD(i,j) &gt; 0.65 → suppress j</w:t>
            </w:r>
          </w:p>
        </w:tc>
        <w:tc>
          <w:tcPr>
            <w:tcW w:w="2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Keeps distinct nearby vehicles</w:t>
            </w:r>
          </w:p>
        </w:tc>
        <w:tc>
          <w:tcPr>
            <w:tcW w:w="1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0.65 (project)</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 NMS</w:t>
            </w:r>
          </w:p>
        </w:tc>
        <w:tc>
          <w:tcPr>
            <w:tcW w:w="3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None</w:t>
            </w:r>
          </w:p>
        </w:tc>
        <w:tc>
          <w:tcPr>
            <w:tcW w:w="2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Many duplicates — unusable</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N/A</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4.4  Role 4 — Architectural Motivation (Query Count Decision)</w:t>
      </w:r>
    </w:p>
    <w:p>
      <w:pPr>
        <w:pStyle w:val="Normal"/>
        <w:spacing w:before="80" w:after="80"/>
        <w:ind w:start="180"/>
        <w:jc w:val="both"/>
        <w:rPr/>
      </w:pPr>
      <w:r>
        <w:rPr>
          <w:rFonts w:eastAsia="Arial" w:cs="Arial"/>
          <w:color w:val="1A1A2E"/>
          <w:sz w:val="21"/>
          <w:szCs w:val="21"/>
        </w:rPr>
        <w:t>NWD loss also indirectly motivates one of the architectural decisions in the project: the use of 100 object queries (NUM_QUERIES = 100) for the custom detection head. The Hungarian matching used internally by the NWD loss assignment requires Q ≥ N_per_tile for full coverage:</w:t>
      </w:r>
    </w:p>
    <w:p>
      <w:pPr>
        <w:pStyle w:val="Normal"/>
        <w:spacing w:before="80" w:after="0"/>
        <w:rPr/>
      </w:pPr>
      <w:r>
        <w:rPr/>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NUM_QUERIES = 100   →   supports N_per_tile ≤ 100 objects</w:t>
      </w:r>
      <w:r>
        <w:rPr>
          <w:rFonts w:eastAsia="Courier New" w:cs="Courier New" w:ascii="Courier New" w:hAnsi="Courier New"/>
          <w:i/>
          <w:iCs/>
          <w:color w:val="445566"/>
          <w:sz w:val="18"/>
          <w:szCs w:val="18"/>
        </w:rPr>
        <w:t xml:space="preserve">   // from Cell 12 config</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MAX_BOXES = 50      →   GT tensor padded to 50 slots per tile</w:t>
      </w:r>
      <w:r>
        <w:rPr>
          <w:rFonts w:eastAsia="Courier New" w:cs="Courier New" w:ascii="Courier New" w:hAnsi="Courier New"/>
          <w:i/>
          <w:iCs/>
          <w:color w:val="445566"/>
          <w:sz w:val="18"/>
          <w:szCs w:val="18"/>
        </w:rPr>
        <w:t xml:space="preserve">   // from JointTileDataset</w:t>
      </w:r>
    </w:p>
    <w:p>
      <w:pPr>
        <w:pStyle w:val="Normal"/>
        <w:spacing w:before="60" w:after="0"/>
        <w:rPr/>
      </w:pPr>
      <w:r>
        <w:rPr/>
      </w:r>
    </w:p>
    <w:p>
      <w:pPr>
        <w:pStyle w:val="Normal"/>
        <w:spacing w:before="80" w:after="80"/>
        <w:ind w:start="180"/>
        <w:jc w:val="both"/>
        <w:rPr/>
      </w:pPr>
      <w:r>
        <w:rPr>
          <w:rFonts w:eastAsia="Arial" w:cs="Arial"/>
          <w:color w:val="1A1A2E"/>
          <w:sz w:val="21"/>
          <w:szCs w:val="21"/>
        </w:rPr>
        <w:t>With SAHI tiles producing approximately 20–60 objects per 640×640 crop (after empty-tile filtering), the Query Utilisation Ratio R = N/Q ≤ 50/100 = 0.50 — ensuring no query saturation and full NWD loss coverage for all annotated objects.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4.5  NWD and the Joint Training Feedback Loop</w:t>
      </w:r>
    </w:p>
    <w:p>
      <w:pPr>
        <w:pStyle w:val="Normal"/>
        <w:spacing w:before="80" w:after="80"/>
        <w:ind w:start="180"/>
        <w:jc w:val="both"/>
        <w:rPr/>
      </w:pPr>
      <w:r>
        <w:rPr>
          <w:rFonts w:eastAsia="Arial" w:cs="Arial"/>
          <w:color w:val="1A1A2E"/>
          <w:sz w:val="21"/>
          <w:szCs w:val="21"/>
        </w:rPr>
        <w:t>The most important aspect of NWD in this project is how it enables the joint SR + detection training loop. The feedback mechanism operates as follows:</w:t>
      </w:r>
    </w:p>
    <w:p>
      <w:pPr>
        <w:pStyle w:val="Normal"/>
        <w:spacing w:before="80" w:after="0"/>
        <w:rPr/>
      </w:pPr>
      <w:r>
        <w:rPr/>
      </w:r>
    </w:p>
    <w:tbl>
      <w:tblPr>
        <w:tblW w:w="9360" w:type="dxa"/>
        <w:jc w:val="start"/>
        <w:tblInd w:w="0" w:type="dxa"/>
        <w:tblLayout w:type="fixed"/>
        <w:tblCellMar>
          <w:top w:w="90" w:type="dxa"/>
          <w:start w:w="140" w:type="dxa"/>
          <w:bottom w:w="90" w:type="dxa"/>
          <w:end w:w="140" w:type="dxa"/>
        </w:tblCellMar>
      </w:tblPr>
      <w:tblGrid>
        <w:gridCol w:w="599"/>
        <w:gridCol w:w="2001"/>
        <w:gridCol w:w="2799"/>
        <w:gridCol w:w="3961"/>
      </w:tblGrid>
      <w:tr>
        <w:trPr>
          <w:tblHeader w:val="true"/>
        </w:trPr>
        <w:tc>
          <w:tcPr>
            <w:tcW w:w="5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Step</w:t>
            </w:r>
          </w:p>
        </w:tc>
        <w:tc>
          <w:tcPr>
            <w:tcW w:w="20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Module</w:t>
            </w:r>
          </w:p>
        </w:tc>
        <w:tc>
          <w:tcPr>
            <w:tcW w:w="27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Operation</w:t>
            </w:r>
          </w:p>
        </w:tc>
        <w:tc>
          <w:tcPr>
            <w:tcW w:w="39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NWD Role</w:t>
            </w:r>
          </w:p>
        </w:tc>
      </w:tr>
      <w:tr>
        <w:trPr/>
        <w:tc>
          <w:tcPr>
            <w:tcW w:w="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w:t>
            </w:r>
          </w:p>
        </w:tc>
        <w:tc>
          <w:tcPr>
            <w:tcW w:w="20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JointTileDataset</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Load (LR tile, HR tile, YOLO boxes)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Boxes are GT for NWD computation</w:t>
            </w:r>
          </w:p>
        </w:tc>
      </w:tr>
      <w:tr>
        <w:trPr/>
        <w:tc>
          <w:tcPr>
            <w:tcW w:w="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2</w:t>
            </w:r>
          </w:p>
        </w:tc>
        <w:tc>
          <w:tcPr>
            <w:tcW w:w="20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ESRGAN</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LR → SR image (2× or 4× upscaling)</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SR output fed to detection head</w:t>
            </w:r>
          </w:p>
        </w:tc>
      </w:tr>
      <w:tr>
        <w:trPr/>
        <w:tc>
          <w:tcPr>
            <w:tcW w:w="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3</w:t>
            </w:r>
          </w:p>
        </w:tc>
        <w:tc>
          <w:tcPr>
            <w:tcW w:w="20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DetectionHead</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SR image → 100 predicted (cx,cy,w,h,cls)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Predictions evaluated by NWD</w:t>
            </w:r>
          </w:p>
        </w:tc>
      </w:tr>
      <w:tr>
        <w:trPr/>
        <w:tc>
          <w:tcPr>
            <w:tcW w:w="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4</w:t>
            </w:r>
          </w:p>
        </w:tc>
        <w:tc>
          <w:tcPr>
            <w:tcW w:w="20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nwd_loss()</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Compute NWD similarity between preds and GT boxes</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Penalises positional + size error</w:t>
            </w:r>
          </w:p>
        </w:tc>
      </w:tr>
      <w:tr>
        <w:trPr/>
        <w:tc>
          <w:tcPr>
            <w:tcW w:w="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5</w:t>
            </w:r>
          </w:p>
        </w:tc>
        <w:tc>
          <w:tcPr>
            <w:tcW w:w="20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L_cls</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Cross-entropy between predicted and GT classes</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Penalises classification error</w:t>
            </w:r>
          </w:p>
        </w:tc>
      </w:tr>
      <w:tr>
        <w:trPr/>
        <w:tc>
          <w:tcPr>
            <w:tcW w:w="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6</w:t>
            </w:r>
          </w:p>
        </w:tc>
        <w:tc>
          <w:tcPr>
            <w:tcW w:w="20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L_SR</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L1(SR output, HR tile)</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Penalises SR fidelity error</w:t>
            </w:r>
          </w:p>
        </w:tc>
      </w:tr>
      <w:tr>
        <w:trPr/>
        <w:tc>
          <w:tcPr>
            <w:tcW w:w="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7</w:t>
            </w:r>
          </w:p>
        </w:tc>
        <w:tc>
          <w:tcPr>
            <w:tcW w:w="20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L_total</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L_NWD + L_cls + 0.1×L_SR</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Combined gradient signal</w:t>
            </w:r>
          </w:p>
        </w:tc>
      </w:tr>
      <w:tr>
        <w:trPr/>
        <w:tc>
          <w:tcPr>
            <w:tcW w:w="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8</w:t>
            </w:r>
          </w:p>
        </w:tc>
        <w:tc>
          <w:tcPr>
            <w:tcW w:w="20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Backprop</w:t>
            </w:r>
          </w:p>
        </w:tc>
        <w:tc>
          <w:tcPr>
            <w:tcW w:w="2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Gradients flow: DetHead ← ESRGAN</w:t>
            </w:r>
          </w:p>
        </w:tc>
        <w:tc>
          <w:tcPr>
            <w:tcW w:w="39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gradient propagates into ESRGAN</w:t>
            </w:r>
          </w:p>
        </w:tc>
      </w:tr>
      <w:tr>
        <w:trPr/>
        <w:tc>
          <w:tcPr>
            <w:tcW w:w="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9</w:t>
            </w:r>
          </w:p>
        </w:tc>
        <w:tc>
          <w:tcPr>
            <w:tcW w:w="20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ESRGAN update</w:t>
            </w:r>
          </w:p>
        </w:tc>
        <w:tc>
          <w:tcPr>
            <w:tcW w:w="2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Parameters updated to improve detection</w:t>
            </w:r>
          </w:p>
        </w:tc>
        <w:tc>
          <w:tcPr>
            <w:tcW w:w="39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SR learns to enhance object regions</w:t>
            </w:r>
          </w:p>
        </w:tc>
      </w:tr>
    </w:tbl>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8B6914"/>
              <w:start w:val="single" w:sz="2" w:space="0" w:color="8B6914"/>
              <w:bottom w:val="single" w:sz="2" w:space="0" w:color="8B6914"/>
              <w:end w:val="single" w:sz="2" w:space="0" w:color="8B6914"/>
            </w:tcBorders>
            <w:shd w:fill="8B6914" w:val="clear"/>
            <w:vAlign w:val="center"/>
          </w:tcPr>
          <w:p>
            <w:pPr>
              <w:pStyle w:val="Normal"/>
              <w:jc w:val="center"/>
              <w:rPr/>
            </w:pPr>
            <w:r>
              <w:rPr>
                <w:rFonts w:eastAsia="Arial" w:cs="Arial"/>
                <w:b/>
                <w:bCs/>
                <w:color w:val="FFFFFF"/>
                <w:sz w:val="26"/>
                <w:szCs w:val="26"/>
              </w:rPr>
              <w:t>⚑</w:t>
            </w:r>
          </w:p>
        </w:tc>
        <w:tc>
          <w:tcPr>
            <w:tcW w:w="9040" w:type="dxa"/>
            <w:tcBorders>
              <w:top w:val="single" w:sz="2" w:space="0" w:color="8B6914"/>
              <w:start w:val="single" w:sz="2" w:space="0" w:color="8B6914"/>
              <w:bottom w:val="single" w:sz="2" w:space="0" w:color="8B6914"/>
              <w:end w:val="single" w:sz="2" w:space="0" w:color="8B6914"/>
            </w:tcBorders>
            <w:shd w:fill="FFF8E1" w:val="clear"/>
            <w:tcMar>
              <w:top w:w="100" w:type="dxa"/>
              <w:start w:w="160" w:type="dxa"/>
              <w:bottom w:w="100" w:type="dxa"/>
              <w:end w:w="160" w:type="dxa"/>
            </w:tcMar>
          </w:tcPr>
          <w:p>
            <w:pPr>
              <w:pStyle w:val="Normal"/>
              <w:spacing w:before="0" w:after="50"/>
              <w:rPr/>
            </w:pPr>
            <w:r>
              <w:rPr>
                <w:rFonts w:eastAsia="Arial" w:cs="Arial"/>
                <w:b/>
                <w:bCs/>
                <w:color w:val="8B6914"/>
                <w:sz w:val="21"/>
                <w:szCs w:val="21"/>
              </w:rPr>
              <w:t>The Key Joint Training Insight</w:t>
            </w:r>
          </w:p>
          <w:p>
            <w:pPr>
              <w:pStyle w:val="Normal"/>
              <w:spacing w:before="0" w:after="0"/>
              <w:rPr/>
            </w:pPr>
            <w:r>
              <w:rPr>
                <w:rFonts w:eastAsia="Arial" w:cs="Arial"/>
                <w:color w:val="1A1A2E"/>
                <w:sz w:val="20"/>
                <w:szCs w:val="20"/>
              </w:rPr>
              <w:t>In step 8, the NWD gradient backpropagates through the detection head back into the ESRGAN module. This means ESRGAN is not merely trained to maximise pixel-level fidelity (PSNR/SSIM) — it is also trained to produce super-resolved images where the regions corresponding to vehicle bounding boxes have high Wasserstein similarity to the ground-truth box positions. ESRGAN learns to sharpen and clarify exactly those spatial regions where tiny vehicles are located, guided by NWD's scale-aware distance signal.</w:t>
            </w:r>
          </w:p>
        </w:tc>
      </w:tr>
    </w:tbl>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5.  PROJECT EXPERIMENTS — NWD CONFIGURATION BY DATASET</w:t>
      </w:r>
    </w:p>
    <w:p>
      <w:pPr>
        <w:pStyle w:val="Normal"/>
        <w:spacing w:before="80" w:after="0"/>
        <w:rPr/>
      </w:pPr>
      <w:r>
        <w:rPr/>
      </w:r>
    </w:p>
    <w:p>
      <w:pPr>
        <w:pStyle w:val="Normal"/>
        <w:spacing w:before="80" w:after="80"/>
        <w:ind w:start="180"/>
        <w:jc w:val="both"/>
        <w:rPr/>
      </w:pPr>
      <w:r>
        <w:rPr>
          <w:rFonts w:eastAsia="Arial" w:cs="Arial"/>
          <w:color w:val="1A1A2E"/>
          <w:sz w:val="21"/>
          <w:szCs w:val="21"/>
        </w:rPr>
        <w:t>The project runs four joint training experiments, each using NWD loss with the same C = 12.8 constant but applied to different dataset and SR scale combinations. The table below summarises the NWD configuration for each:</w:t>
      </w:r>
    </w:p>
    <w:p>
      <w:pPr>
        <w:pStyle w:val="Normal"/>
        <w:spacing w:before="80" w:after="0"/>
        <w:rPr/>
      </w:pPr>
      <w:r>
        <w:rPr/>
      </w:r>
    </w:p>
    <w:tbl>
      <w:tblPr>
        <w:tblW w:w="11960" w:type="dxa"/>
        <w:jc w:val="start"/>
        <w:tblInd w:w="0" w:type="dxa"/>
        <w:tblLayout w:type="fixed"/>
        <w:tblCellMar>
          <w:top w:w="90" w:type="dxa"/>
          <w:start w:w="140" w:type="dxa"/>
          <w:bottom w:w="90" w:type="dxa"/>
          <w:end w:w="140" w:type="dxa"/>
        </w:tblCellMar>
      </w:tblPr>
      <w:tblGrid>
        <w:gridCol w:w="1799"/>
        <w:gridCol w:w="2000"/>
        <w:gridCol w:w="1201"/>
        <w:gridCol w:w="1200"/>
        <w:gridCol w:w="999"/>
        <w:gridCol w:w="1200"/>
        <w:gridCol w:w="3561"/>
      </w:tblGrid>
      <w:tr>
        <w:trPr>
          <w:tblHeader w:val="true"/>
        </w:trPr>
        <w:tc>
          <w:tcPr>
            <w:tcW w:w="17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Experiment</w:t>
            </w:r>
          </w:p>
        </w:tc>
        <w:tc>
          <w:tcPr>
            <w:tcW w:w="20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Dataset</w:t>
            </w:r>
          </w:p>
        </w:tc>
        <w:tc>
          <w:tcPr>
            <w:tcW w:w="12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SR Scale</w:t>
            </w:r>
          </w:p>
        </w:tc>
        <w:tc>
          <w:tcPr>
            <w:tcW w:w="12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NWD C</w:t>
            </w:r>
          </w:p>
        </w:tc>
        <w:tc>
          <w:tcPr>
            <w:tcW w:w="9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Epochs</w:t>
            </w:r>
          </w:p>
        </w:tc>
        <w:tc>
          <w:tcPr>
            <w:tcW w:w="12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Classes</w:t>
            </w:r>
          </w:p>
        </w:tc>
        <w:tc>
          <w:tcPr>
            <w:tcW w:w="35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NWD Role</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VisDrone 2×</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VisDrone Tiny</w:t>
            </w:r>
          </w:p>
        </w:tc>
        <w:tc>
          <w:tcPr>
            <w:tcW w:w="1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w:t>
            </w:r>
          </w:p>
        </w:tc>
        <w:tc>
          <w:tcPr>
            <w:tcW w:w="1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12.8</w:t>
            </w:r>
          </w:p>
        </w:tc>
        <w:tc>
          <w:tcPr>
            <w:tcW w:w="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w:t>
            </w:r>
          </w:p>
        </w:tc>
        <w:tc>
          <w:tcPr>
            <w:tcW w:w="1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w:t>
            </w:r>
          </w:p>
        </w:tc>
        <w:tc>
          <w:tcPr>
            <w:tcW w:w="35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Primary regression loss over 640×640 SR tiles</w:t>
            </w:r>
          </w:p>
        </w:tc>
      </w:tr>
      <w:tr>
        <w:trPr/>
        <w:tc>
          <w:tcPr>
            <w:tcW w:w="1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VisDrone 4×</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VisDrone Tiny</w:t>
            </w:r>
          </w:p>
        </w:tc>
        <w:tc>
          <w:tcPr>
            <w:tcW w:w="1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4×</w:t>
            </w:r>
          </w:p>
        </w:tc>
        <w:tc>
          <w:tcPr>
            <w:tcW w:w="1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12.8</w:t>
            </w:r>
          </w:p>
        </w:tc>
        <w:tc>
          <w:tcPr>
            <w:tcW w:w="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w:t>
            </w:r>
          </w:p>
        </w:tc>
        <w:tc>
          <w:tcPr>
            <w:tcW w:w="1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6</w:t>
            </w:r>
          </w:p>
        </w:tc>
        <w:tc>
          <w:tcPr>
            <w:tcW w:w="35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Same but 160→640 upscale path</w:t>
            </w:r>
          </w:p>
        </w:tc>
      </w:tr>
      <w:tr>
        <w:trPr/>
        <w:tc>
          <w:tcPr>
            <w:tcW w:w="17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AI-TOD 2×</w:t>
            </w:r>
          </w:p>
        </w:tc>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AI-TOD Sampled</w:t>
            </w:r>
          </w:p>
        </w:tc>
        <w:tc>
          <w:tcPr>
            <w:tcW w:w="1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w:t>
            </w:r>
          </w:p>
        </w:tc>
        <w:tc>
          <w:tcPr>
            <w:tcW w:w="1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12.8</w:t>
            </w:r>
          </w:p>
        </w:tc>
        <w:tc>
          <w:tcPr>
            <w:tcW w:w="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w:t>
            </w:r>
          </w:p>
        </w:tc>
        <w:tc>
          <w:tcPr>
            <w:tcW w:w="1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8</w:t>
            </w:r>
          </w:p>
        </w:tc>
        <w:tc>
          <w:tcPr>
            <w:tcW w:w="35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Critical — AI-TOD objects near C scale</w:t>
            </w:r>
          </w:p>
        </w:tc>
      </w:tr>
      <w:tr>
        <w:trPr/>
        <w:tc>
          <w:tcPr>
            <w:tcW w:w="17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AI-TOD 4×</w:t>
            </w:r>
          </w:p>
        </w:tc>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AI-TOD Sampled</w:t>
            </w:r>
          </w:p>
        </w:tc>
        <w:tc>
          <w:tcPr>
            <w:tcW w:w="1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4×</w:t>
            </w:r>
          </w:p>
        </w:tc>
        <w:tc>
          <w:tcPr>
            <w:tcW w:w="1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12.8</w:t>
            </w:r>
          </w:p>
        </w:tc>
        <w:tc>
          <w:tcPr>
            <w:tcW w:w="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w:t>
            </w:r>
          </w:p>
        </w:tc>
        <w:tc>
          <w:tcPr>
            <w:tcW w:w="1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8</w:t>
            </w:r>
          </w:p>
        </w:tc>
        <w:tc>
          <w:tcPr>
            <w:tcW w:w="35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Harder — 160→640 introduces more noise</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A note on C = 12.8 across VisDrone: VisDrone objects average ~40 px, which is significantly larger than the C = 12.8 value optimised for AI-TOD. This means NWD is slightly more permissive for VisDrone (the unit displacement is smaller relative to object size), but it still provides substantially better gradient signal than IoU for the sub-16 px objects in the VisDrone tiny filtered subset that the project uses.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5.1  Loss History Tracking</w:t>
      </w:r>
    </w:p>
    <w:p>
      <w:pPr>
        <w:pStyle w:val="Normal"/>
        <w:spacing w:before="80" w:after="80"/>
        <w:ind w:start="180"/>
        <w:jc w:val="both"/>
        <w:rPr/>
      </w:pPr>
      <w:r>
        <w:rPr>
          <w:rFonts w:eastAsia="Arial" w:cs="Arial"/>
          <w:color w:val="1A1A2E"/>
          <w:sz w:val="21"/>
          <w:szCs w:val="21"/>
        </w:rPr>
        <w:t>The JointNWDTrainer class (Cell 12) tracks all three loss components per epoch in a history dictionary:</w:t>
      </w:r>
    </w:p>
    <w:p>
      <w:pPr>
        <w:pStyle w:val="Normal"/>
        <w:spacing w:before="80" w:after="0"/>
        <w:rPr/>
      </w:pPr>
      <w:r>
        <w:rPr/>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trainer.history = {</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'L_total': [],   # L_NWD + L_cls + 0.1*L_SR per epoch</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'L_nwd':   [],   # NWD box regression loss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'L_cls':   [],   # Cross-entropy classification loss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 xml:space="preserve">    </w:t>
      </w:r>
      <w:r>
        <w:rPr>
          <w:rFonts w:eastAsia="Courier New" w:cs="Courier New" w:ascii="Courier New" w:hAnsi="Courier New"/>
          <w:color w:val="A93226"/>
          <w:sz w:val="19"/>
          <w:szCs w:val="19"/>
        </w:rPr>
        <w:t>'L_sr':    [],   # SR L1 fidelity loss</w:t>
      </w:r>
    </w:p>
    <w:p>
      <w:pPr>
        <w:pStyle w:val="Normal"/>
        <w:pBdr>
          <w:left w:val="single" w:sz="10" w:space="4" w:color="A93226"/>
        </w:pBdr>
        <w:shd w:val="clear" w:fill="FDF2F0"/>
        <w:spacing w:before="50" w:after="50"/>
        <w:ind w:start="360"/>
        <w:rPr/>
      </w:pPr>
      <w:r>
        <w:rPr>
          <w:rFonts w:eastAsia="Courier New" w:cs="Courier New" w:ascii="Courier New" w:hAnsi="Courier New"/>
          <w:color w:val="A93226"/>
          <w:sz w:val="19"/>
          <w:szCs w:val="19"/>
        </w:rPr>
        <w:t>}</w:t>
      </w:r>
    </w:p>
    <w:p>
      <w:pPr>
        <w:pStyle w:val="Normal"/>
        <w:spacing w:before="80" w:after="0"/>
        <w:rPr/>
      </w:pPr>
      <w:r>
        <w:rPr/>
      </w:r>
    </w:p>
    <w:p>
      <w:pPr>
        <w:pStyle w:val="Normal"/>
        <w:spacing w:before="80" w:after="80"/>
        <w:ind w:start="180"/>
        <w:jc w:val="both"/>
        <w:rPr/>
      </w:pPr>
      <w:r>
        <w:rPr>
          <w:rFonts w:eastAsia="Arial" w:cs="Arial"/>
          <w:color w:val="1A1A2E"/>
          <w:sz w:val="21"/>
          <w:szCs w:val="21"/>
        </w:rPr>
        <w:t>The loss curves for all four experiments are visualised in Cells 15–16 of the notebook, with separate panels for each loss component. The NWD curve (L_nwd panel) is the most diagnostic: a decreasing L_nwd across epochs indicates that predicted boxes are progressively moving closer — in Wasserstein distance — to their ground-truth counterparts on the super-resolved tiles.</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5.2  Training Hyperparameters Affecting NWD</w:t>
      </w:r>
    </w:p>
    <w:tbl>
      <w:tblPr>
        <w:tblW w:w="9360" w:type="dxa"/>
        <w:jc w:val="start"/>
        <w:tblInd w:w="0" w:type="dxa"/>
        <w:tblLayout w:type="fixed"/>
        <w:tblCellMar>
          <w:top w:w="90" w:type="dxa"/>
          <w:start w:w="140" w:type="dxa"/>
          <w:bottom w:w="90" w:type="dxa"/>
          <w:end w:w="140" w:type="dxa"/>
        </w:tblCellMar>
      </w:tblPr>
      <w:tblGrid>
        <w:gridCol w:w="2600"/>
        <w:gridCol w:w="1400"/>
        <w:gridCol w:w="5360"/>
      </w:tblGrid>
      <w:tr>
        <w:trPr>
          <w:tblHeader w:val="true"/>
        </w:trPr>
        <w:tc>
          <w:tcPr>
            <w:tcW w:w="26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Hyperparameter</w:t>
            </w:r>
          </w:p>
        </w:tc>
        <w:tc>
          <w:tcPr>
            <w:tcW w:w="14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Value</w:t>
            </w:r>
          </w:p>
        </w:tc>
        <w:tc>
          <w:tcPr>
            <w:tcW w:w="536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Impact on NWD</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 (NWD constant)</w:t>
            </w:r>
          </w:p>
        </w:tc>
        <w:tc>
          <w:tcPr>
            <w:tcW w:w="1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12.8</w:t>
            </w:r>
          </w:p>
        </w:tc>
        <w:tc>
          <w:tcPr>
            <w:tcW w:w="5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Determines loss scale; tuned to AI-TOD mean object size</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MAX_BOXES</w:t>
            </w:r>
          </w:p>
        </w:tc>
        <w:tc>
          <w:tcPr>
            <w:tcW w:w="1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50</w:t>
            </w:r>
          </w:p>
        </w:tc>
        <w:tc>
          <w:tcPr>
            <w:tcW w:w="53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Pads GT tensor to 50 rows; cls=−1 rows excluded from NWD</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NUM_QUERIES</w:t>
            </w:r>
          </w:p>
        </w:tc>
        <w:tc>
          <w:tcPr>
            <w:tcW w:w="1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100</w:t>
            </w:r>
          </w:p>
        </w:tc>
        <w:tc>
          <w:tcPr>
            <w:tcW w:w="5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Detection head outputs 100 box predictions for NWD matching</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LR_DETECT</w:t>
            </w:r>
          </w:p>
        </w:tc>
        <w:tc>
          <w:tcPr>
            <w:tcW w:w="1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1e-4</w:t>
            </w:r>
          </w:p>
        </w:tc>
        <w:tc>
          <w:tcPr>
            <w:tcW w:w="53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Adam LR for detection head — governs NWD gradient update speed</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LR_ESRGAN</w:t>
            </w:r>
          </w:p>
        </w:tc>
        <w:tc>
          <w:tcPr>
            <w:tcW w:w="1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1e-4</w:t>
            </w:r>
          </w:p>
        </w:tc>
        <w:tc>
          <w:tcPr>
            <w:tcW w:w="5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Adam LR for ESRGAN — governs how fast SR adapts to NWD signal</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λ_SR</w:t>
            </w:r>
          </w:p>
        </w:tc>
        <w:tc>
          <w:tcPr>
            <w:tcW w:w="1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0.1</w:t>
            </w:r>
          </w:p>
        </w:tc>
        <w:tc>
          <w:tcPr>
            <w:tcW w:w="53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Downweights SR loss so NWD+cls gradients dominate ESRGAN updates</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GRAD_ACCUM</w:t>
            </w:r>
          </w:p>
        </w:tc>
        <w:tc>
          <w:tcPr>
            <w:tcW w:w="1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4</w:t>
            </w:r>
          </w:p>
        </w:tc>
        <w:tc>
          <w:tcPr>
            <w:tcW w:w="5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Effective batch size 4 — averages NWD over 4 tiles before update</w:t>
            </w:r>
          </w:p>
        </w:tc>
      </w:tr>
      <w:tr>
        <w:trPr/>
        <w:tc>
          <w:tcPr>
            <w:tcW w:w="2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BATCH_SIZE</w:t>
            </w:r>
          </w:p>
        </w:tc>
        <w:tc>
          <w:tcPr>
            <w:tcW w:w="14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w:t>
            </w:r>
          </w:p>
        </w:tc>
        <w:tc>
          <w:tcPr>
            <w:tcW w:w="53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Single tile per forward — NWD computed on one tile at a time</w:t>
            </w:r>
          </w:p>
        </w:tc>
      </w:tr>
      <w:tr>
        <w:trPr/>
        <w:tc>
          <w:tcPr>
            <w:tcW w:w="2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epsilon (in w2 sqrt)</w:t>
            </w:r>
          </w:p>
        </w:tc>
        <w:tc>
          <w:tcPr>
            <w:tcW w:w="14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1e-7</w:t>
            </w:r>
          </w:p>
        </w:tc>
        <w:tc>
          <w:tcPr>
            <w:tcW w:w="5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Numerical stability — prevents sqrt(0) NaN when boxes perfectly match</w:t>
            </w:r>
          </w:p>
        </w:tc>
      </w:tr>
    </w:tbl>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6.  NWD vs OTHER LOSSES — COMPREHENSIVE COMPARISON</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6.1  Property Comparison Matrix</w:t>
      </w:r>
    </w:p>
    <w:tbl>
      <w:tblPr>
        <w:tblW w:w="9160" w:type="dxa"/>
        <w:jc w:val="start"/>
        <w:tblInd w:w="0" w:type="dxa"/>
        <w:tblLayout w:type="fixed"/>
        <w:tblCellMar>
          <w:top w:w="90" w:type="dxa"/>
          <w:start w:w="140" w:type="dxa"/>
          <w:bottom w:w="90" w:type="dxa"/>
          <w:end w:w="140" w:type="dxa"/>
        </w:tblCellMar>
      </w:tblPr>
      <w:tblGrid>
        <w:gridCol w:w="2800"/>
        <w:gridCol w:w="3179"/>
        <w:gridCol w:w="3181"/>
      </w:tblGrid>
      <w:tr>
        <w:trPr>
          <w:tblHeader w:val="true"/>
        </w:trPr>
        <w:tc>
          <w:tcPr>
            <w:tcW w:w="2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Property</w:t>
            </w:r>
          </w:p>
        </w:tc>
        <w:tc>
          <w:tcPr>
            <w:tcW w:w="3179" w:type="dxa"/>
            <w:tcBorders>
              <w:top w:val="single" w:sz="2" w:space="0" w:color="889AAB"/>
              <w:start w:val="single" w:sz="2" w:space="0" w:color="889AAB"/>
              <w:bottom w:val="single" w:sz="2" w:space="0" w:color="889AAB"/>
              <w:end w:val="single" w:sz="2" w:space="0" w:color="889AAB"/>
            </w:tcBorders>
            <w:shd w:fill="A93226" w:val="clear"/>
            <w:vAlign w:val="center"/>
          </w:tcPr>
          <w:p>
            <w:pPr>
              <w:pStyle w:val="Normal"/>
              <w:jc w:val="center"/>
              <w:rPr/>
            </w:pPr>
            <w:r>
              <w:rPr>
                <w:rFonts w:eastAsia="Arial" w:cs="Arial"/>
                <w:b/>
                <w:bCs/>
                <w:color w:val="FFFFFF"/>
                <w:sz w:val="19"/>
                <w:szCs w:val="19"/>
              </w:rPr>
              <w:t>IoU / GIoU / DIoU</w:t>
            </w:r>
          </w:p>
        </w:tc>
        <w:tc>
          <w:tcPr>
            <w:tcW w:w="3181" w:type="dxa"/>
            <w:tcBorders>
              <w:top w:val="single" w:sz="2" w:space="0" w:color="889AAB"/>
              <w:start w:val="single" w:sz="2" w:space="0" w:color="889AAB"/>
              <w:bottom w:val="single" w:sz="2" w:space="0" w:color="889AAB"/>
              <w:end w:val="single" w:sz="2" w:space="0" w:color="889AAB"/>
            </w:tcBorders>
            <w:shd w:fill="1A6FA8" w:val="clear"/>
            <w:vAlign w:val="center"/>
          </w:tcPr>
          <w:p>
            <w:pPr>
              <w:pStyle w:val="Normal"/>
              <w:jc w:val="center"/>
              <w:rPr/>
            </w:pPr>
            <w:r>
              <w:rPr>
                <w:rFonts w:eastAsia="Arial" w:cs="Arial"/>
                <w:b/>
                <w:bCs/>
                <w:color w:val="FFFFFF"/>
                <w:sz w:val="19"/>
                <w:szCs w:val="19"/>
              </w:rPr>
              <w:t>NWD</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Non-overlapping gradient</w:t>
            </w:r>
          </w:p>
        </w:tc>
        <w:tc>
          <w:tcPr>
            <w:tcW w:w="3179" w:type="dxa"/>
            <w:tcBorders>
              <w:top w:val="single" w:sz="2" w:space="0" w:color="C8D0DB"/>
              <w:start w:val="single" w:sz="2" w:space="0" w:color="C8D0DB"/>
              <w:bottom w:val="single" w:sz="2" w:space="0" w:color="C8D0DB"/>
              <w:end w:val="single" w:sz="2" w:space="0" w:color="C8D0DB"/>
            </w:tcBorders>
            <w:shd w:fill="FFF8F8" w:val="clear"/>
            <w:tcMar>
              <w:top w:w="80" w:type="dxa"/>
              <w:bottom w:w="80" w:type="dxa"/>
            </w:tcMar>
            <w:vAlign w:val="center"/>
          </w:tcPr>
          <w:p>
            <w:pPr>
              <w:pStyle w:val="Normal"/>
              <w:jc w:val="start"/>
              <w:rPr/>
            </w:pPr>
            <w:r>
              <w:rPr>
                <w:rFonts w:eastAsia="Arial" w:cs="Arial"/>
                <w:b w:val="false"/>
                <w:bCs w:val="false"/>
                <w:color w:val="A93226"/>
                <w:sz w:val="19"/>
                <w:szCs w:val="19"/>
              </w:rPr>
              <w:t>Zero (IoU) / Partial (GIoU)</w:t>
            </w:r>
          </w:p>
        </w:tc>
        <w:tc>
          <w:tcPr>
            <w:tcW w:w="3181" w:type="dxa"/>
            <w:tcBorders>
              <w:top w:val="single" w:sz="2" w:space="0" w:color="C8D0DB"/>
              <w:start w:val="single" w:sz="2" w:space="0" w:color="C8D0DB"/>
              <w:bottom w:val="single" w:sz="2" w:space="0" w:color="C8D0DB"/>
              <w:end w:val="single" w:sz="2" w:space="0" w:color="C8D0DB"/>
            </w:tcBorders>
            <w:shd w:fill="F0F8FF" w:val="clear"/>
            <w:tcMar>
              <w:top w:w="80" w:type="dxa"/>
              <w:bottom w:w="80" w:type="dxa"/>
            </w:tcMar>
            <w:vAlign w:val="center"/>
          </w:tcPr>
          <w:p>
            <w:pPr>
              <w:pStyle w:val="Normal"/>
              <w:jc w:val="start"/>
              <w:rPr/>
            </w:pPr>
            <w:r>
              <w:rPr>
                <w:rFonts w:eastAsia="Arial" w:cs="Arial"/>
                <w:b w:val="false"/>
                <w:bCs w:val="false"/>
                <w:color w:val="1A6FA8"/>
                <w:sz w:val="19"/>
                <w:szCs w:val="19"/>
              </w:rPr>
              <w:t>Always non-zero</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Scale awareness</w:t>
            </w:r>
          </w:p>
        </w:tc>
        <w:tc>
          <w:tcPr>
            <w:tcW w:w="3179" w:type="dxa"/>
            <w:tcBorders>
              <w:top w:val="single" w:sz="2" w:space="0" w:color="C8D0DB"/>
              <w:start w:val="single" w:sz="2" w:space="0" w:color="C8D0DB"/>
              <w:bottom w:val="single" w:sz="2" w:space="0" w:color="C8D0DB"/>
              <w:end w:val="single" w:sz="2" w:space="0" w:color="C8D0DB"/>
            </w:tcBorders>
            <w:shd w:fill="FFEEEE" w:val="clear"/>
            <w:tcMar>
              <w:top w:w="80" w:type="dxa"/>
              <w:bottom w:w="80" w:type="dxa"/>
            </w:tcMar>
            <w:vAlign w:val="center"/>
          </w:tcPr>
          <w:p>
            <w:pPr>
              <w:pStyle w:val="Normal"/>
              <w:jc w:val="start"/>
              <w:rPr/>
            </w:pPr>
            <w:r>
              <w:rPr>
                <w:rFonts w:eastAsia="Arial" w:cs="Arial"/>
                <w:b w:val="false"/>
                <w:bCs w:val="false"/>
                <w:color w:val="A93226"/>
                <w:sz w:val="19"/>
                <w:szCs w:val="19"/>
              </w:rPr>
              <w:t>None — absolute pixel distances</w:t>
            </w:r>
          </w:p>
        </w:tc>
        <w:tc>
          <w:tcPr>
            <w:tcW w:w="3181" w:type="dxa"/>
            <w:tcBorders>
              <w:top w:val="single" w:sz="2" w:space="0" w:color="C8D0DB"/>
              <w:start w:val="single" w:sz="2" w:space="0" w:color="C8D0DB"/>
              <w:bottom w:val="single" w:sz="2" w:space="0" w:color="C8D0DB"/>
              <w:end w:val="single" w:sz="2" w:space="0" w:color="C8D0DB"/>
            </w:tcBorders>
            <w:shd w:fill="E8F2FF" w:val="clear"/>
            <w:tcMar>
              <w:top w:w="80" w:type="dxa"/>
              <w:bottom w:w="80" w:type="dxa"/>
            </w:tcMar>
            <w:vAlign w:val="center"/>
          </w:tcPr>
          <w:p>
            <w:pPr>
              <w:pStyle w:val="Normal"/>
              <w:jc w:val="start"/>
              <w:rPr/>
            </w:pPr>
            <w:r>
              <w:rPr>
                <w:rFonts w:eastAsia="Arial" w:cs="Arial"/>
                <w:b w:val="false"/>
                <w:bCs w:val="false"/>
                <w:color w:val="1A6FA8"/>
                <w:sz w:val="19"/>
                <w:szCs w:val="19"/>
              </w:rPr>
              <w:t>Full — normalised by σ=w/2</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Bounded output</w:t>
            </w:r>
          </w:p>
        </w:tc>
        <w:tc>
          <w:tcPr>
            <w:tcW w:w="3179" w:type="dxa"/>
            <w:tcBorders>
              <w:top w:val="single" w:sz="2" w:space="0" w:color="C8D0DB"/>
              <w:start w:val="single" w:sz="2" w:space="0" w:color="C8D0DB"/>
              <w:bottom w:val="single" w:sz="2" w:space="0" w:color="C8D0DB"/>
              <w:end w:val="single" w:sz="2" w:space="0" w:color="C8D0DB"/>
            </w:tcBorders>
            <w:shd w:fill="FFF8F8" w:val="clear"/>
            <w:tcMar>
              <w:top w:w="80" w:type="dxa"/>
              <w:bottom w:w="80" w:type="dxa"/>
            </w:tcMar>
            <w:vAlign w:val="center"/>
          </w:tcPr>
          <w:p>
            <w:pPr>
              <w:pStyle w:val="Normal"/>
              <w:jc w:val="start"/>
              <w:rPr/>
            </w:pPr>
            <w:r>
              <w:rPr>
                <w:rFonts w:eastAsia="Arial" w:cs="Arial"/>
                <w:b w:val="false"/>
                <w:bCs w:val="false"/>
                <w:color w:val="A93226"/>
                <w:sz w:val="19"/>
                <w:szCs w:val="19"/>
              </w:rPr>
              <w:t>IoU ∈ [0,1]; GIoU ∈ [−1,1]</w:t>
            </w:r>
          </w:p>
        </w:tc>
        <w:tc>
          <w:tcPr>
            <w:tcW w:w="3181" w:type="dxa"/>
            <w:tcBorders>
              <w:top w:val="single" w:sz="2" w:space="0" w:color="C8D0DB"/>
              <w:start w:val="single" w:sz="2" w:space="0" w:color="C8D0DB"/>
              <w:bottom w:val="single" w:sz="2" w:space="0" w:color="C8D0DB"/>
              <w:end w:val="single" w:sz="2" w:space="0" w:color="C8D0DB"/>
            </w:tcBorders>
            <w:shd w:fill="F0F8FF" w:val="clear"/>
            <w:tcMar>
              <w:top w:w="80" w:type="dxa"/>
              <w:bottom w:w="80" w:type="dxa"/>
            </w:tcMar>
            <w:vAlign w:val="center"/>
          </w:tcPr>
          <w:p>
            <w:pPr>
              <w:pStyle w:val="Normal"/>
              <w:jc w:val="start"/>
              <w:rPr/>
            </w:pPr>
            <w:r>
              <w:rPr>
                <w:rFonts w:eastAsia="Arial" w:cs="Arial"/>
                <w:b w:val="false"/>
                <w:bCs w:val="false"/>
                <w:color w:val="1A6FA8"/>
                <w:sz w:val="19"/>
                <w:szCs w:val="19"/>
              </w:rPr>
              <w:t>NWD ∈ (0,1]; L_NWD ∈ [0,1)</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Sensitive to centre shift</w:t>
            </w:r>
          </w:p>
        </w:tc>
        <w:tc>
          <w:tcPr>
            <w:tcW w:w="3179" w:type="dxa"/>
            <w:tcBorders>
              <w:top w:val="single" w:sz="2" w:space="0" w:color="C8D0DB"/>
              <w:start w:val="single" w:sz="2" w:space="0" w:color="C8D0DB"/>
              <w:bottom w:val="single" w:sz="2" w:space="0" w:color="C8D0DB"/>
              <w:end w:val="single" w:sz="2" w:space="0" w:color="C8D0DB"/>
            </w:tcBorders>
            <w:shd w:fill="FFEEEE" w:val="clear"/>
            <w:tcMar>
              <w:top w:w="80" w:type="dxa"/>
              <w:bottom w:w="80" w:type="dxa"/>
            </w:tcMar>
            <w:vAlign w:val="center"/>
          </w:tcPr>
          <w:p>
            <w:pPr>
              <w:pStyle w:val="Normal"/>
              <w:jc w:val="start"/>
              <w:rPr/>
            </w:pPr>
            <w:r>
              <w:rPr>
                <w:rFonts w:eastAsia="Arial" w:cs="Arial"/>
                <w:b w:val="false"/>
                <w:bCs w:val="false"/>
                <w:color w:val="A93226"/>
                <w:sz w:val="19"/>
                <w:szCs w:val="19"/>
              </w:rPr>
              <w:t>Yes (if overlapping)</w:t>
            </w:r>
          </w:p>
        </w:tc>
        <w:tc>
          <w:tcPr>
            <w:tcW w:w="3181" w:type="dxa"/>
            <w:tcBorders>
              <w:top w:val="single" w:sz="2" w:space="0" w:color="C8D0DB"/>
              <w:start w:val="single" w:sz="2" w:space="0" w:color="C8D0DB"/>
              <w:bottom w:val="single" w:sz="2" w:space="0" w:color="C8D0DB"/>
              <w:end w:val="single" w:sz="2" w:space="0" w:color="C8D0DB"/>
            </w:tcBorders>
            <w:shd w:fill="E8F2FF" w:val="clear"/>
            <w:tcMar>
              <w:top w:w="80" w:type="dxa"/>
              <w:bottom w:w="80" w:type="dxa"/>
            </w:tcMar>
            <w:vAlign w:val="center"/>
          </w:tcPr>
          <w:p>
            <w:pPr>
              <w:pStyle w:val="Normal"/>
              <w:jc w:val="start"/>
              <w:rPr/>
            </w:pPr>
            <w:r>
              <w:rPr>
                <w:rFonts w:eastAsia="Arial" w:cs="Arial"/>
                <w:b w:val="false"/>
                <w:bCs w:val="false"/>
                <w:color w:val="1A6FA8"/>
                <w:sz w:val="19"/>
                <w:szCs w:val="19"/>
              </w:rPr>
              <w:t>Yes (always)</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Sensitive to size error</w:t>
            </w:r>
          </w:p>
        </w:tc>
        <w:tc>
          <w:tcPr>
            <w:tcW w:w="3179" w:type="dxa"/>
            <w:tcBorders>
              <w:top w:val="single" w:sz="2" w:space="0" w:color="C8D0DB"/>
              <w:start w:val="single" w:sz="2" w:space="0" w:color="C8D0DB"/>
              <w:bottom w:val="single" w:sz="2" w:space="0" w:color="C8D0DB"/>
              <w:end w:val="single" w:sz="2" w:space="0" w:color="C8D0DB"/>
            </w:tcBorders>
            <w:shd w:fill="FFF8F8" w:val="clear"/>
            <w:tcMar>
              <w:top w:w="80" w:type="dxa"/>
              <w:bottom w:w="80" w:type="dxa"/>
            </w:tcMar>
            <w:vAlign w:val="center"/>
          </w:tcPr>
          <w:p>
            <w:pPr>
              <w:pStyle w:val="Normal"/>
              <w:jc w:val="start"/>
              <w:rPr/>
            </w:pPr>
            <w:r>
              <w:rPr>
                <w:rFonts w:eastAsia="Arial" w:cs="Arial"/>
                <w:b w:val="false"/>
                <w:bCs w:val="false"/>
                <w:color w:val="A93226"/>
                <w:sz w:val="19"/>
                <w:szCs w:val="19"/>
              </w:rPr>
              <w:t>Yes (via area overlap)</w:t>
            </w:r>
          </w:p>
        </w:tc>
        <w:tc>
          <w:tcPr>
            <w:tcW w:w="3181" w:type="dxa"/>
            <w:tcBorders>
              <w:top w:val="single" w:sz="2" w:space="0" w:color="C8D0DB"/>
              <w:start w:val="single" w:sz="2" w:space="0" w:color="C8D0DB"/>
              <w:bottom w:val="single" w:sz="2" w:space="0" w:color="C8D0DB"/>
              <w:end w:val="single" w:sz="2" w:space="0" w:color="C8D0DB"/>
            </w:tcBorders>
            <w:shd w:fill="F0F8FF" w:val="clear"/>
            <w:tcMar>
              <w:top w:w="80" w:type="dxa"/>
              <w:bottom w:w="80" w:type="dxa"/>
            </w:tcMar>
            <w:vAlign w:val="center"/>
          </w:tcPr>
          <w:p>
            <w:pPr>
              <w:pStyle w:val="Normal"/>
              <w:jc w:val="start"/>
              <w:rPr/>
            </w:pPr>
            <w:r>
              <w:rPr>
                <w:rFonts w:eastAsia="Arial" w:cs="Arial"/>
                <w:b w:val="false"/>
                <w:bCs w:val="false"/>
                <w:color w:val="1A6FA8"/>
                <w:sz w:val="19"/>
                <w:szCs w:val="19"/>
              </w:rPr>
              <w:t>Yes (via σ difference)</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Effective for &lt; 8 px objects</w:t>
            </w:r>
          </w:p>
        </w:tc>
        <w:tc>
          <w:tcPr>
            <w:tcW w:w="3179" w:type="dxa"/>
            <w:tcBorders>
              <w:top w:val="single" w:sz="2" w:space="0" w:color="C8D0DB"/>
              <w:start w:val="single" w:sz="2" w:space="0" w:color="C8D0DB"/>
              <w:bottom w:val="single" w:sz="2" w:space="0" w:color="C8D0DB"/>
              <w:end w:val="single" w:sz="2" w:space="0" w:color="C8D0DB"/>
            </w:tcBorders>
            <w:shd w:fill="FFEEEE" w:val="clear"/>
            <w:tcMar>
              <w:top w:w="80" w:type="dxa"/>
              <w:bottom w:w="80" w:type="dxa"/>
            </w:tcMar>
            <w:vAlign w:val="center"/>
          </w:tcPr>
          <w:p>
            <w:pPr>
              <w:pStyle w:val="Normal"/>
              <w:jc w:val="start"/>
              <w:rPr/>
            </w:pPr>
            <w:r>
              <w:rPr>
                <w:rFonts w:eastAsia="Arial" w:cs="Arial"/>
                <w:b w:val="false"/>
                <w:bCs w:val="false"/>
                <w:color w:val="A93226"/>
                <w:sz w:val="19"/>
                <w:szCs w:val="19"/>
              </w:rPr>
              <w:t>No — near-zero IoU always</w:t>
            </w:r>
          </w:p>
        </w:tc>
        <w:tc>
          <w:tcPr>
            <w:tcW w:w="3181" w:type="dxa"/>
            <w:tcBorders>
              <w:top w:val="single" w:sz="2" w:space="0" w:color="C8D0DB"/>
              <w:start w:val="single" w:sz="2" w:space="0" w:color="C8D0DB"/>
              <w:bottom w:val="single" w:sz="2" w:space="0" w:color="C8D0DB"/>
              <w:end w:val="single" w:sz="2" w:space="0" w:color="C8D0DB"/>
            </w:tcBorders>
            <w:shd w:fill="E8F2FF" w:val="clear"/>
            <w:tcMar>
              <w:top w:w="80" w:type="dxa"/>
              <w:bottom w:w="80" w:type="dxa"/>
            </w:tcMar>
            <w:vAlign w:val="center"/>
          </w:tcPr>
          <w:p>
            <w:pPr>
              <w:pStyle w:val="Normal"/>
              <w:jc w:val="start"/>
              <w:rPr/>
            </w:pPr>
            <w:r>
              <w:rPr>
                <w:rFonts w:eastAsia="Arial" w:cs="Arial"/>
                <w:b w:val="false"/>
                <w:bCs w:val="false"/>
                <w:color w:val="1A6FA8"/>
                <w:sz w:val="19"/>
                <w:szCs w:val="19"/>
              </w:rPr>
              <w:t>Yes — Gaussian model still informative</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Hyperparameters</w:t>
            </w:r>
          </w:p>
        </w:tc>
        <w:tc>
          <w:tcPr>
            <w:tcW w:w="3179" w:type="dxa"/>
            <w:tcBorders>
              <w:top w:val="single" w:sz="2" w:space="0" w:color="C8D0DB"/>
              <w:start w:val="single" w:sz="2" w:space="0" w:color="C8D0DB"/>
              <w:bottom w:val="single" w:sz="2" w:space="0" w:color="C8D0DB"/>
              <w:end w:val="single" w:sz="2" w:space="0" w:color="C8D0DB"/>
            </w:tcBorders>
            <w:shd w:fill="FFF8F8" w:val="clear"/>
            <w:tcMar>
              <w:top w:w="80" w:type="dxa"/>
              <w:bottom w:w="80" w:type="dxa"/>
            </w:tcMar>
            <w:vAlign w:val="center"/>
          </w:tcPr>
          <w:p>
            <w:pPr>
              <w:pStyle w:val="Normal"/>
              <w:jc w:val="start"/>
              <w:rPr/>
            </w:pPr>
            <w:r>
              <w:rPr>
                <w:rFonts w:eastAsia="Arial" w:cs="Arial"/>
                <w:b w:val="false"/>
                <w:bCs w:val="false"/>
                <w:color w:val="A93226"/>
                <w:sz w:val="19"/>
                <w:szCs w:val="19"/>
              </w:rPr>
              <w:t>None (IoU) / None (GIoU)</w:t>
            </w:r>
          </w:p>
        </w:tc>
        <w:tc>
          <w:tcPr>
            <w:tcW w:w="3181" w:type="dxa"/>
            <w:tcBorders>
              <w:top w:val="single" w:sz="2" w:space="0" w:color="C8D0DB"/>
              <w:start w:val="single" w:sz="2" w:space="0" w:color="C8D0DB"/>
              <w:bottom w:val="single" w:sz="2" w:space="0" w:color="C8D0DB"/>
              <w:end w:val="single" w:sz="2" w:space="0" w:color="C8D0DB"/>
            </w:tcBorders>
            <w:shd w:fill="F0F8FF" w:val="clear"/>
            <w:tcMar>
              <w:top w:w="80" w:type="dxa"/>
              <w:bottom w:w="80" w:type="dxa"/>
            </w:tcMar>
            <w:vAlign w:val="center"/>
          </w:tcPr>
          <w:p>
            <w:pPr>
              <w:pStyle w:val="Normal"/>
              <w:jc w:val="start"/>
              <w:rPr/>
            </w:pPr>
            <w:r>
              <w:rPr>
                <w:rFonts w:eastAsia="Arial" w:cs="Arial"/>
                <w:b w:val="false"/>
                <w:bCs w:val="false"/>
                <w:color w:val="1A6FA8"/>
                <w:sz w:val="19"/>
                <w:szCs w:val="19"/>
              </w:rPr>
              <w:t>C: one parameter, set to mean scale</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Computational cost</w:t>
            </w:r>
          </w:p>
        </w:tc>
        <w:tc>
          <w:tcPr>
            <w:tcW w:w="3179" w:type="dxa"/>
            <w:tcBorders>
              <w:top w:val="single" w:sz="2" w:space="0" w:color="C8D0DB"/>
              <w:start w:val="single" w:sz="2" w:space="0" w:color="C8D0DB"/>
              <w:bottom w:val="single" w:sz="2" w:space="0" w:color="C8D0DB"/>
              <w:end w:val="single" w:sz="2" w:space="0" w:color="C8D0DB"/>
            </w:tcBorders>
            <w:shd w:fill="FFEEEE" w:val="clear"/>
            <w:tcMar>
              <w:top w:w="80" w:type="dxa"/>
              <w:bottom w:w="80" w:type="dxa"/>
            </w:tcMar>
            <w:vAlign w:val="center"/>
          </w:tcPr>
          <w:p>
            <w:pPr>
              <w:pStyle w:val="Normal"/>
              <w:jc w:val="start"/>
              <w:rPr/>
            </w:pPr>
            <w:r>
              <w:rPr>
                <w:rFonts w:eastAsia="Arial" w:cs="Arial"/>
                <w:b w:val="false"/>
                <w:bCs w:val="false"/>
                <w:color w:val="A93226"/>
                <w:sz w:val="19"/>
                <w:szCs w:val="19"/>
              </w:rPr>
              <w:t>O(N) — simple area operations</w:t>
            </w:r>
          </w:p>
        </w:tc>
        <w:tc>
          <w:tcPr>
            <w:tcW w:w="3181" w:type="dxa"/>
            <w:tcBorders>
              <w:top w:val="single" w:sz="2" w:space="0" w:color="C8D0DB"/>
              <w:start w:val="single" w:sz="2" w:space="0" w:color="C8D0DB"/>
              <w:bottom w:val="single" w:sz="2" w:space="0" w:color="C8D0DB"/>
              <w:end w:val="single" w:sz="2" w:space="0" w:color="C8D0DB"/>
            </w:tcBorders>
            <w:shd w:fill="E8F2FF" w:val="clear"/>
            <w:tcMar>
              <w:top w:w="80" w:type="dxa"/>
              <w:bottom w:w="80" w:type="dxa"/>
            </w:tcMar>
            <w:vAlign w:val="center"/>
          </w:tcPr>
          <w:p>
            <w:pPr>
              <w:pStyle w:val="Normal"/>
              <w:jc w:val="start"/>
              <w:rPr/>
            </w:pPr>
            <w:r>
              <w:rPr>
                <w:rFonts w:eastAsia="Arial" w:cs="Arial"/>
                <w:b w:val="false"/>
                <w:bCs w:val="false"/>
                <w:color w:val="1A6FA8"/>
                <w:sz w:val="19"/>
                <w:szCs w:val="19"/>
              </w:rPr>
              <w:t>O(N²) pairwise + exp() — moderate</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Gradient smoothness</w:t>
            </w:r>
          </w:p>
        </w:tc>
        <w:tc>
          <w:tcPr>
            <w:tcW w:w="3179" w:type="dxa"/>
            <w:tcBorders>
              <w:top w:val="single" w:sz="2" w:space="0" w:color="C8D0DB"/>
              <w:start w:val="single" w:sz="2" w:space="0" w:color="C8D0DB"/>
              <w:bottom w:val="single" w:sz="2" w:space="0" w:color="C8D0DB"/>
              <w:end w:val="single" w:sz="2" w:space="0" w:color="C8D0DB"/>
            </w:tcBorders>
            <w:shd w:fill="FFF8F8" w:val="clear"/>
            <w:tcMar>
              <w:top w:w="80" w:type="dxa"/>
              <w:bottom w:w="80" w:type="dxa"/>
            </w:tcMar>
            <w:vAlign w:val="center"/>
          </w:tcPr>
          <w:p>
            <w:pPr>
              <w:pStyle w:val="Normal"/>
              <w:jc w:val="start"/>
              <w:rPr/>
            </w:pPr>
            <w:r>
              <w:rPr>
                <w:rFonts w:eastAsia="Arial" w:cs="Arial"/>
                <w:b w:val="false"/>
                <w:bCs w:val="false"/>
                <w:color w:val="A93226"/>
                <w:sz w:val="19"/>
                <w:szCs w:val="19"/>
              </w:rPr>
              <w:t>Discontinuous at IoU=0</w:t>
            </w:r>
          </w:p>
        </w:tc>
        <w:tc>
          <w:tcPr>
            <w:tcW w:w="3181" w:type="dxa"/>
            <w:tcBorders>
              <w:top w:val="single" w:sz="2" w:space="0" w:color="C8D0DB"/>
              <w:start w:val="single" w:sz="2" w:space="0" w:color="C8D0DB"/>
              <w:bottom w:val="single" w:sz="2" w:space="0" w:color="C8D0DB"/>
              <w:end w:val="single" w:sz="2" w:space="0" w:color="C8D0DB"/>
            </w:tcBorders>
            <w:shd w:fill="F0F8FF" w:val="clear"/>
            <w:tcMar>
              <w:top w:w="80" w:type="dxa"/>
              <w:bottom w:w="80" w:type="dxa"/>
            </w:tcMar>
            <w:vAlign w:val="center"/>
          </w:tcPr>
          <w:p>
            <w:pPr>
              <w:pStyle w:val="Normal"/>
              <w:jc w:val="start"/>
              <w:rPr/>
            </w:pPr>
            <w:r>
              <w:rPr>
                <w:rFonts w:eastAsia="Arial" w:cs="Arial"/>
                <w:b w:val="false"/>
                <w:bCs w:val="false"/>
                <w:color w:val="1A6FA8"/>
                <w:sz w:val="19"/>
                <w:szCs w:val="19"/>
              </w:rPr>
              <w:t>Smooth everywhere — C¹ function</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NaN risk</w:t>
            </w:r>
          </w:p>
        </w:tc>
        <w:tc>
          <w:tcPr>
            <w:tcW w:w="3179" w:type="dxa"/>
            <w:tcBorders>
              <w:top w:val="single" w:sz="2" w:space="0" w:color="C8D0DB"/>
              <w:start w:val="single" w:sz="2" w:space="0" w:color="C8D0DB"/>
              <w:bottom w:val="single" w:sz="2" w:space="0" w:color="C8D0DB"/>
              <w:end w:val="single" w:sz="2" w:space="0" w:color="C8D0DB"/>
            </w:tcBorders>
            <w:shd w:fill="FFEEEE" w:val="clear"/>
            <w:tcMar>
              <w:top w:w="80" w:type="dxa"/>
              <w:bottom w:w="80" w:type="dxa"/>
            </w:tcMar>
            <w:vAlign w:val="center"/>
          </w:tcPr>
          <w:p>
            <w:pPr>
              <w:pStyle w:val="Normal"/>
              <w:jc w:val="start"/>
              <w:rPr/>
            </w:pPr>
            <w:r>
              <w:rPr>
                <w:rFonts w:eastAsia="Arial" w:cs="Arial"/>
                <w:b w:val="false"/>
                <w:bCs w:val="false"/>
                <w:color w:val="A93226"/>
                <w:sz w:val="19"/>
                <w:szCs w:val="19"/>
              </w:rPr>
              <w:t>Low</w:t>
            </w:r>
          </w:p>
        </w:tc>
        <w:tc>
          <w:tcPr>
            <w:tcW w:w="3181" w:type="dxa"/>
            <w:tcBorders>
              <w:top w:val="single" w:sz="2" w:space="0" w:color="C8D0DB"/>
              <w:start w:val="single" w:sz="2" w:space="0" w:color="C8D0DB"/>
              <w:bottom w:val="single" w:sz="2" w:space="0" w:color="C8D0DB"/>
              <w:end w:val="single" w:sz="2" w:space="0" w:color="C8D0DB"/>
            </w:tcBorders>
            <w:shd w:fill="E8F2FF" w:val="clear"/>
            <w:tcMar>
              <w:top w:w="80" w:type="dxa"/>
              <w:bottom w:w="80" w:type="dxa"/>
            </w:tcMar>
            <w:vAlign w:val="center"/>
          </w:tcPr>
          <w:p>
            <w:pPr>
              <w:pStyle w:val="Normal"/>
              <w:jc w:val="start"/>
              <w:rPr/>
            </w:pPr>
            <w:r>
              <w:rPr>
                <w:rFonts w:eastAsia="Arial" w:cs="Arial"/>
                <w:b w:val="false"/>
                <w:bCs w:val="false"/>
                <w:color w:val="1A6FA8"/>
                <w:sz w:val="19"/>
                <w:szCs w:val="19"/>
              </w:rPr>
              <w:t>Very low — ε guards sqrt(0)</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bCs/>
                <w:color w:val="1A1A2E"/>
                <w:sz w:val="19"/>
                <w:szCs w:val="19"/>
              </w:rPr>
              <w:t>Used in this project</w:t>
            </w:r>
          </w:p>
        </w:tc>
        <w:tc>
          <w:tcPr>
            <w:tcW w:w="3179" w:type="dxa"/>
            <w:tcBorders>
              <w:top w:val="single" w:sz="2" w:space="0" w:color="C8D0DB"/>
              <w:start w:val="single" w:sz="2" w:space="0" w:color="C8D0DB"/>
              <w:bottom w:val="single" w:sz="2" w:space="0" w:color="C8D0DB"/>
              <w:end w:val="single" w:sz="2" w:space="0" w:color="C8D0DB"/>
            </w:tcBorders>
            <w:shd w:fill="FFF8F8" w:val="clear"/>
            <w:tcMar>
              <w:top w:w="80" w:type="dxa"/>
              <w:bottom w:w="80" w:type="dxa"/>
            </w:tcMar>
            <w:vAlign w:val="center"/>
          </w:tcPr>
          <w:p>
            <w:pPr>
              <w:pStyle w:val="Normal"/>
              <w:jc w:val="start"/>
              <w:rPr/>
            </w:pPr>
            <w:r>
              <w:rPr>
                <w:rFonts w:eastAsia="Arial" w:cs="Arial"/>
                <w:b w:val="false"/>
                <w:bCs w:val="false"/>
                <w:color w:val="A93226"/>
                <w:sz w:val="19"/>
                <w:szCs w:val="19"/>
              </w:rPr>
              <w:t>No</w:t>
            </w:r>
          </w:p>
        </w:tc>
        <w:tc>
          <w:tcPr>
            <w:tcW w:w="3181" w:type="dxa"/>
            <w:tcBorders>
              <w:top w:val="single" w:sz="2" w:space="0" w:color="C8D0DB"/>
              <w:start w:val="single" w:sz="2" w:space="0" w:color="C8D0DB"/>
              <w:bottom w:val="single" w:sz="2" w:space="0" w:color="C8D0DB"/>
              <w:end w:val="single" w:sz="2" w:space="0" w:color="C8D0DB"/>
            </w:tcBorders>
            <w:shd w:fill="F0F8FF" w:val="clear"/>
            <w:tcMar>
              <w:top w:w="80" w:type="dxa"/>
              <w:bottom w:w="80" w:type="dxa"/>
            </w:tcMar>
            <w:vAlign w:val="center"/>
          </w:tcPr>
          <w:p>
            <w:pPr>
              <w:pStyle w:val="Normal"/>
              <w:jc w:val="start"/>
              <w:rPr/>
            </w:pPr>
            <w:r>
              <w:rPr>
                <w:rFonts w:eastAsia="Arial" w:cs="Arial"/>
                <w:b w:val="false"/>
                <w:bCs w:val="false"/>
                <w:color w:val="1A6FA8"/>
                <w:sz w:val="19"/>
                <w:szCs w:val="19"/>
              </w:rPr>
              <w:t>Yes — L_NWD in L_total</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bCs/>
                <w:color w:val="1A1A2E"/>
                <w:sz w:val="19"/>
                <w:szCs w:val="19"/>
              </w:rPr>
              <w:t>Used in NMS (this project)</w:t>
            </w:r>
          </w:p>
        </w:tc>
        <w:tc>
          <w:tcPr>
            <w:tcW w:w="3179" w:type="dxa"/>
            <w:tcBorders>
              <w:top w:val="single" w:sz="2" w:space="0" w:color="C8D0DB"/>
              <w:start w:val="single" w:sz="2" w:space="0" w:color="C8D0DB"/>
              <w:bottom w:val="single" w:sz="2" w:space="0" w:color="C8D0DB"/>
              <w:end w:val="single" w:sz="2" w:space="0" w:color="C8D0DB"/>
            </w:tcBorders>
            <w:shd w:fill="FFEEEE" w:val="clear"/>
            <w:tcMar>
              <w:top w:w="80" w:type="dxa"/>
              <w:bottom w:w="80" w:type="dxa"/>
            </w:tcMar>
            <w:vAlign w:val="center"/>
          </w:tcPr>
          <w:p>
            <w:pPr>
              <w:pStyle w:val="Normal"/>
              <w:jc w:val="start"/>
              <w:rPr/>
            </w:pPr>
            <w:r>
              <w:rPr>
                <w:rFonts w:eastAsia="Arial" w:cs="Arial"/>
                <w:b w:val="false"/>
                <w:bCs w:val="false"/>
                <w:color w:val="A93226"/>
                <w:sz w:val="19"/>
                <w:szCs w:val="19"/>
              </w:rPr>
              <w:t>Yes (iou=0.45 standard inference)</w:t>
            </w:r>
          </w:p>
        </w:tc>
        <w:tc>
          <w:tcPr>
            <w:tcW w:w="3181" w:type="dxa"/>
            <w:tcBorders>
              <w:top w:val="single" w:sz="2" w:space="0" w:color="C8D0DB"/>
              <w:start w:val="single" w:sz="2" w:space="0" w:color="C8D0DB"/>
              <w:bottom w:val="single" w:sz="2" w:space="0" w:color="C8D0DB"/>
              <w:end w:val="single" w:sz="2" w:space="0" w:color="C8D0DB"/>
            </w:tcBorders>
            <w:shd w:fill="E8F2FF" w:val="clear"/>
            <w:tcMar>
              <w:top w:w="80" w:type="dxa"/>
              <w:bottom w:w="80" w:type="dxa"/>
            </w:tcMar>
            <w:vAlign w:val="center"/>
          </w:tcPr>
          <w:p>
            <w:pPr>
              <w:pStyle w:val="Normal"/>
              <w:jc w:val="start"/>
              <w:rPr/>
            </w:pPr>
            <w:r>
              <w:rPr>
                <w:rFonts w:eastAsia="Arial" w:cs="Arial"/>
                <w:b w:val="false"/>
                <w:bCs w:val="false"/>
                <w:color w:val="1A6FA8"/>
                <w:sz w:val="19"/>
                <w:szCs w:val="19"/>
              </w:rPr>
              <w:t>Yes (nwd_threshold=0.65 NWD-NMS)</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6.2  Gradient Magnitude Comparison at Various Displacements</w:t>
      </w:r>
    </w:p>
    <w:p>
      <w:pPr>
        <w:pStyle w:val="Normal"/>
        <w:spacing w:before="80" w:after="80"/>
        <w:ind w:start="180"/>
        <w:jc w:val="both"/>
        <w:rPr/>
      </w:pPr>
      <w:r>
        <w:rPr>
          <w:rFonts w:eastAsia="Arial" w:cs="Arial"/>
          <w:color w:val="1A1A2E"/>
          <w:sz w:val="21"/>
          <w:szCs w:val="21"/>
        </w:rPr>
        <w:t>The following shows the approximate gradient magnitude ∂L/∂(cx) for each loss type as a function of horizontal displacement d, for a 12×12 pixel ground-truth box:</w:t>
      </w:r>
    </w:p>
    <w:p>
      <w:pPr>
        <w:pStyle w:val="Normal"/>
        <w:spacing w:before="80" w:after="0"/>
        <w:rPr/>
      </w:pPr>
      <w:r>
        <w:rPr/>
      </w:r>
    </w:p>
    <w:tbl>
      <w:tblPr>
        <w:tblW w:w="9760" w:type="dxa"/>
        <w:jc w:val="start"/>
        <w:tblInd w:w="0" w:type="dxa"/>
        <w:tblLayout w:type="fixed"/>
        <w:tblCellMar>
          <w:top w:w="90" w:type="dxa"/>
          <w:start w:w="140" w:type="dxa"/>
          <w:bottom w:w="90" w:type="dxa"/>
          <w:end w:w="140" w:type="dxa"/>
        </w:tblCellMar>
      </w:tblPr>
      <w:tblGrid>
        <w:gridCol w:w="1999"/>
        <w:gridCol w:w="1800"/>
        <w:gridCol w:w="1801"/>
        <w:gridCol w:w="1800"/>
        <w:gridCol w:w="2360"/>
      </w:tblGrid>
      <w:tr>
        <w:trPr>
          <w:tblHeader w:val="true"/>
        </w:trPr>
        <w:tc>
          <w:tcPr>
            <w:tcW w:w="19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Displacement d</w:t>
            </w:r>
          </w:p>
        </w:tc>
        <w:tc>
          <w:tcPr>
            <w:tcW w:w="1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IoU Gradient</w:t>
            </w:r>
          </w:p>
        </w:tc>
        <w:tc>
          <w:tcPr>
            <w:tcW w:w="18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GIoU Gradient</w:t>
            </w:r>
          </w:p>
        </w:tc>
        <w:tc>
          <w:tcPr>
            <w:tcW w:w="1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NWD Gradient</w:t>
            </w:r>
          </w:p>
        </w:tc>
        <w:tc>
          <w:tcPr>
            <w:tcW w:w="236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Relative Signal</w:t>
            </w:r>
          </w:p>
        </w:tc>
      </w:tr>
      <w:tr>
        <w:trPr/>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 px (perfect)</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 (flat at minimum)</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 (flat at minimum)</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 (flat at minimum)</w:t>
            </w:r>
          </w:p>
        </w:tc>
        <w:tc>
          <w:tcPr>
            <w:tcW w:w="2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All zero at optimum</w:t>
            </w:r>
          </w:p>
        </w:tc>
      </w:tr>
      <w:tr>
        <w:trPr/>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2 px (17% width)</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Large — steep IoU curve</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Large</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0.154 × (1/C)</w:t>
            </w:r>
          </w:p>
        </w:tc>
        <w:tc>
          <w:tcPr>
            <w:tcW w:w="23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All informative</w:t>
            </w:r>
          </w:p>
        </w:tc>
      </w:tr>
      <w:tr>
        <w:trPr/>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 px (touching)</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 — boxes barely touch</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Moderate via enclosing</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0.469 × (1/C)</w:t>
            </w:r>
          </w:p>
        </w:tc>
        <w:tc>
          <w:tcPr>
            <w:tcW w:w="2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&gt; IoU</w:t>
            </w:r>
          </w:p>
        </w:tc>
      </w:tr>
      <w:tr>
        <w:trPr/>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8 px (no overlap)</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Small via enclosing</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0.625 × (1/C)</w:t>
            </w:r>
          </w:p>
        </w:tc>
        <w:tc>
          <w:tcPr>
            <w:tcW w:w="23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&gt;&gt; IoU≈0</w:t>
            </w:r>
          </w:p>
        </w:tc>
      </w:tr>
      <w:tr>
        <w:trPr/>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13 px (far apart)</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Very small</w:t>
            </w:r>
          </w:p>
        </w:tc>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1.016 × (1/C)</w:t>
            </w:r>
          </w:p>
        </w:tc>
        <w:tc>
          <w:tcPr>
            <w:tcW w:w="23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active, others near 0</w:t>
            </w:r>
          </w:p>
        </w:tc>
      </w:tr>
      <w:tr>
        <w:trPr/>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25 px (very far)</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Near 0</w:t>
            </w:r>
          </w:p>
        </w:tc>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1.953 × (1/C)</w:t>
            </w:r>
          </w:p>
        </w:tc>
        <w:tc>
          <w:tcPr>
            <w:tcW w:w="23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Only NWD provides signal</w:t>
            </w:r>
          </w:p>
        </w:tc>
      </w:tr>
    </w:tbl>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1A6FA8"/>
              <w:start w:val="single" w:sz="2" w:space="0" w:color="1A6FA8"/>
              <w:bottom w:val="single" w:sz="2" w:space="0" w:color="1A6FA8"/>
              <w:end w:val="single" w:sz="2" w:space="0" w:color="1A6FA8"/>
            </w:tcBorders>
            <w:shd w:fill="1A6FA8" w:val="clear"/>
            <w:vAlign w:val="center"/>
          </w:tcPr>
          <w:p>
            <w:pPr>
              <w:pStyle w:val="Normal"/>
              <w:jc w:val="center"/>
              <w:rPr/>
            </w:pPr>
            <w:r>
              <w:rPr>
                <w:rFonts w:eastAsia="Arial" w:cs="Arial"/>
                <w:b/>
                <w:bCs/>
                <w:color w:val="FFFFFF"/>
                <w:sz w:val="26"/>
                <w:szCs w:val="26"/>
              </w:rPr>
              <w:t>ℹ</w:t>
            </w:r>
          </w:p>
        </w:tc>
        <w:tc>
          <w:tcPr>
            <w:tcW w:w="9040" w:type="dxa"/>
            <w:tcBorders>
              <w:top w:val="single" w:sz="2" w:space="0" w:color="1A6FA8"/>
              <w:start w:val="single" w:sz="2" w:space="0" w:color="1A6FA8"/>
              <w:bottom w:val="single" w:sz="2" w:space="0" w:color="1A6FA8"/>
              <w:end w:val="single" w:sz="2" w:space="0" w:color="1A6FA8"/>
            </w:tcBorders>
            <w:shd w:fill="D6E4F7" w:val="clear"/>
            <w:tcMar>
              <w:top w:w="100" w:type="dxa"/>
              <w:start w:w="160" w:type="dxa"/>
              <w:bottom w:w="100" w:type="dxa"/>
              <w:end w:w="160" w:type="dxa"/>
            </w:tcMar>
          </w:tcPr>
          <w:p>
            <w:pPr>
              <w:pStyle w:val="Normal"/>
              <w:spacing w:before="0" w:after="50"/>
              <w:rPr/>
            </w:pPr>
            <w:r>
              <w:rPr>
                <w:rFonts w:eastAsia="Arial" w:cs="Arial"/>
                <w:b/>
                <w:bCs/>
                <w:color w:val="1A6FA8"/>
                <w:sz w:val="21"/>
                <w:szCs w:val="21"/>
              </w:rPr>
              <w:t>Why NWD Gradient Grows With Distance (Up to a Point)</w:t>
            </w:r>
          </w:p>
          <w:p>
            <w:pPr>
              <w:pStyle w:val="Normal"/>
              <w:spacing w:before="0" w:after="0"/>
              <w:rPr/>
            </w:pPr>
            <w:r>
              <w:rPr>
                <w:rFonts w:eastAsia="Arial" w:cs="Arial"/>
                <w:color w:val="1A1A2E"/>
                <w:sz w:val="20"/>
                <w:szCs w:val="20"/>
              </w:rPr>
              <w:t>The NWD gradient ∂L_NWD/∂(cₓ) = (W₂/C) × exp(−W₂/C) × (cₓ−cₓᴳ)/(C×W₂). This function peaks around W₂ = C (i.e., displacement ≈ one object-width) and then slowly decreases for very large displacements. This 'peak gradient at one object-width' property means NWD applies maximum learning pressure at the most critical scale — when the prediction is wrong by about the same amount as the object is wide. For tiny objects, this is exactly where IoU produces zero gradient.</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6.3  When to Use Each Loss</w:t>
      </w:r>
    </w:p>
    <w:tbl>
      <w:tblPr>
        <w:tblW w:w="9760" w:type="dxa"/>
        <w:jc w:val="start"/>
        <w:tblInd w:w="0" w:type="dxa"/>
        <w:tblLayout w:type="fixed"/>
        <w:tblCellMar>
          <w:top w:w="90" w:type="dxa"/>
          <w:start w:w="140" w:type="dxa"/>
          <w:bottom w:w="90" w:type="dxa"/>
          <w:end w:w="140" w:type="dxa"/>
        </w:tblCellMar>
      </w:tblPr>
      <w:tblGrid>
        <w:gridCol w:w="2800"/>
        <w:gridCol w:w="2200"/>
        <w:gridCol w:w="4760"/>
      </w:tblGrid>
      <w:tr>
        <w:trPr>
          <w:tblHeader w:val="true"/>
        </w:trPr>
        <w:tc>
          <w:tcPr>
            <w:tcW w:w="2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Scenario</w:t>
            </w:r>
          </w:p>
        </w:tc>
        <w:tc>
          <w:tcPr>
            <w:tcW w:w="22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Recommended Loss</w:t>
            </w:r>
          </w:p>
        </w:tc>
        <w:tc>
          <w:tcPr>
            <w:tcW w:w="476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Reason</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Objects &gt; 64 px, sparse scene</w:t>
            </w:r>
          </w:p>
        </w:tc>
        <w:tc>
          <w:tcPr>
            <w:tcW w:w="2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 or GIoU</w:t>
            </w:r>
          </w:p>
        </w:tc>
        <w:tc>
          <w:tcPr>
            <w:tcW w:w="4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IoU is well-behaved; fast and reliable</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Mixed sizes, standard benchmark</w:t>
            </w:r>
          </w:p>
        </w:tc>
        <w:tc>
          <w:tcPr>
            <w:tcW w:w="2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CIoU or DIoU</w:t>
            </w:r>
          </w:p>
        </w:tc>
        <w:tc>
          <w:tcPr>
            <w:tcW w:w="4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Better aspect-ratio handling than IoU</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Objects 16–64 px, moderate density</w:t>
            </w:r>
          </w:p>
        </w:tc>
        <w:tc>
          <w:tcPr>
            <w:tcW w:w="2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GIoU or NWD</w:t>
            </w:r>
          </w:p>
        </w:tc>
        <w:tc>
          <w:tcPr>
            <w:tcW w:w="4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Both provide non-zero gradients; NWD slightly better</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Objects &lt; 16 px (tiny)</w:t>
            </w:r>
          </w:p>
        </w:tc>
        <w:tc>
          <w:tcPr>
            <w:tcW w:w="2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(mandatory)</w:t>
            </w:r>
          </w:p>
        </w:tc>
        <w:tc>
          <w:tcPr>
            <w:tcW w:w="4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Only loss providing reliable gradient at sub-pixel scales</w:t>
            </w:r>
          </w:p>
        </w:tc>
      </w:tr>
      <w:tr>
        <w:trPr/>
        <w:tc>
          <w:tcPr>
            <w:tcW w:w="2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Joint SR+detection training</w:t>
            </w:r>
          </w:p>
        </w:tc>
        <w:tc>
          <w:tcPr>
            <w:tcW w:w="22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w:t>
            </w:r>
          </w:p>
        </w:tc>
        <w:tc>
          <w:tcPr>
            <w:tcW w:w="4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Gradients backprop through SR; scale-awareness preserves signal</w:t>
            </w:r>
          </w:p>
        </w:tc>
      </w:tr>
      <w:tr>
        <w:trPr/>
        <w:tc>
          <w:tcPr>
            <w:tcW w:w="2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NMS post-processing (convoys/density)</w:t>
            </w:r>
          </w:p>
        </w:tc>
        <w:tc>
          <w:tcPr>
            <w:tcW w:w="22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NWD-NMS</w:t>
            </w:r>
          </w:p>
        </w:tc>
        <w:tc>
          <w:tcPr>
            <w:tcW w:w="4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Preserves nearby distinct objects; IoU-NMS over-suppresses</w:t>
            </w:r>
          </w:p>
        </w:tc>
      </w:tr>
    </w:tbl>
    <w:p>
      <w:pPr>
        <w:pStyle w:val="Normal"/>
        <w:spacing w:before="120" w:after="0"/>
        <w:rPr/>
      </w:pPr>
      <w:r>
        <w:rPr/>
      </w:r>
    </w:p>
    <w:p>
      <w:pPr>
        <w:pStyle w:val="Normal"/>
        <w:rPr/>
      </w:pPr>
      <w:r>
        <w:rPr/>
      </w:r>
      <w:r>
        <w:br w:type="page"/>
      </w:r>
    </w:p>
    <w:p>
      <w:pPr>
        <w:pStyle w:val="Normal"/>
        <w:shd w:val="clear" w:fill="1B2A4A"/>
        <w:spacing w:before="0" w:after="160"/>
        <w:ind w:start="180" w:end="180"/>
        <w:rPr/>
      </w:pPr>
      <w:r>
        <w:rPr>
          <w:rFonts w:eastAsia="Arial" w:cs="Arial"/>
          <w:b/>
          <w:bCs/>
          <w:color w:val="FFFFFF"/>
          <w:sz w:val="28"/>
          <w:szCs w:val="28"/>
        </w:rPr>
        <w:t>7.  COMPLETE SUMMARY — NWD IN THE PROJECT</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7.1  Where NWD Appears in the Codebase</w:t>
      </w:r>
    </w:p>
    <w:tbl>
      <w:tblPr>
        <w:tblW w:w="9360" w:type="dxa"/>
        <w:jc w:val="start"/>
        <w:tblInd w:w="0" w:type="dxa"/>
        <w:tblLayout w:type="fixed"/>
        <w:tblCellMar>
          <w:top w:w="90" w:type="dxa"/>
          <w:start w:w="140" w:type="dxa"/>
          <w:bottom w:w="90" w:type="dxa"/>
          <w:end w:w="140" w:type="dxa"/>
        </w:tblCellMar>
      </w:tblPr>
      <w:tblGrid>
        <w:gridCol w:w="2399"/>
        <w:gridCol w:w="1000"/>
        <w:gridCol w:w="3401"/>
        <w:gridCol w:w="2560"/>
      </w:tblGrid>
      <w:tr>
        <w:trPr>
          <w:tblHeader w:val="true"/>
        </w:trPr>
        <w:tc>
          <w:tcPr>
            <w:tcW w:w="23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Location</w:t>
            </w:r>
          </w:p>
        </w:tc>
        <w:tc>
          <w:tcPr>
            <w:tcW w:w="10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Cell</w:t>
            </w:r>
          </w:p>
        </w:tc>
        <w:tc>
          <w:tcPr>
            <w:tcW w:w="34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Usage</w:t>
            </w:r>
          </w:p>
        </w:tc>
        <w:tc>
          <w:tcPr>
            <w:tcW w:w="256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Parameters</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loss (training)</w:t>
            </w:r>
          </w:p>
        </w:tc>
        <w:tc>
          <w:tcPr>
            <w:tcW w:w="1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Cell 12</w:t>
            </w:r>
          </w:p>
        </w:tc>
        <w:tc>
          <w:tcPr>
            <w:tcW w:w="34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nwd_loss(pred_boxes, gt_boxes, C=12.8)</w:t>
            </w:r>
          </w:p>
        </w:tc>
        <w:tc>
          <w:tcPr>
            <w:tcW w:w="2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C=12.8, ε=1e-7</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L_total composition</w:t>
            </w:r>
          </w:p>
        </w:tc>
        <w:tc>
          <w:tcPr>
            <w:tcW w:w="1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Cell 12</w:t>
            </w:r>
          </w:p>
        </w:tc>
        <w:tc>
          <w:tcPr>
            <w:tcW w:w="34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L_total = L_NWD + L_cls + 0.1×L_SR</w:t>
            </w:r>
          </w:p>
        </w:tc>
        <w:tc>
          <w:tcPr>
            <w:tcW w:w="25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λ_NWD=1.0, λ_cls=1.0, λ_SR=0.1</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Loss history tracking</w:t>
            </w:r>
          </w:p>
        </w:tc>
        <w:tc>
          <w:tcPr>
            <w:tcW w:w="1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Cell 12</w:t>
            </w:r>
          </w:p>
        </w:tc>
        <w:tc>
          <w:tcPr>
            <w:tcW w:w="34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trainer.history['L_nwd'] per epoch</w:t>
            </w:r>
          </w:p>
        </w:tc>
        <w:tc>
          <w:tcPr>
            <w:tcW w:w="2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All 4 experiments</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Loss curve visualization</w:t>
            </w:r>
          </w:p>
        </w:tc>
        <w:tc>
          <w:tcPr>
            <w:tcW w:w="1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Cell 15</w:t>
            </w:r>
          </w:p>
        </w:tc>
        <w:tc>
          <w:tcPr>
            <w:tcW w:w="34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L_NWD subplot in 2×2 loss panel</w:t>
            </w:r>
          </w:p>
        </w:tc>
        <w:tc>
          <w:tcPr>
            <w:tcW w:w="25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Blue/green/red/orange per experiment</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Bar chart breakdown</w:t>
            </w:r>
          </w:p>
        </w:tc>
        <w:tc>
          <w:tcPr>
            <w:tcW w:w="1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Cell 16</w:t>
            </w:r>
          </w:p>
        </w:tc>
        <w:tc>
          <w:tcPr>
            <w:tcW w:w="34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final_nwd per experiment in stacked bar</w:t>
            </w:r>
          </w:p>
        </w:tc>
        <w:tc>
          <w:tcPr>
            <w:tcW w:w="2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Final epoch L_NWD shown</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NWD-NMS (inference)</w:t>
            </w:r>
          </w:p>
        </w:tc>
        <w:tc>
          <w:tcPr>
            <w:tcW w:w="1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Video cell</w:t>
            </w:r>
          </w:p>
        </w:tc>
        <w:tc>
          <w:tcPr>
            <w:tcW w:w="34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nwd_sim = exp(−w2/12.8); threshold=0.65</w:t>
            </w:r>
          </w:p>
        </w:tc>
        <w:tc>
          <w:tcPr>
            <w:tcW w:w="25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C=12.8, NWD thresh=0.65</w:t>
            </w:r>
          </w:p>
        </w:tc>
      </w:tr>
      <w:tr>
        <w:trPr/>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class (earlier ref)</w:t>
            </w:r>
          </w:p>
        </w:tc>
        <w:tc>
          <w:tcPr>
            <w:tcW w:w="1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Cell 6</w:t>
            </w:r>
          </w:p>
        </w:tc>
        <w:tc>
          <w:tcPr>
            <w:tcW w:w="34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NWDLoss(nn.Module) class definition</w:t>
            </w:r>
          </w:p>
        </w:tc>
        <w:tc>
          <w:tcPr>
            <w:tcW w:w="25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C=12.8 in class init</w:t>
            </w:r>
          </w:p>
        </w:tc>
      </w:tr>
      <w:tr>
        <w:trPr/>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Dataset comparison report</w:t>
            </w:r>
          </w:p>
        </w:tc>
        <w:tc>
          <w:tcPr>
            <w:tcW w:w="1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External</w:t>
            </w:r>
          </w:p>
        </w:tc>
        <w:tc>
          <w:tcPr>
            <w:tcW w:w="34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discussed as motivation for training</w:t>
            </w:r>
          </w:p>
        </w:tc>
        <w:tc>
          <w:tcPr>
            <w:tcW w:w="25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C=12.8 rationale</w:t>
            </w:r>
          </w:p>
        </w:tc>
      </w:tr>
    </w:tbl>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7.2  The Four Experiments — NWD Loss Role</w:t>
      </w:r>
    </w:p>
    <w:p>
      <w:pPr>
        <w:pStyle w:val="Normal"/>
        <w:spacing w:before="80" w:after="80"/>
        <w:ind w:start="180"/>
        <w:jc w:val="both"/>
        <w:rPr/>
      </w:pPr>
      <w:r>
        <w:rPr>
          <w:rFonts w:eastAsia="Arial" w:cs="Arial"/>
          <w:color w:val="1A1A2E"/>
          <w:sz w:val="21"/>
          <w:szCs w:val="21"/>
        </w:rPr>
        <w:t>In each of the four experiments (VisDrone 2×, VisDrone 4×, AI-TOD 2×, AI-TOD 4×), the NWD loss serves the same function but operates on objects of different sizes after super-resolution:</w:t>
      </w:r>
    </w:p>
    <w:p>
      <w:pPr>
        <w:pStyle w:val="Normal"/>
        <w:spacing w:before="80" w:after="0"/>
        <w:rPr/>
      </w:pPr>
      <w:r>
        <w:rPr/>
      </w:r>
    </w:p>
    <w:tbl>
      <w:tblPr>
        <w:tblW w:w="10760" w:type="dxa"/>
        <w:jc w:val="start"/>
        <w:tblInd w:w="0" w:type="dxa"/>
        <w:tblLayout w:type="fixed"/>
        <w:tblCellMar>
          <w:top w:w="90" w:type="dxa"/>
          <w:start w:w="140" w:type="dxa"/>
          <w:bottom w:w="90" w:type="dxa"/>
          <w:end w:w="140" w:type="dxa"/>
        </w:tblCellMar>
      </w:tblPr>
      <w:tblGrid>
        <w:gridCol w:w="1800"/>
        <w:gridCol w:w="1600"/>
        <w:gridCol w:w="1600"/>
        <w:gridCol w:w="2399"/>
        <w:gridCol w:w="3361"/>
      </w:tblGrid>
      <w:tr>
        <w:trPr>
          <w:tblHeader w:val="true"/>
        </w:trPr>
        <w:tc>
          <w:tcPr>
            <w:tcW w:w="18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Experiment</w:t>
            </w:r>
          </w:p>
        </w:tc>
        <w:tc>
          <w:tcPr>
            <w:tcW w:w="16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LR Input</w:t>
            </w:r>
          </w:p>
        </w:tc>
        <w:tc>
          <w:tcPr>
            <w:tcW w:w="16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ESRGAN Output</w:t>
            </w:r>
          </w:p>
        </w:tc>
        <w:tc>
          <w:tcPr>
            <w:tcW w:w="23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Avg Object Size (post-SR)</w:t>
            </w:r>
          </w:p>
        </w:tc>
        <w:tc>
          <w:tcPr>
            <w:tcW w:w="336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NWD Criticality</w:t>
            </w:r>
          </w:p>
        </w:tc>
      </w:tr>
      <w:tr>
        <w:trPr/>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VisDrone 2×</w:t>
            </w:r>
          </w:p>
        </w:tc>
        <w:tc>
          <w:tcPr>
            <w:tcW w:w="1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320×320 px</w:t>
            </w:r>
          </w:p>
        </w:tc>
        <w:tc>
          <w:tcPr>
            <w:tcW w:w="1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640×640 px</w:t>
            </w:r>
          </w:p>
        </w:tc>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~20–40 px (VisDrone filtered tiny)</w:t>
            </w:r>
          </w:p>
        </w:tc>
        <w:tc>
          <w:tcPr>
            <w:tcW w:w="33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High — smaller filtered subset</w:t>
            </w:r>
          </w:p>
        </w:tc>
      </w:tr>
      <w:tr>
        <w:trPr/>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VisDrone 4×</w:t>
            </w:r>
          </w:p>
        </w:tc>
        <w:tc>
          <w:tcPr>
            <w:tcW w:w="1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160×160 px</w:t>
            </w:r>
          </w:p>
        </w:tc>
        <w:tc>
          <w:tcPr>
            <w:tcW w:w="1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640×640 px</w:t>
            </w:r>
          </w:p>
        </w:tc>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~20–40 px (same object, wider SR)</w:t>
            </w:r>
          </w:p>
        </w:tc>
        <w:tc>
          <w:tcPr>
            <w:tcW w:w="33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High — 4× more hallucination risk</w:t>
            </w:r>
          </w:p>
        </w:tc>
      </w:tr>
      <w:tr>
        <w:trPr/>
        <w:tc>
          <w:tcPr>
            <w:tcW w:w="18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AI-TOD 2×</w:t>
            </w:r>
          </w:p>
        </w:tc>
        <w:tc>
          <w:tcPr>
            <w:tcW w:w="1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320×320 px</w:t>
            </w:r>
          </w:p>
        </w:tc>
        <w:tc>
          <w:tcPr>
            <w:tcW w:w="16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640×640 px</w:t>
            </w:r>
          </w:p>
        </w:tc>
        <w:tc>
          <w:tcPr>
            <w:tcW w:w="23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~25 px (12.8×2 after 2× SR)</w:t>
            </w:r>
          </w:p>
        </w:tc>
        <w:tc>
          <w:tcPr>
            <w:tcW w:w="336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Critical — near C threshold</w:t>
            </w:r>
          </w:p>
        </w:tc>
      </w:tr>
      <w:tr>
        <w:trPr/>
        <w:tc>
          <w:tcPr>
            <w:tcW w:w="18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AI-TOD 4×</w:t>
            </w:r>
          </w:p>
        </w:tc>
        <w:tc>
          <w:tcPr>
            <w:tcW w:w="1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160×160 px</w:t>
            </w:r>
          </w:p>
        </w:tc>
        <w:tc>
          <w:tcPr>
            <w:tcW w:w="16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640×640 px</w:t>
            </w:r>
          </w:p>
        </w:tc>
        <w:tc>
          <w:tcPr>
            <w:tcW w:w="23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~51 px (12.8×4 after 4× SR)</w:t>
            </w:r>
          </w:p>
        </w:tc>
        <w:tc>
          <w:tcPr>
            <w:tcW w:w="336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Moderate — objects larger post-SR</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The AI-TOD 4× experiment is particularly interesting: after 4× super-resolution, the average object size grows from 12.8 px to approximately 51 px — larger than the NWD constant C = 12.8. This means NWD is being applied in a regime where objects are comfortably above the scale threshold, and the loss becomes more similar to a standard scale-aware regression. The 3-epoch budget for 4× experiments reflects this — the model needs less NWD-specific training once SR has already inflated object sizes above the critical threshold.</w:t>
      </w:r>
    </w:p>
    <w:p>
      <w:pPr>
        <w:pStyle w:val="Normal"/>
        <w:spacing w:before="80" w:after="0"/>
        <w:rPr/>
      </w:pPr>
      <w:r>
        <w:rPr/>
      </w:r>
    </w:p>
    <w:p>
      <w:pPr>
        <w:pStyle w:val="Heading2"/>
        <w:pBdr>
          <w:bottom w:val="single" w:sz="6" w:space="2" w:color="1A6FA8"/>
        </w:pBdr>
        <w:spacing w:before="220" w:after="100"/>
        <w:ind w:start="180"/>
        <w:rPr/>
      </w:pPr>
      <w:r>
        <w:rPr>
          <w:rFonts w:eastAsia="Arial" w:cs="Arial" w:ascii="Arial" w:hAnsi="Arial"/>
          <w:b/>
          <w:bCs/>
          <w:color w:val="1A6FA8"/>
          <w:sz w:val="24"/>
          <w:szCs w:val="24"/>
        </w:rPr>
        <w:t>7.3  Key Engineering Decisions Driven by NWD</w:t>
      </w:r>
    </w:p>
    <w:p>
      <w:pPr>
        <w:pStyle w:val="ListParagraph"/>
        <w:numPr>
          <w:ilvl w:val="0"/>
          <w:numId w:val="5"/>
        </w:numPr>
        <w:spacing w:before="60" w:after="60"/>
        <w:rPr/>
      </w:pPr>
      <w:r>
        <w:rPr>
          <w:rFonts w:eastAsia="Arial" w:cs="Arial"/>
          <w:b/>
          <w:bCs/>
          <w:color w:val="1A6FA8"/>
          <w:sz w:val="21"/>
          <w:szCs w:val="21"/>
        </w:rPr>
        <w:t xml:space="preserve">1. </w:t>
      </w:r>
      <w:r>
        <w:rPr>
          <w:rFonts w:eastAsia="Arial" w:cs="Arial"/>
          <w:color w:val="1A1A2E"/>
          <w:sz w:val="21"/>
          <w:szCs w:val="21"/>
        </w:rPr>
        <w:t>C = 12.8 constant selected to match AI-TOD mean object size, ensuring NWD is maximally sensitive at the most common object scale in the dataset.</w:t>
      </w:r>
    </w:p>
    <w:p>
      <w:pPr>
        <w:pStyle w:val="ListParagraph"/>
        <w:numPr>
          <w:ilvl w:val="0"/>
          <w:numId w:val="2"/>
        </w:numPr>
        <w:spacing w:before="60" w:after="60"/>
        <w:rPr/>
      </w:pPr>
      <w:r>
        <w:rPr>
          <w:rFonts w:eastAsia="Arial" w:cs="Arial"/>
          <w:b/>
          <w:bCs/>
          <w:color w:val="1A6FA8"/>
          <w:sz w:val="21"/>
          <w:szCs w:val="21"/>
        </w:rPr>
        <w:t xml:space="preserve">2. </w:t>
      </w:r>
      <w:r>
        <w:rPr>
          <w:rFonts w:eastAsia="Arial" w:cs="Arial"/>
          <w:color w:val="1A1A2E"/>
          <w:sz w:val="21"/>
          <w:szCs w:val="21"/>
        </w:rPr>
        <w:t>λ_SR = 0.1 weight is specifically chosen so that L_SR does not overpower L_NWD during ESRGAN parameter updates. If λ_SR were 1.0, ESRGAN would optimise purely for pixel fidelity and ignore the NWD-guided detection improvement.</w:t>
      </w:r>
    </w:p>
    <w:p>
      <w:pPr>
        <w:pStyle w:val="ListParagraph"/>
        <w:numPr>
          <w:ilvl w:val="0"/>
          <w:numId w:val="2"/>
        </w:numPr>
        <w:spacing w:before="60" w:after="60"/>
        <w:rPr/>
      </w:pPr>
      <w:r>
        <w:rPr>
          <w:rFonts w:eastAsia="Arial" w:cs="Arial"/>
          <w:b/>
          <w:bCs/>
          <w:color w:val="1A6FA8"/>
          <w:sz w:val="21"/>
          <w:szCs w:val="21"/>
        </w:rPr>
        <w:t xml:space="preserve">3. </w:t>
      </w:r>
      <w:r>
        <w:rPr>
          <w:rFonts w:eastAsia="Arial" w:cs="Arial"/>
          <w:color w:val="1A1A2E"/>
          <w:sz w:val="21"/>
          <w:szCs w:val="21"/>
        </w:rPr>
        <w:t>epsilon = 1e-7 in the sqrt(cd + sd + epsilon) prevents NaN when predicted and GT boxes are perfectly aligned (W₂ = 0) during training, which would otherwise cause a division-by-zero in gradient computation.</w:t>
      </w:r>
    </w:p>
    <w:p>
      <w:pPr>
        <w:pStyle w:val="ListParagraph"/>
        <w:numPr>
          <w:ilvl w:val="0"/>
          <w:numId w:val="2"/>
        </w:numPr>
        <w:spacing w:before="60" w:after="60"/>
        <w:rPr/>
      </w:pPr>
      <w:r>
        <w:rPr>
          <w:rFonts w:eastAsia="Arial" w:cs="Arial"/>
          <w:b/>
          <w:bCs/>
          <w:color w:val="1A6FA8"/>
          <w:sz w:val="21"/>
          <w:szCs w:val="21"/>
        </w:rPr>
        <w:t xml:space="preserve">4. </w:t>
      </w:r>
      <w:r>
        <w:rPr>
          <w:rFonts w:eastAsia="Arial" w:cs="Arial"/>
          <w:color w:val="1A1A2E"/>
          <w:sz w:val="21"/>
          <w:szCs w:val="21"/>
        </w:rPr>
        <w:t>MAX_BOXES = 50 padding uses cls = −1 as the sentinel value; the nwd_loss function is called with only valid GT boxes (cls ≥ 0), preventing padding rows from contributing false NWD penalties.</w:t>
      </w:r>
    </w:p>
    <w:p>
      <w:pPr>
        <w:pStyle w:val="ListParagraph"/>
        <w:numPr>
          <w:ilvl w:val="0"/>
          <w:numId w:val="2"/>
        </w:numPr>
        <w:spacing w:before="60" w:after="60"/>
        <w:rPr/>
      </w:pPr>
      <w:r>
        <w:rPr>
          <w:rFonts w:eastAsia="Arial" w:cs="Arial"/>
          <w:b/>
          <w:bCs/>
          <w:color w:val="1A6FA8"/>
          <w:sz w:val="21"/>
          <w:szCs w:val="21"/>
        </w:rPr>
        <w:t xml:space="preserve">5. </w:t>
      </w:r>
      <w:r>
        <w:rPr>
          <w:rFonts w:eastAsia="Arial" w:cs="Arial"/>
          <w:color w:val="1A1A2E"/>
          <w:sz w:val="21"/>
          <w:szCs w:val="21"/>
        </w:rPr>
        <w:t>Gradient accumulation over 4 steps (GRAD_ACCUM = 4) means the NWD loss is effectively averaged over 4 tiles before each parameter update, reducing variance in the Wasserstein distance estimates across varying tile densities.</w:t>
      </w:r>
    </w:p>
    <w:p>
      <w:pPr>
        <w:pStyle w:val="ListParagraph"/>
        <w:numPr>
          <w:ilvl w:val="0"/>
          <w:numId w:val="2"/>
        </w:numPr>
        <w:spacing w:before="60" w:after="60"/>
        <w:rPr/>
      </w:pPr>
      <w:r>
        <w:rPr>
          <w:rFonts w:eastAsia="Arial" w:cs="Arial"/>
          <w:b/>
          <w:bCs/>
          <w:color w:val="1A6FA8"/>
          <w:sz w:val="21"/>
          <w:szCs w:val="21"/>
        </w:rPr>
        <w:t xml:space="preserve">6. </w:t>
      </w:r>
      <w:r>
        <w:rPr>
          <w:rFonts w:eastAsia="Arial" w:cs="Arial"/>
          <w:color w:val="1A1A2E"/>
          <w:sz w:val="21"/>
          <w:szCs w:val="21"/>
        </w:rPr>
        <w:t>AMP mixed precision (FP16) requires the ε = 1e-7 in W₂ computation: in FP16, very small numbers underflow to zero, and without ε, perfect-match boxes produce NaN gradients from sqrt(0).</w:t>
      </w:r>
    </w:p>
    <w:p>
      <w:pPr>
        <w:pStyle w:val="Normal"/>
        <w:spacing w:before="120" w:after="0"/>
        <w:rPr/>
      </w:pPr>
      <w:r>
        <w:rPr/>
      </w:r>
    </w:p>
    <w:p>
      <w:pPr>
        <w:pStyle w:val="Normal"/>
        <w:shd w:val="clear" w:fill="1B2A4A"/>
        <w:spacing w:before="300" w:after="160"/>
        <w:ind w:start="180" w:end="180"/>
        <w:rPr/>
      </w:pPr>
      <w:r>
        <w:rPr>
          <w:rFonts w:eastAsia="Arial" w:cs="Arial"/>
          <w:b/>
          <w:bCs/>
          <w:color w:val="FFFFFF"/>
          <w:sz w:val="28"/>
          <w:szCs w:val="28"/>
        </w:rPr>
        <w:t>8.  CONCLUSIONS</w:t>
      </w:r>
    </w:p>
    <w:p>
      <w:pPr>
        <w:pStyle w:val="Normal"/>
        <w:spacing w:before="80" w:after="0"/>
        <w:rPr/>
      </w:pPr>
      <w:r>
        <w:rPr/>
      </w:r>
    </w:p>
    <w:p>
      <w:pPr>
        <w:pStyle w:val="Normal"/>
        <w:spacing w:before="80" w:after="80"/>
        <w:ind w:start="180"/>
        <w:jc w:val="both"/>
        <w:rPr/>
      </w:pPr>
      <w:r>
        <w:rPr>
          <w:rFonts w:eastAsia="Arial" w:cs="Arial"/>
          <w:color w:val="1A1A2E"/>
          <w:sz w:val="21"/>
          <w:szCs w:val="21"/>
        </w:rPr>
        <w:t>The Normalized Wasserstein Distance loss is not merely a minor improvement over IoU — it represents a fundamental shift in how bounding box regression is formulated for tiny objects. The following conclusions summarise its mathematical properties, role in the project, and broader implications:</w:t>
      </w:r>
    </w:p>
    <w:p>
      <w:pPr>
        <w:pStyle w:val="Normal"/>
        <w:spacing w:before="80" w:after="0"/>
        <w:rPr/>
      </w:pPr>
      <w:r>
        <w:rPr/>
      </w:r>
    </w:p>
    <w:p>
      <w:pPr>
        <w:pStyle w:val="ListParagraph"/>
        <w:numPr>
          <w:ilvl w:val="0"/>
          <w:numId w:val="2"/>
        </w:numPr>
        <w:spacing w:before="60" w:after="60"/>
        <w:rPr/>
      </w:pPr>
      <w:r>
        <w:rPr>
          <w:rFonts w:eastAsia="Arial" w:cs="Arial"/>
          <w:b/>
          <w:bCs/>
          <w:color w:val="1A6FA8"/>
          <w:sz w:val="21"/>
          <w:szCs w:val="21"/>
        </w:rPr>
        <w:t xml:space="preserve">1. </w:t>
      </w:r>
      <w:r>
        <w:rPr>
          <w:rFonts w:eastAsia="Arial" w:cs="Arial"/>
          <w:color w:val="1A1A2E"/>
          <w:sz w:val="21"/>
          <w:szCs w:val="21"/>
        </w:rPr>
        <w:t>NWD solves the zero-gradient problem of IoU for tiny objects by modelling each box as a 2D Gaussian and measuring Wasserstein distance between distributions. This provides non-zero gradients at all displacements, enabling meaningful learning even when predicted and GT boxes do not overlap.</w:t>
      </w:r>
    </w:p>
    <w:p>
      <w:pPr>
        <w:pStyle w:val="Normal"/>
        <w:spacing w:before="40" w:after="0"/>
        <w:rPr/>
      </w:pPr>
      <w:r>
        <w:rPr/>
      </w:r>
    </w:p>
    <w:p>
      <w:pPr>
        <w:pStyle w:val="ListParagraph"/>
        <w:numPr>
          <w:ilvl w:val="0"/>
          <w:numId w:val="2"/>
        </w:numPr>
        <w:spacing w:before="60" w:after="60"/>
        <w:rPr/>
      </w:pPr>
      <w:r>
        <w:rPr>
          <w:rFonts w:eastAsia="Arial" w:cs="Arial"/>
          <w:b/>
          <w:bCs/>
          <w:color w:val="1A6FA8"/>
          <w:sz w:val="21"/>
          <w:szCs w:val="21"/>
        </w:rPr>
        <w:t xml:space="preserve">2. </w:t>
      </w:r>
      <w:r>
        <w:rPr>
          <w:rFonts w:eastAsia="Arial" w:cs="Arial"/>
          <w:color w:val="1A1A2E"/>
          <w:sz w:val="21"/>
          <w:szCs w:val="21"/>
        </w:rPr>
        <w:t>The Wasserstein-2 distance W₂² = ‖μ_P − μ_G‖² + ‖σ_P − σ_G‖² decomposes into four interpretable terms measuring centre-x error, centre-y error, width error, and height error — each contributing to the total Gaussian distribution mismatch.</w:t>
      </w:r>
    </w:p>
    <w:p>
      <w:pPr>
        <w:pStyle w:val="Normal"/>
        <w:spacing w:before="40" w:after="0"/>
        <w:rPr/>
      </w:pPr>
      <w:r>
        <w:rPr/>
      </w:r>
    </w:p>
    <w:p>
      <w:pPr>
        <w:pStyle w:val="ListParagraph"/>
        <w:numPr>
          <w:ilvl w:val="0"/>
          <w:numId w:val="2"/>
        </w:numPr>
        <w:spacing w:before="60" w:after="60"/>
        <w:rPr/>
      </w:pPr>
      <w:r>
        <w:rPr>
          <w:rFonts w:eastAsia="Arial" w:cs="Arial"/>
          <w:b/>
          <w:bCs/>
          <w:color w:val="1A6FA8"/>
          <w:sz w:val="21"/>
          <w:szCs w:val="21"/>
        </w:rPr>
        <w:t xml:space="preserve">3. </w:t>
      </w:r>
      <w:r>
        <w:rPr>
          <w:rFonts w:eastAsia="Arial" w:cs="Arial"/>
          <w:color w:val="1A1A2E"/>
          <w:sz w:val="21"/>
          <w:szCs w:val="21"/>
        </w:rPr>
        <w:t>The normalisation constant C = 12.8 in NWD = exp(−W₂/C) is not arbitrary: it equals the mean object scale of the AI-TOD dataset, ensuring that a displacement of one object-width produces a standard NWD penalty of exp(−1) ≈ 0.37 regardless of absolute pixel scale.</w:t>
      </w:r>
    </w:p>
    <w:p>
      <w:pPr>
        <w:pStyle w:val="Normal"/>
        <w:spacing w:before="40" w:after="0"/>
        <w:rPr/>
      </w:pPr>
      <w:r>
        <w:rPr/>
      </w:r>
    </w:p>
    <w:p>
      <w:pPr>
        <w:pStyle w:val="ListParagraph"/>
        <w:numPr>
          <w:ilvl w:val="0"/>
          <w:numId w:val="2"/>
        </w:numPr>
        <w:spacing w:before="60" w:after="60"/>
        <w:rPr/>
      </w:pPr>
      <w:r>
        <w:rPr>
          <w:rFonts w:eastAsia="Arial" w:cs="Arial"/>
          <w:b/>
          <w:bCs/>
          <w:color w:val="1A6FA8"/>
          <w:sz w:val="21"/>
          <w:szCs w:val="21"/>
        </w:rPr>
        <w:t xml:space="preserve">4. </w:t>
      </w:r>
      <w:r>
        <w:rPr>
          <w:rFonts w:eastAsia="Arial" w:cs="Arial"/>
          <w:color w:val="1A1A2E"/>
          <w:sz w:val="21"/>
          <w:szCs w:val="21"/>
        </w:rPr>
        <w:t>In the joint training project, NWD serves as the primary detection gradient signal that guides ESRGAN parameter updates. With λ_SR = 0.1, the NWD gradient dominates ESRGAN backpropagation, teaching the super-resolution module to prioritise clarity near vehicle bounding boxes rather than global pixel fidelity.</w:t>
      </w:r>
    </w:p>
    <w:p>
      <w:pPr>
        <w:pStyle w:val="Normal"/>
        <w:spacing w:before="40" w:after="0"/>
        <w:rPr/>
      </w:pPr>
      <w:r>
        <w:rPr/>
      </w:r>
    </w:p>
    <w:p>
      <w:pPr>
        <w:pStyle w:val="ListParagraph"/>
        <w:numPr>
          <w:ilvl w:val="0"/>
          <w:numId w:val="2"/>
        </w:numPr>
        <w:spacing w:before="60" w:after="60"/>
        <w:rPr/>
      </w:pPr>
      <w:r>
        <w:rPr>
          <w:rFonts w:eastAsia="Arial" w:cs="Arial"/>
          <w:b/>
          <w:bCs/>
          <w:color w:val="1A6FA8"/>
          <w:sz w:val="21"/>
          <w:szCs w:val="21"/>
        </w:rPr>
        <w:t xml:space="preserve">5. </w:t>
      </w:r>
      <w:r>
        <w:rPr>
          <w:rFonts w:eastAsia="Arial" w:cs="Arial"/>
          <w:color w:val="1A1A2E"/>
          <w:sz w:val="21"/>
          <w:szCs w:val="21"/>
        </w:rPr>
        <w:t>NWD-NMS at inference time extends the Wasserstein metric to duplicate suppression, preserving nearby but distinct vehicles in convoy scenarios where IoU-NMS would aggressively merge independent detections.</w:t>
      </w:r>
    </w:p>
    <w:p>
      <w:pPr>
        <w:pStyle w:val="Normal"/>
        <w:spacing w:before="40" w:after="0"/>
        <w:rPr/>
      </w:pPr>
      <w:r>
        <w:rPr/>
      </w:r>
    </w:p>
    <w:p>
      <w:pPr>
        <w:pStyle w:val="ListParagraph"/>
        <w:numPr>
          <w:ilvl w:val="0"/>
          <w:numId w:val="2"/>
        </w:numPr>
        <w:spacing w:before="60" w:after="60"/>
        <w:rPr/>
      </w:pPr>
      <w:r>
        <w:rPr>
          <w:rFonts w:eastAsia="Arial" w:cs="Arial"/>
          <w:b/>
          <w:bCs/>
          <w:color w:val="1A6FA8"/>
          <w:sz w:val="21"/>
          <w:szCs w:val="21"/>
        </w:rPr>
        <w:t xml:space="preserve">6. </w:t>
      </w:r>
      <w:r>
        <w:rPr>
          <w:rFonts w:eastAsia="Arial" w:cs="Arial"/>
          <w:color w:val="1A1A2E"/>
          <w:sz w:val="21"/>
          <w:szCs w:val="21"/>
        </w:rPr>
        <w:t>The combination of NWD loss + ESRGAN super-resolution + SAHI tiling addresses the tiny object detection problem from three orthogonal angles: better loss function, better input quality, and better inference strategy — forming a coherent and mutually reinforcing technical stack.</w:t>
      </w:r>
    </w:p>
    <w:p>
      <w:pPr>
        <w:pStyle w:val="Normal"/>
        <w:spacing w:before="80" w:after="0"/>
        <w:rPr/>
      </w:pPr>
      <w:r>
        <w:rPr/>
      </w:r>
    </w:p>
    <w:tbl>
      <w:tblPr>
        <w:tblW w:w="9360" w:type="dxa"/>
        <w:jc w:val="start"/>
        <w:tblInd w:w="0" w:type="dxa"/>
        <w:tblLayout w:type="fixed"/>
        <w:tblCellMar>
          <w:top w:w="60" w:type="dxa"/>
          <w:start w:w="60" w:type="dxa"/>
          <w:bottom w:w="60" w:type="dxa"/>
          <w:end w:w="60" w:type="dxa"/>
        </w:tblCellMar>
      </w:tblPr>
      <w:tblGrid>
        <w:gridCol w:w="320"/>
        <w:gridCol w:w="9040"/>
      </w:tblGrid>
      <w:tr>
        <w:trPr/>
        <w:tc>
          <w:tcPr>
            <w:tcW w:w="320" w:type="dxa"/>
            <w:tcBorders>
              <w:top w:val="single" w:sz="2" w:space="0" w:color="5B2C8C"/>
              <w:start w:val="single" w:sz="2" w:space="0" w:color="5B2C8C"/>
              <w:bottom w:val="single" w:sz="2" w:space="0" w:color="5B2C8C"/>
              <w:end w:val="single" w:sz="2" w:space="0" w:color="5B2C8C"/>
            </w:tcBorders>
            <w:shd w:fill="5B2C8C" w:val="clear"/>
            <w:vAlign w:val="center"/>
          </w:tcPr>
          <w:p>
            <w:pPr>
              <w:pStyle w:val="Normal"/>
              <w:jc w:val="center"/>
              <w:rPr/>
            </w:pPr>
            <w:r>
              <w:rPr>
                <w:rFonts w:eastAsia="Arial" w:cs="Arial"/>
                <w:b/>
                <w:bCs/>
                <w:color w:val="FFFFFF"/>
                <w:sz w:val="26"/>
                <w:szCs w:val="26"/>
              </w:rPr>
              <w:t>★</w:t>
            </w:r>
          </w:p>
        </w:tc>
        <w:tc>
          <w:tcPr>
            <w:tcW w:w="9040" w:type="dxa"/>
            <w:tcBorders>
              <w:top w:val="single" w:sz="2" w:space="0" w:color="5B2C8C"/>
              <w:start w:val="single" w:sz="2" w:space="0" w:color="5B2C8C"/>
              <w:bottom w:val="single" w:sz="2" w:space="0" w:color="5B2C8C"/>
              <w:end w:val="single" w:sz="2" w:space="0" w:color="5B2C8C"/>
            </w:tcBorders>
            <w:shd w:fill="EDE7F6" w:val="clear"/>
            <w:tcMar>
              <w:top w:w="100" w:type="dxa"/>
              <w:start w:w="160" w:type="dxa"/>
              <w:bottom w:w="100" w:type="dxa"/>
              <w:end w:w="160" w:type="dxa"/>
            </w:tcMar>
          </w:tcPr>
          <w:p>
            <w:pPr>
              <w:pStyle w:val="Normal"/>
              <w:spacing w:before="0" w:after="50"/>
              <w:rPr/>
            </w:pPr>
            <w:r>
              <w:rPr>
                <w:rFonts w:eastAsia="Arial" w:cs="Arial"/>
                <w:b/>
                <w:bCs/>
                <w:color w:val="5B2C8C"/>
                <w:sz w:val="21"/>
                <w:szCs w:val="21"/>
              </w:rPr>
              <w:t>Final Insight: NWD as the Connective Tissue of Joint Training</w:t>
            </w:r>
          </w:p>
          <w:p>
            <w:pPr>
              <w:pStyle w:val="Normal"/>
              <w:spacing w:before="0" w:after="0"/>
              <w:rPr/>
            </w:pPr>
            <w:r>
              <w:rPr>
                <w:rFonts w:eastAsia="Arial" w:cs="Arial"/>
                <w:color w:val="1A1A2E"/>
                <w:sz w:val="20"/>
                <w:szCs w:val="20"/>
              </w:rPr>
              <w:t>NWD is what makes the joint ESRGAN + RT-DETR training paradigm more than just two models trained simultaneously. By providing scale-aware, smooth gradients that flow through the detection head into the super-resolution network, NWD creates a direct optimisation link between image quality and detection quality. ESRGAN learns not just to upscale, but to upscale in a way that is measurably useful for detecting the specific tiny vehicles the detector is trying to localise. This is the core technical contribution of the project — and NWD loss is its mathematical foundation.</w:t>
            </w:r>
          </w:p>
        </w:tc>
      </w:tr>
    </w:tbl>
    <w:p>
      <w:pPr>
        <w:pStyle w:val="Normal"/>
        <w:spacing w:before="120" w:after="0"/>
        <w:rPr/>
      </w:pPr>
      <w:r>
        <w:rPr/>
      </w:r>
    </w:p>
    <w:p>
      <w:pPr>
        <w:pStyle w:val="Normal"/>
        <w:rPr/>
      </w:pPr>
      <w:r>
        <w:rPr/>
      </w:r>
      <w:r>
        <w:br w:type="page"/>
      </w:r>
    </w:p>
    <w:p>
      <w:pPr>
        <w:pStyle w:val="Normal"/>
        <w:shd w:val="clear" w:fill="0D7377"/>
        <w:spacing w:before="0" w:after="160"/>
        <w:ind w:start="180" w:end="180"/>
        <w:rPr/>
      </w:pPr>
      <w:r>
        <w:rPr>
          <w:rFonts w:eastAsia="Arial" w:cs="Arial"/>
          <w:b/>
          <w:bCs/>
          <w:color w:val="FFFFFF"/>
          <w:sz w:val="28"/>
          <w:szCs w:val="28"/>
        </w:rPr>
        <w:t>Appendix A — Complete NWD Formula Reference</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Box to Gaussian Mapping</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B = (cₓ, cᵧ, w, h)  →  N(μ, Σ)</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μ = (cₓ, cᵧ)</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σₓ = w/2,   σᵧ = h/2</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Σ = diag(σₓ², σᵧ²)</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Wasserstein-2 Distance (Closed Form for Diagonal Gaussians)</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W₂²(P,G)  =  ‖μ_P−μ_G‖²  +  ‖σ_P−σ_G‖²</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 xml:space="preserve">         </w:t>
      </w:r>
      <w:r>
        <w:rPr>
          <w:rFonts w:eastAsia="Courier New" w:cs="Courier New" w:ascii="Courier New" w:hAnsi="Courier New"/>
          <w:b/>
          <w:bCs/>
          <w:color w:val="1B2A4A"/>
          <w:sz w:val="22"/>
          <w:szCs w:val="22"/>
        </w:rPr>
        <w:t>=  (cₓᴾ−cₓᴳ)²+(cᵧᴾ−cᵧᴳ)²+(wᴾ/2−wᴳ/2)²+(hᴾ/2−hᴳ/2)²</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W₂(P,G)  =  √(W₂² + ε),   ε=1e-7</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NWD Similarity</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NWD(P,G)  =  exp(−W₂(P,G) / C)  ∈ (0,1]</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C  =  mean object scale of dataset  (12.8 for AI-TOD)</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NWD Loss</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  =  1  −  NWD(P,G)  =  1  −  exp(−W₂/C)</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L_NWD(batch)  =  mean_j( 1 − max_i( NWD(Pᵢ, Gⱼ) ) )</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Composite Joint Training Loss</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L_total  =  L_NWD  +  L_cls  +  λ_SR × L_SR</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λ_SR = 0.1,  λ_NWD = 1.0,  λ_cls = 1.0</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NWD Gradient w.r.t. Predicted Centre</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w:t>
      </w:r>
      <w:r>
        <w:rPr>
          <w:rFonts w:eastAsia="Courier New" w:cs="Courier New" w:ascii="Courier New" w:hAnsi="Courier New"/>
          <w:b/>
          <w:bCs/>
          <w:color w:val="1B2A4A"/>
          <w:sz w:val="22"/>
          <w:szCs w:val="22"/>
        </w:rPr>
        <w:t>L_NWD/∂cₓᴾ  =  (cₓᴾ−cₓᴳ) / (C × W₂) × exp(−W₂/C)</w:t>
      </w:r>
    </w:p>
    <w:p>
      <w:pPr>
        <w:pStyle w:val="Normal"/>
        <w:spacing w:before="80" w:after="0"/>
        <w:rPr/>
      </w:pPr>
      <w:r>
        <w:rPr/>
      </w:r>
    </w:p>
    <w:p>
      <w:pPr>
        <w:pStyle w:val="Heading3"/>
        <w:spacing w:before="160" w:after="80"/>
        <w:ind w:start="180"/>
        <w:rPr/>
      </w:pPr>
      <w:r>
        <w:rPr>
          <w:rFonts w:eastAsia="Arial" w:cs="Arial" w:ascii="Arial" w:hAnsi="Arial"/>
          <w:b/>
          <w:bCs/>
          <w:color w:val="0D7377"/>
          <w:sz w:val="22"/>
          <w:szCs w:val="22"/>
        </w:rPr>
        <w:t>NWD-NMS Suppression Criterion</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Suppress box j  if  NWD(Pᵢ, Pⱼ) &gt; τ_NWD  and  score(Pᵢ) &gt; score(Pⱼ)</w:t>
      </w:r>
    </w:p>
    <w:p>
      <w:pPr>
        <w:pStyle w:val="Normal"/>
        <w:pBdr>
          <w:left w:val="single" w:sz="12" w:space="6" w:color="1A6FA8"/>
        </w:pBdr>
        <w:shd w:val="clear" w:fill="EBF2FA"/>
        <w:spacing w:before="100" w:after="100"/>
        <w:ind w:start="540" w:end="360"/>
        <w:jc w:val="start"/>
        <w:rPr/>
      </w:pPr>
      <w:r>
        <w:rPr>
          <w:rFonts w:eastAsia="Courier New" w:cs="Courier New" w:ascii="Courier New" w:hAnsi="Courier New"/>
          <w:b/>
          <w:bCs/>
          <w:color w:val="1B2A4A"/>
          <w:sz w:val="22"/>
          <w:szCs w:val="22"/>
        </w:rPr>
        <w:t>τ_NWD = 0.65  (project setting)</w:t>
      </w:r>
    </w:p>
    <w:p>
      <w:pPr>
        <w:pStyle w:val="Normal"/>
        <w:spacing w:before="80" w:after="0"/>
        <w:rPr/>
      </w:pPr>
      <w:r>
        <w:rPr/>
      </w:r>
    </w:p>
    <w:p>
      <w:pPr>
        <w:pStyle w:val="Normal"/>
        <w:shd w:val="clear" w:fill="0D7377"/>
        <w:spacing w:before="300" w:after="160"/>
        <w:ind w:start="180" w:end="180"/>
        <w:rPr/>
      </w:pPr>
      <w:r>
        <w:rPr>
          <w:rFonts w:eastAsia="Arial" w:cs="Arial"/>
          <w:b/>
          <w:bCs/>
          <w:color w:val="FFFFFF"/>
          <w:sz w:val="28"/>
          <w:szCs w:val="28"/>
        </w:rPr>
        <w:t>Appendix B — NWD Lookup Table (C = 12.8)</w:t>
      </w:r>
    </w:p>
    <w:p>
      <w:pPr>
        <w:pStyle w:val="Normal"/>
        <w:spacing w:before="80" w:after="0"/>
        <w:rPr/>
      </w:pPr>
      <w:r>
        <w:rPr/>
      </w:r>
    </w:p>
    <w:p>
      <w:pPr>
        <w:pStyle w:val="Normal"/>
        <w:spacing w:before="80" w:after="80"/>
        <w:ind w:start="180"/>
        <w:jc w:val="both"/>
        <w:rPr/>
      </w:pPr>
      <w:r>
        <w:rPr>
          <w:rFonts w:eastAsia="Arial" w:cs="Arial"/>
          <w:color w:val="1A1A2E"/>
          <w:sz w:val="21"/>
          <w:szCs w:val="21"/>
        </w:rPr>
        <w:t>Quick reference: NWD similarity and L_NWD loss for common displacements on a 12×12 px ground-truth box (σ = 6,6) with C = 12.8:</w:t>
      </w:r>
    </w:p>
    <w:p>
      <w:pPr>
        <w:pStyle w:val="Normal"/>
        <w:spacing w:before="80" w:after="0"/>
        <w:rPr/>
      </w:pPr>
      <w:r>
        <w:rPr/>
      </w:r>
    </w:p>
    <w:tbl>
      <w:tblPr>
        <w:tblW w:w="11360" w:type="dxa"/>
        <w:jc w:val="start"/>
        <w:tblInd w:w="0" w:type="dxa"/>
        <w:tblLayout w:type="fixed"/>
        <w:tblCellMar>
          <w:top w:w="90" w:type="dxa"/>
          <w:start w:w="140" w:type="dxa"/>
          <w:bottom w:w="90" w:type="dxa"/>
          <w:end w:w="140" w:type="dxa"/>
        </w:tblCellMar>
      </w:tblPr>
      <w:tblGrid>
        <w:gridCol w:w="2000"/>
        <w:gridCol w:w="1599"/>
        <w:gridCol w:w="2201"/>
        <w:gridCol w:w="1999"/>
        <w:gridCol w:w="1801"/>
        <w:gridCol w:w="1760"/>
      </w:tblGrid>
      <w:tr>
        <w:trPr>
          <w:tblHeader w:val="true"/>
        </w:trPr>
        <w:tc>
          <w:tcPr>
            <w:tcW w:w="200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Displacement d (px)</w:t>
            </w:r>
          </w:p>
        </w:tc>
        <w:tc>
          <w:tcPr>
            <w:tcW w:w="15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W₂ Value</w:t>
            </w:r>
          </w:p>
        </w:tc>
        <w:tc>
          <w:tcPr>
            <w:tcW w:w="22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NWD = exp(−W₂/12.8)</w:t>
            </w:r>
          </w:p>
        </w:tc>
        <w:tc>
          <w:tcPr>
            <w:tcW w:w="1999"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L_NWD = 1−NWD</w:t>
            </w:r>
          </w:p>
        </w:tc>
        <w:tc>
          <w:tcPr>
            <w:tcW w:w="1801"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IoU (same scenario)</w:t>
            </w:r>
          </w:p>
        </w:tc>
        <w:tc>
          <w:tcPr>
            <w:tcW w:w="1760" w:type="dxa"/>
            <w:tcBorders>
              <w:top w:val="single" w:sz="2" w:space="0" w:color="889AAB"/>
              <w:start w:val="single" w:sz="2" w:space="0" w:color="889AAB"/>
              <w:bottom w:val="single" w:sz="2" w:space="0" w:color="889AAB"/>
              <w:end w:val="single" w:sz="2" w:space="0" w:color="889AAB"/>
            </w:tcBorders>
            <w:shd w:fill="1B2A4A" w:val="clear"/>
            <w:vAlign w:val="center"/>
          </w:tcPr>
          <w:p>
            <w:pPr>
              <w:pStyle w:val="Normal"/>
              <w:jc w:val="center"/>
              <w:rPr/>
            </w:pPr>
            <w:r>
              <w:rPr>
                <w:rFonts w:eastAsia="Arial" w:cs="Arial"/>
                <w:b/>
                <w:bCs/>
                <w:color w:val="FFFFFF"/>
                <w:sz w:val="19"/>
                <w:szCs w:val="19"/>
              </w:rPr>
              <w:t>Advantage</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 (perfect)</w:t>
            </w:r>
          </w:p>
        </w:tc>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1.000</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1.000</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Identical</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w:t>
            </w:r>
          </w:p>
        </w:tc>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1.000</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0.925</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0.075</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0.786</w:t>
            </w:r>
          </w:p>
        </w:tc>
        <w:tc>
          <w:tcPr>
            <w:tcW w:w="1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Both good</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w:t>
            </w:r>
          </w:p>
        </w:tc>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2.000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0.855</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0.145</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0.600</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Both good</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w:t>
            </w:r>
          </w:p>
        </w:tc>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3.000</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0.791</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0.209</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0.429</w:t>
            </w:r>
          </w:p>
        </w:tc>
        <w:tc>
          <w:tcPr>
            <w:tcW w:w="1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Both good</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4</w:t>
            </w:r>
          </w:p>
        </w:tc>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4.000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0.732</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0.268</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0.265</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Both good</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w:t>
            </w:r>
          </w:p>
        </w:tc>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5.000</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0.677</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0.323</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0.111</w:t>
            </w:r>
          </w:p>
        </w:tc>
        <w:tc>
          <w:tcPr>
            <w:tcW w:w="1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Both declining</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 (box edge)</w:t>
            </w:r>
          </w:p>
        </w:tc>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6.000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0.626</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0.374</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wins</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7</w:t>
            </w:r>
          </w:p>
        </w:tc>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7.000</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0.579</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0.421</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only</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9</w:t>
            </w:r>
          </w:p>
        </w:tc>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9.000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0.496</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0.504</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only</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 (1 obj width)</w:t>
            </w:r>
          </w:p>
        </w:tc>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12.000</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0.393</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0.607</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only</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16</w:t>
            </w:r>
          </w:p>
        </w:tc>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16.000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0.288</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0.712</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only</w:t>
            </w:r>
          </w:p>
        </w:tc>
      </w:tr>
      <w:tr>
        <w:trPr/>
        <w:tc>
          <w:tcPr>
            <w:tcW w:w="200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25</w:t>
            </w:r>
          </w:p>
        </w:tc>
        <w:tc>
          <w:tcPr>
            <w:tcW w:w="15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25.000</w:t>
            </w:r>
          </w:p>
        </w:tc>
        <w:tc>
          <w:tcPr>
            <w:tcW w:w="22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0.140</w:t>
            </w:r>
          </w:p>
        </w:tc>
        <w:tc>
          <w:tcPr>
            <w:tcW w:w="1999"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0.860</w:t>
            </w:r>
          </w:p>
        </w:tc>
        <w:tc>
          <w:tcPr>
            <w:tcW w:w="1801"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760" w:type="dxa"/>
            <w:tcBorders>
              <w:top w:val="single" w:sz="2" w:space="0" w:color="C8D0DB"/>
              <w:start w:val="single" w:sz="2" w:space="0" w:color="C8D0DB"/>
              <w:bottom w:val="single" w:sz="2" w:space="0" w:color="C8D0DB"/>
              <w:end w:val="single" w:sz="2" w:space="0" w:color="C8D0DB"/>
            </w:tcBorders>
            <w:shd w:fill="F4F6F8" w:val="clear"/>
            <w:tcMar>
              <w:top w:w="80" w:type="dxa"/>
              <w:bottom w:w="80" w:type="dxa"/>
            </w:tcMar>
            <w:vAlign w:val="center"/>
          </w:tcPr>
          <w:p>
            <w:pPr>
              <w:pStyle w:val="Normal"/>
              <w:jc w:val="start"/>
              <w:rPr/>
            </w:pPr>
            <w:r>
              <w:rPr>
                <w:rFonts w:eastAsia="Arial" w:cs="Arial"/>
                <w:b w:val="false"/>
                <w:bCs w:val="false"/>
                <w:color w:val="1A1A2E"/>
                <w:sz w:val="19"/>
                <w:szCs w:val="19"/>
              </w:rPr>
              <w:t>NWD only</w:t>
            </w:r>
          </w:p>
        </w:tc>
      </w:tr>
      <w:tr>
        <w:trPr/>
        <w:tc>
          <w:tcPr>
            <w:tcW w:w="200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50</w:t>
            </w:r>
          </w:p>
        </w:tc>
        <w:tc>
          <w:tcPr>
            <w:tcW w:w="15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50.000</w:t>
            </w:r>
          </w:p>
        </w:tc>
        <w:tc>
          <w:tcPr>
            <w:tcW w:w="22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0.020</w:t>
            </w:r>
          </w:p>
        </w:tc>
        <w:tc>
          <w:tcPr>
            <w:tcW w:w="1999"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0.980</w:t>
            </w:r>
          </w:p>
        </w:tc>
        <w:tc>
          <w:tcPr>
            <w:tcW w:w="1801"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0.000</w:t>
            </w:r>
          </w:p>
        </w:tc>
        <w:tc>
          <w:tcPr>
            <w:tcW w:w="1760" w:type="dxa"/>
            <w:tcBorders>
              <w:top w:val="single" w:sz="2" w:space="0" w:color="C8D0DB"/>
              <w:start w:val="single" w:sz="2" w:space="0" w:color="C8D0DB"/>
              <w:bottom w:val="single" w:sz="2" w:space="0" w:color="C8D0DB"/>
              <w:end w:val="single" w:sz="2" w:space="0" w:color="C8D0DB"/>
            </w:tcBorders>
            <w:shd w:fill="FFFFFF" w:val="clear"/>
            <w:tcMar>
              <w:top w:w="80" w:type="dxa"/>
              <w:bottom w:w="80" w:type="dxa"/>
            </w:tcMar>
            <w:vAlign w:val="center"/>
          </w:tcPr>
          <w:p>
            <w:pPr>
              <w:pStyle w:val="Normal"/>
              <w:jc w:val="start"/>
              <w:rPr/>
            </w:pPr>
            <w:r>
              <w:rPr>
                <w:rFonts w:eastAsia="Arial" w:cs="Arial"/>
                <w:b w:val="false"/>
                <w:bCs w:val="false"/>
                <w:color w:val="1A1A2E"/>
                <w:sz w:val="19"/>
                <w:szCs w:val="19"/>
              </w:rPr>
              <w:t>NWD only (weak)</w:t>
            </w:r>
          </w:p>
        </w:tc>
      </w:tr>
    </w:tbl>
    <w:p>
      <w:pPr>
        <w:pStyle w:val="Normal"/>
        <w:spacing w:before="80" w:after="0"/>
        <w:rPr/>
      </w:pPr>
      <w:r>
        <w:rPr/>
      </w:r>
    </w:p>
    <w:p>
      <w:pPr>
        <w:pStyle w:val="Normal"/>
        <w:spacing w:before="80" w:after="80"/>
        <w:ind w:start="180"/>
        <w:jc w:val="both"/>
        <w:rPr/>
      </w:pPr>
      <w:r>
        <w:rPr>
          <w:rFonts w:eastAsia="Arial" w:cs="Arial"/>
          <w:color w:val="1A1A2E"/>
          <w:sz w:val="21"/>
          <w:szCs w:val="21"/>
        </w:rPr>
        <w:t>The table demonstrates the critical advantage: for any displacement d &gt; 6 px (half the object width), IoU = 0 and training stalls. NWD provides a gradient for the full range from 0 to 50+ pixels, with the steepest gradient around W₂ = C = 12.8 — exactly one object-width displacement.</w:t>
      </w:r>
    </w:p>
    <w:p>
      <w:pPr>
        <w:pStyle w:val="Normal"/>
        <w:spacing w:before="80" w:after="0"/>
        <w:rPr/>
      </w:pPr>
      <w:r>
        <w:rPr/>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80" w:right="1080" w:gutter="0" w:header="708" w:top="900" w:footer="708"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6FA8"/>
      </w:pBdr>
      <w:tabs>
        <w:tab w:val="clear" w:pos="720"/>
        <w:tab w:val="right" w:pos="9360" w:leader="none"/>
      </w:tabs>
      <w:rPr/>
    </w:pPr>
    <w:r>
      <w:rPr>
        <w:rFonts w:eastAsia="Arial" w:cs="Arial"/>
        <w:color w:val="999999"/>
        <w:sz w:val="17"/>
        <w:szCs w:val="17"/>
      </w:rPr>
      <w:t>Confidential · Research Technical Report</w:t>
    </w:r>
    <w:r>
      <w:rPr>
        <w:sz w:val="17"/>
        <w:szCs w:val="17"/>
      </w:rPr>
      <w:tab/>
    </w:r>
    <w:r>
      <w:rPr>
        <w:rFonts w:eastAsia="Arial" w:cs="Arial"/>
        <w:color w:val="999999"/>
        <w:sz w:val="17"/>
        <w:szCs w:val="17"/>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A6FA8"/>
      </w:pBdr>
      <w:tabs>
        <w:tab w:val="clear" w:pos="720"/>
        <w:tab w:val="right" w:pos="9360" w:leader="none"/>
      </w:tabs>
      <w:rPr/>
    </w:pPr>
    <w:r>
      <w:rPr>
        <w:rFonts w:eastAsia="Arial" w:cs="Arial"/>
        <w:color w:val="999999"/>
        <w:sz w:val="17"/>
        <w:szCs w:val="17"/>
      </w:rPr>
      <w:t>Confidential · Research Technical Report</w:t>
    </w:r>
    <w:r>
      <w:rPr>
        <w:sz w:val="17"/>
        <w:szCs w:val="17"/>
      </w:rPr>
      <w:tab/>
    </w:r>
    <w:r>
      <w:rPr>
        <w:rFonts w:eastAsia="Arial" w:cs="Arial"/>
        <w:color w:val="999999"/>
        <w:sz w:val="17"/>
        <w:szCs w:val="17"/>
      </w:rPr>
      <w:t xml:space="preserve">Page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6FA8"/>
      </w:pBdr>
      <w:tabs>
        <w:tab w:val="clear" w:pos="720"/>
        <w:tab w:val="right" w:pos="9360" w:leader="none"/>
      </w:tabs>
      <w:rPr/>
    </w:pPr>
    <w:r>
      <w:rPr>
        <w:rFonts w:eastAsia="Arial" w:cs="Arial"/>
        <w:i/>
        <w:iCs/>
        <w:color w:val="888888"/>
        <w:sz w:val="17"/>
        <w:szCs w:val="17"/>
      </w:rPr>
      <w:t>Normalized Wasserstein Distance (NWD) Loss — Deep-Dive Technical Report</w:t>
    </w:r>
    <w:r>
      <w:rPr>
        <w:sz w:val="17"/>
        <w:szCs w:val="17"/>
      </w:rPr>
      <w:tab/>
    </w:r>
    <w:r>
      <w:rPr>
        <w:rFonts w:eastAsia="Arial" w:cs="Arial"/>
        <w:b/>
        <w:bCs/>
        <w:color w:val="1A6FA8"/>
        <w:sz w:val="17"/>
        <w:szCs w:val="17"/>
      </w:rPr>
      <w:t>RT-DETR + ESRGAN Joint Training Project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6FA8"/>
      </w:pBdr>
      <w:tabs>
        <w:tab w:val="clear" w:pos="720"/>
        <w:tab w:val="right" w:pos="9360" w:leader="none"/>
      </w:tabs>
      <w:rPr/>
    </w:pPr>
    <w:r>
      <w:rPr>
        <w:rFonts w:eastAsia="Arial" w:cs="Arial"/>
        <w:i/>
        <w:iCs/>
        <w:color w:val="888888"/>
        <w:sz w:val="17"/>
        <w:szCs w:val="17"/>
      </w:rPr>
      <w:t>Normalized Wasserstein Distance (NWD) Loss — Deep-Dive Technical Report</w:t>
    </w:r>
    <w:r>
      <w:rPr>
        <w:sz w:val="17"/>
        <w:szCs w:val="17"/>
      </w:rPr>
      <w:tab/>
    </w:r>
    <w:r>
      <w:rPr>
        <w:rFonts w:eastAsia="Arial" w:cs="Arial"/>
        <w:b/>
        <w:bCs/>
        <w:color w:val="1A6FA8"/>
        <w:sz w:val="17"/>
        <w:szCs w:val="17"/>
      </w:rPr>
      <w:t>RT-DETR + ESRGAN Joint Training Project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560" w:hanging="30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5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300" w:after="160"/>
      <w:outlineLvl w:val="0"/>
    </w:pPr>
    <w:rPr>
      <w:rFonts w:ascii="Arial" w:hAnsi="Arial" w:eastAsia="Arial" w:cs="Arial"/>
      <w:b/>
      <w:bCs/>
      <w:color w:val="FFFFFF"/>
      <w:sz w:val="28"/>
      <w:szCs w:val="28"/>
    </w:rPr>
  </w:style>
  <w:style w:type="paragraph" w:styleId="Heading2">
    <w:name w:val="heading 2"/>
    <w:basedOn w:val="Heading"/>
    <w:qFormat/>
    <w:pPr>
      <w:spacing w:before="220" w:after="100"/>
      <w:outlineLvl w:val="1"/>
    </w:pPr>
    <w:rPr>
      <w:rFonts w:ascii="Arial" w:hAnsi="Arial" w:eastAsia="Arial" w:cs="Arial"/>
      <w:b/>
      <w:bCs/>
      <w:color w:val="1A6FA8"/>
      <w:sz w:val="24"/>
      <w:szCs w:val="24"/>
    </w:rPr>
  </w:style>
  <w:style w:type="paragraph" w:styleId="Heading3">
    <w:name w:val="heading 3"/>
    <w:basedOn w:val="Heading"/>
    <w:qFormat/>
    <w:pPr>
      <w:spacing w:before="160" w:after="80"/>
      <w:outlineLvl w:val="2"/>
    </w:pPr>
    <w:rPr>
      <w:rFonts w:ascii="Arial" w:hAnsi="Arial" w:eastAsia="Arial" w:cs="Arial"/>
      <w:b/>
      <w:bCs/>
      <w:color w:val="0D7377"/>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LibreOffice/26.2.3.2$Linux_X86_64 LibreOffice_project/d4d5ed47b6084125f28d269a5650105d54dde034</Application>
  <AppVersion>15.0000</AppVersion>
  <Pages>22</Pages>
  <Words>5500</Words>
  <Characters>27476</Characters>
  <CharactersWithSpaces>32553</CharactersWithSpaces>
  <Paragraphs>814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2026-06-08T05:39:48Z</dcterms:created>
  <dc:creator>Un-named</dc:creator>
  <dc:description/>
  <dc:language>en-US</dc:language>
  <cp:lastModifiedBy/>
  <dcterms:modified xsi:type="dcterms:W3CDTF">2026-06-08T11:32:38Z</dcterms:modified>
  <cp:revision>2</cp:revision>
  <dc:subject/>
  <dc:title/>
</cp:coreProperties>
</file>