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# Sample AI Math Response
</w:t>
      </w:r>
      <w:br/>
      <w:r>
        <w:t xml:space="preserve">
</w:t>
      </w:r>
      <w:br/>
      <w:r>
        <w:t xml:space="preserve">The marginal rate can be written inline as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den>
        </m:f>
        <m:r>
          <m:t>-</m:t>
        </m:r>
        <m:r>
          <m:t>6</m:t>
        </m:r>
      </m:oMath>
      <w:r>
        <w:t xml:space="preserve">, which is useful in the budget condition.
</w:t>
      </w:r>
      <w:br/>
      <w:r>
        <w:t xml:space="preserve">
</w:t>
      </w:r>
      <w:br/>
      <w:r>
        <w:t xml:space="preserve">For a display equation:
</w:t>
      </w:r>
      <w:br/>
      <w:r>
        <w:t xml:space="preserve">
</w:t>
      </w:r>
      <w:br/>
      <w:r>
        <w:t xml:space="preserve"/>
      </w:r>
    </w:p>
    <w:p>
      <w:pPr>
        <w:jc w:val="center"/>
      </w:pP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t>+</m:t>
        </m:r>
        <m:sSubSup>
          <m:e>
            <m:r>
              <m:t>y</m:t>
            </m:r>
          </m:e>
          <m:sub>
            <m:r>
              <m:t>2</m:t>
            </m:r>
          </m:sub>
          <m:sup>
            <m:r>
              <m:t>3</m:t>
            </m:r>
          </m:sup>
        </m:sSubSup>
        <m:r>
          <m:t>=</m:t>
        </m:r>
        <m:f>
          <m:fPr>
            <m:type m:val="bar"/>
          </m:fPr>
          <m:num>
            <m:r>
              <m:t>α</m:t>
            </m:r>
            <m:r>
              <m:t>+</m:t>
            </m:r>
            <m:r>
              <m:t>β</m:t>
            </m:r>
          </m:num>
          <m:den>
            <m:r>
              <m:t>μ</m:t>
            </m:r>
          </m:den>
        </m:f>
      </m:oMath>
    </w:p>
    <w:p>
      <w:r>
        <w:t xml:space="preserve">
</w:t>
      </w:r>
      <w:br/>
      <w:r>
        <w:t xml:space="preserve">
</w:t>
      </w:r>
      <w:br/>
      <w:r>
        <w:t xml:space="preserve">A small matrix example is:
</w:t>
      </w:r>
      <w:br/>
      <w:r>
        <w:t xml:space="preserve">
</w:t>
      </w:r>
      <w:br/>
      <w:r>
        <w:t xml:space="preserve"/>
      </w:r>
    </w:p>
    <w:p>
      <w:pPr>
        <w:jc w:val="center"/>
      </w:pPr>
      <m:oMath>
        <m:m>
          <m:mPr/>
          <m:mr>
            <m:e>
              <m:r>
                <m:t>1</m:t>
              </m:r>
            </m:e>
            <m:e>
              <m:r>
                <m:t>2</m:t>
              </m:r>
            </m:e>
          </m:mr>
          <m:mr>
            <m:e>
              <m:r>
                <m:t>3</m:t>
              </m:r>
            </m:e>
            <m:e>
              <m:r>
                <m:t>4</m:t>
              </m:r>
            </m:e>
          </m:mr>
        </m:m>
      </m:oMath>
    </w:p>
    <w:p>
      <w:r>
        <w:t xml:space="preserve">
</w:t>
      </w:r>
      <w:br/>
      <w:r>
        <w:t xml:space="preserve"/>
      </w:r>
    </w:p>
    <w:sectPr>
      <w:pgSz w:w="12240" w:h="15840"/>
      <w:pgMar w:top="1440" w:right="1440" w:bottom="1440" w:left="1440" w:header="720" w:footer="720" w:gutter="0"/>
    </w:sectPr>
  </w:body>
</w:document>
</file>